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FA5F89" w14:textId="77777777" w:rsidR="00503BF5" w:rsidRDefault="00503BF5">
      <w:pPr>
        <w:sectPr w:rsidR="00503BF5">
          <w:headerReference w:type="even" r:id="rId7"/>
          <w:headerReference w:type="default" r:id="rId8"/>
          <w:footerReference w:type="even" r:id="rId9"/>
          <w:footerReference w:type="default" r:id="rId10"/>
          <w:headerReference w:type="first" r:id="rId11"/>
          <w:footerReference w:type="first" r:id="rId12"/>
          <w:type w:val="continuous"/>
          <w:pgSz w:w="12240" w:h="16340"/>
          <w:pgMar w:top="1441" w:right="1361" w:bottom="2104" w:left="1440" w:header="720" w:footer="720" w:gutter="0"/>
          <w:cols w:space="720"/>
        </w:sectPr>
      </w:pPr>
    </w:p>
    <w:p w14:paraId="6D2FD28C" w14:textId="77777777" w:rsidR="00503BF5" w:rsidRDefault="00000000" w:rsidP="00096D73">
      <w:pPr>
        <w:pBdr>
          <w:top w:val="single" w:sz="6" w:space="0" w:color="D6DCE5"/>
          <w:left w:val="single" w:sz="6" w:space="0" w:color="D6DCE5"/>
          <w:bottom w:val="single" w:sz="6" w:space="0" w:color="D6DCE5"/>
          <w:right w:val="single" w:sz="6" w:space="0" w:color="D6DCE5"/>
        </w:pBdr>
        <w:shd w:val="clear" w:color="auto" w:fill="DAE3F3"/>
        <w:spacing w:after="0"/>
      </w:pPr>
      <w:r>
        <w:rPr>
          <w:rFonts w:ascii="Tahoma" w:eastAsia="Tahoma" w:hAnsi="Tahoma" w:cs="Tahoma"/>
          <w:b/>
        </w:rPr>
        <w:lastRenderedPageBreak/>
        <w:t xml:space="preserve">ORIGINAL ARTICLE </w:t>
      </w:r>
    </w:p>
    <w:p w14:paraId="5EAD4582" w14:textId="77777777" w:rsidR="00503BF5" w:rsidRDefault="00000000">
      <w:pPr>
        <w:spacing w:after="398"/>
        <w:ind w:left="-5"/>
      </w:pPr>
      <w:r>
        <w:rPr>
          <w:noProof/>
        </w:rPr>
        <w:drawing>
          <wp:inline distT="0" distB="0" distL="0" distR="0" wp14:anchorId="19291654" wp14:editId="584A5CE5">
            <wp:extent cx="673608" cy="240792"/>
            <wp:effectExtent l="0" t="0" r="0" b="0"/>
            <wp:docPr id="13079" name="Picture 13079"/>
            <wp:cNvGraphicFramePr/>
            <a:graphic xmlns:a="http://schemas.openxmlformats.org/drawingml/2006/main">
              <a:graphicData uri="http://schemas.openxmlformats.org/drawingml/2006/picture">
                <pic:pic xmlns:pic="http://schemas.openxmlformats.org/drawingml/2006/picture">
                  <pic:nvPicPr>
                    <pic:cNvPr id="13079" name="Picture 13079"/>
                    <pic:cNvPicPr/>
                  </pic:nvPicPr>
                  <pic:blipFill>
                    <a:blip r:embed="rId13"/>
                    <a:stretch>
                      <a:fillRect/>
                    </a:stretch>
                  </pic:blipFill>
                  <pic:spPr>
                    <a:xfrm>
                      <a:off x="0" y="0"/>
                      <a:ext cx="673608" cy="240792"/>
                    </a:xfrm>
                    <a:prstGeom prst="rect">
                      <a:avLst/>
                    </a:prstGeom>
                  </pic:spPr>
                </pic:pic>
              </a:graphicData>
            </a:graphic>
          </wp:inline>
        </w:drawing>
      </w:r>
    </w:p>
    <w:p w14:paraId="385087C9" w14:textId="77777777" w:rsidR="00503BF5" w:rsidRDefault="00000000">
      <w:pPr>
        <w:spacing w:after="0"/>
        <w:ind w:left="-5" w:hanging="10"/>
      </w:pPr>
      <w:r>
        <w:rPr>
          <w:rFonts w:ascii="Tahoma" w:eastAsia="Tahoma" w:hAnsi="Tahoma" w:cs="Tahoma"/>
          <w:b/>
          <w:sz w:val="32"/>
        </w:rPr>
        <w:t xml:space="preserve">ANTI-CANCER AND TISSUE-NEUROPROTECTIVE </w:t>
      </w:r>
    </w:p>
    <w:p w14:paraId="0475F1A8" w14:textId="77777777" w:rsidR="00503BF5" w:rsidRDefault="00000000">
      <w:pPr>
        <w:spacing w:after="0"/>
        <w:ind w:left="-5" w:hanging="10"/>
      </w:pPr>
      <w:r>
        <w:rPr>
          <w:rFonts w:ascii="Tahoma" w:eastAsia="Tahoma" w:hAnsi="Tahoma" w:cs="Tahoma"/>
          <w:b/>
          <w:sz w:val="32"/>
        </w:rPr>
        <w:t xml:space="preserve">POTENTIALS OF MORINGA OLEIFERA AND MUSA </w:t>
      </w:r>
    </w:p>
    <w:p w14:paraId="3BC46005" w14:textId="77777777" w:rsidR="00503BF5" w:rsidRDefault="00000000">
      <w:pPr>
        <w:spacing w:after="0"/>
        <w:ind w:left="-5" w:hanging="10"/>
      </w:pPr>
      <w:r>
        <w:rPr>
          <w:rFonts w:ascii="Tahoma" w:eastAsia="Tahoma" w:hAnsi="Tahoma" w:cs="Tahoma"/>
          <w:b/>
          <w:sz w:val="32"/>
        </w:rPr>
        <w:t>SAPIENTUM AGAINST IN-VIVO CADMIUM CHLORIDE-</w:t>
      </w:r>
    </w:p>
    <w:p w14:paraId="77A47D2D" w14:textId="77777777" w:rsidR="00503BF5" w:rsidRDefault="00000000">
      <w:pPr>
        <w:spacing w:after="0"/>
        <w:ind w:left="-5" w:hanging="10"/>
      </w:pPr>
      <w:r>
        <w:rPr>
          <w:rFonts w:ascii="Tahoma" w:eastAsia="Tahoma" w:hAnsi="Tahoma" w:cs="Tahoma"/>
          <w:b/>
          <w:sz w:val="32"/>
        </w:rPr>
        <w:t>INDUCED SKIN TOXICITY</w:t>
      </w:r>
      <w:r>
        <w:rPr>
          <w:sz w:val="32"/>
          <w:vertAlign w:val="subscript"/>
        </w:rPr>
        <w:t xml:space="preserve"> </w:t>
      </w:r>
    </w:p>
    <w:p w14:paraId="7C630D9F" w14:textId="77777777" w:rsidR="00503BF5" w:rsidRDefault="00000000">
      <w:pPr>
        <w:spacing w:after="36" w:line="248" w:lineRule="auto"/>
        <w:ind w:left="24" w:hanging="10"/>
      </w:pPr>
      <w:r>
        <w:rPr>
          <w:rFonts w:ascii="Tahoma" w:eastAsia="Tahoma" w:hAnsi="Tahoma" w:cs="Tahoma"/>
          <w:b/>
          <w:sz w:val="18"/>
        </w:rPr>
        <w:t xml:space="preserve">Adelaja Abdulazeez </w:t>
      </w:r>
      <w:proofErr w:type="spellStart"/>
      <w:r>
        <w:rPr>
          <w:rFonts w:ascii="Tahoma" w:eastAsia="Tahoma" w:hAnsi="Tahoma" w:cs="Tahoma"/>
          <w:b/>
          <w:sz w:val="18"/>
        </w:rPr>
        <w:t>Akinlolu</w:t>
      </w:r>
      <w:proofErr w:type="spellEnd"/>
      <w:r>
        <w:rPr>
          <w:rFonts w:ascii="Tahoma" w:eastAsia="Tahoma" w:hAnsi="Tahoma" w:cs="Tahoma"/>
          <w:b/>
          <w:sz w:val="18"/>
          <w:vertAlign w:val="superscript"/>
        </w:rPr>
        <w:t>*1</w:t>
      </w:r>
      <w:r>
        <w:rPr>
          <w:rFonts w:ascii="Tahoma" w:eastAsia="Tahoma" w:hAnsi="Tahoma" w:cs="Tahoma"/>
          <w:b/>
          <w:sz w:val="18"/>
        </w:rPr>
        <w:t>, Gabriel Ebito</w:t>
      </w:r>
      <w:r>
        <w:rPr>
          <w:rFonts w:ascii="Tahoma" w:eastAsia="Tahoma" w:hAnsi="Tahoma" w:cs="Tahoma"/>
          <w:b/>
          <w:sz w:val="18"/>
          <w:vertAlign w:val="superscript"/>
        </w:rPr>
        <w:t>2</w:t>
      </w:r>
      <w:r>
        <w:rPr>
          <w:rFonts w:ascii="Tahoma" w:eastAsia="Tahoma" w:hAnsi="Tahoma" w:cs="Tahoma"/>
          <w:b/>
          <w:sz w:val="18"/>
        </w:rPr>
        <w:t>, Mubarak Ameen</w:t>
      </w:r>
      <w:r>
        <w:rPr>
          <w:rFonts w:ascii="Tahoma" w:eastAsia="Tahoma" w:hAnsi="Tahoma" w:cs="Tahoma"/>
          <w:b/>
          <w:sz w:val="18"/>
          <w:vertAlign w:val="superscript"/>
        </w:rPr>
        <w:t>3</w:t>
      </w:r>
      <w:r>
        <w:rPr>
          <w:rFonts w:ascii="Tahoma" w:eastAsia="Tahoma" w:hAnsi="Tahoma" w:cs="Tahoma"/>
          <w:b/>
          <w:sz w:val="18"/>
        </w:rPr>
        <w:t>, Nnaemeka Asogwa</w:t>
      </w:r>
      <w:r>
        <w:rPr>
          <w:rFonts w:ascii="Tahoma" w:eastAsia="Tahoma" w:hAnsi="Tahoma" w:cs="Tahoma"/>
          <w:b/>
          <w:sz w:val="18"/>
          <w:vertAlign w:val="superscript"/>
        </w:rPr>
        <w:t>4</w:t>
      </w:r>
      <w:r>
        <w:rPr>
          <w:rFonts w:ascii="Tahoma" w:eastAsia="Tahoma" w:hAnsi="Tahoma" w:cs="Tahoma"/>
          <w:b/>
          <w:sz w:val="18"/>
        </w:rPr>
        <w:t>, Raheem Akindele</w:t>
      </w:r>
      <w:r>
        <w:rPr>
          <w:rFonts w:ascii="Tahoma" w:eastAsia="Tahoma" w:hAnsi="Tahoma" w:cs="Tahoma"/>
          <w:b/>
          <w:sz w:val="18"/>
          <w:vertAlign w:val="superscript"/>
        </w:rPr>
        <w:t>5</w:t>
      </w:r>
      <w:r>
        <w:rPr>
          <w:rFonts w:ascii="Tahoma" w:eastAsia="Tahoma" w:hAnsi="Tahoma" w:cs="Tahoma"/>
          <w:b/>
          <w:sz w:val="18"/>
        </w:rPr>
        <w:t>,</w:t>
      </w:r>
      <w:r>
        <w:rPr>
          <w:rFonts w:ascii="Tahoma" w:eastAsia="Tahoma" w:hAnsi="Tahoma" w:cs="Tahoma"/>
          <w:b/>
          <w:sz w:val="18"/>
          <w:vertAlign w:val="superscript"/>
        </w:rPr>
        <w:t xml:space="preserve"> </w:t>
      </w:r>
      <w:r>
        <w:rPr>
          <w:rFonts w:ascii="Tahoma" w:eastAsia="Tahoma" w:hAnsi="Tahoma" w:cs="Tahoma"/>
          <w:b/>
          <w:sz w:val="18"/>
        </w:rPr>
        <w:t>Bamidele Fagbohunka</w:t>
      </w:r>
      <w:r>
        <w:rPr>
          <w:rFonts w:ascii="Tahoma" w:eastAsia="Tahoma" w:hAnsi="Tahoma" w:cs="Tahoma"/>
          <w:b/>
          <w:sz w:val="18"/>
          <w:vertAlign w:val="superscript"/>
        </w:rPr>
        <w:t>6</w:t>
      </w:r>
      <w:r>
        <w:rPr>
          <w:rFonts w:ascii="Tahoma" w:eastAsia="Tahoma" w:hAnsi="Tahoma" w:cs="Tahoma"/>
          <w:b/>
          <w:sz w:val="18"/>
        </w:rPr>
        <w:t xml:space="preserve"> </w:t>
      </w:r>
      <w:r>
        <w:rPr>
          <w:rFonts w:ascii="Tahoma" w:eastAsia="Tahoma" w:hAnsi="Tahoma" w:cs="Tahoma"/>
          <w:b/>
          <w:sz w:val="18"/>
          <w:vertAlign w:val="superscript"/>
        </w:rPr>
        <w:t xml:space="preserve"> </w:t>
      </w:r>
    </w:p>
    <w:p w14:paraId="7F0E8AB6" w14:textId="77777777" w:rsidR="00503BF5" w:rsidRDefault="00000000">
      <w:pPr>
        <w:numPr>
          <w:ilvl w:val="0"/>
          <w:numId w:val="13"/>
        </w:numPr>
        <w:spacing w:after="3" w:line="247" w:lineRule="auto"/>
        <w:ind w:hanging="216"/>
        <w:jc w:val="both"/>
      </w:pPr>
      <w:r>
        <w:rPr>
          <w:rFonts w:ascii="Tahoma" w:eastAsia="Tahoma" w:hAnsi="Tahoma" w:cs="Tahoma"/>
        </w:rPr>
        <w:t xml:space="preserve">Department of Anatomy, Faculty of Basic Medical Sciences, Federal University of Health Sciences Otukpo, Benue State, Nigeria.  </w:t>
      </w:r>
    </w:p>
    <w:p w14:paraId="6BEC755B" w14:textId="77777777" w:rsidR="00503BF5" w:rsidRDefault="00000000">
      <w:pPr>
        <w:numPr>
          <w:ilvl w:val="0"/>
          <w:numId w:val="13"/>
        </w:numPr>
        <w:spacing w:after="3" w:line="247" w:lineRule="auto"/>
        <w:ind w:hanging="216"/>
        <w:jc w:val="both"/>
      </w:pPr>
      <w:r>
        <w:rPr>
          <w:rFonts w:ascii="Tahoma" w:eastAsia="Tahoma" w:hAnsi="Tahoma" w:cs="Tahoma"/>
        </w:rPr>
        <w:t xml:space="preserve">Department of Anatomy, Faculty of Basic Medical Sciences, Ekiti State University, Ekiti State, Nigeria.  </w:t>
      </w:r>
    </w:p>
    <w:p w14:paraId="695F0D08" w14:textId="77777777" w:rsidR="00503BF5" w:rsidRDefault="00000000">
      <w:pPr>
        <w:numPr>
          <w:ilvl w:val="0"/>
          <w:numId w:val="13"/>
        </w:numPr>
        <w:spacing w:after="3" w:line="247" w:lineRule="auto"/>
        <w:ind w:hanging="216"/>
        <w:jc w:val="both"/>
      </w:pPr>
      <w:r>
        <w:rPr>
          <w:rFonts w:ascii="Tahoma" w:eastAsia="Tahoma" w:hAnsi="Tahoma" w:cs="Tahoma"/>
        </w:rPr>
        <w:t xml:space="preserve">Department of Chemistry, Faculty of Physical Sciences, University of Ilorin, Kwara State, Nigeria.  </w:t>
      </w:r>
    </w:p>
    <w:p w14:paraId="7E83D82D" w14:textId="77777777" w:rsidR="00503BF5" w:rsidRDefault="00000000">
      <w:pPr>
        <w:numPr>
          <w:ilvl w:val="0"/>
          <w:numId w:val="13"/>
        </w:numPr>
        <w:spacing w:after="3" w:line="247" w:lineRule="auto"/>
        <w:ind w:hanging="216"/>
        <w:jc w:val="both"/>
      </w:pPr>
      <w:r>
        <w:rPr>
          <w:rFonts w:ascii="Tahoma" w:eastAsia="Tahoma" w:hAnsi="Tahoma" w:cs="Tahoma"/>
        </w:rPr>
        <w:t xml:space="preserve">Central Research Laboratory, Tanke, Ilorin, Kwara State, Nigeria.  </w:t>
      </w:r>
    </w:p>
    <w:p w14:paraId="2309223F" w14:textId="77777777" w:rsidR="00503BF5" w:rsidRDefault="00000000">
      <w:pPr>
        <w:numPr>
          <w:ilvl w:val="0"/>
          <w:numId w:val="13"/>
        </w:numPr>
        <w:spacing w:after="3" w:line="247" w:lineRule="auto"/>
        <w:ind w:hanging="216"/>
        <w:jc w:val="both"/>
      </w:pPr>
      <w:r>
        <w:rPr>
          <w:rFonts w:ascii="Tahoma" w:eastAsia="Tahoma" w:hAnsi="Tahoma" w:cs="Tahoma"/>
        </w:rPr>
        <w:t xml:space="preserve">Department of Physiology, Faculty of Basic Medical Sciences, Olabisi Onabanjo University, Ogun State, Nigeria.  </w:t>
      </w:r>
    </w:p>
    <w:p w14:paraId="307393F1" w14:textId="77777777" w:rsidR="00503BF5" w:rsidRDefault="00000000">
      <w:pPr>
        <w:numPr>
          <w:ilvl w:val="0"/>
          <w:numId w:val="13"/>
        </w:numPr>
        <w:spacing w:after="3" w:line="247" w:lineRule="auto"/>
        <w:ind w:hanging="216"/>
        <w:jc w:val="both"/>
      </w:pPr>
      <w:r>
        <w:rPr>
          <w:rFonts w:ascii="Tahoma" w:eastAsia="Tahoma" w:hAnsi="Tahoma" w:cs="Tahoma"/>
        </w:rPr>
        <w:t xml:space="preserve">Department of Biochemistry, Faculty of Basic Medical Sciences, Olabisi Onabanjo University, Ogun State, Nigeria.  </w:t>
      </w:r>
    </w:p>
    <w:p w14:paraId="5CFF6236" w14:textId="77777777" w:rsidR="00503BF5" w:rsidRDefault="00000000">
      <w:pPr>
        <w:spacing w:after="3" w:line="247" w:lineRule="auto"/>
        <w:ind w:left="11" w:hanging="10"/>
        <w:jc w:val="both"/>
      </w:pPr>
      <w:r>
        <w:rPr>
          <w:rFonts w:ascii="Tahoma" w:eastAsia="Tahoma" w:hAnsi="Tahoma" w:cs="Tahoma"/>
        </w:rPr>
        <w:t xml:space="preserve">Corresponding Author: Prof. Adelaja Abdulazeez </w:t>
      </w:r>
      <w:proofErr w:type="spellStart"/>
      <w:r>
        <w:rPr>
          <w:rFonts w:ascii="Tahoma" w:eastAsia="Tahoma" w:hAnsi="Tahoma" w:cs="Tahoma"/>
        </w:rPr>
        <w:t>Akinlolu</w:t>
      </w:r>
      <w:proofErr w:type="spellEnd"/>
      <w:r>
        <w:rPr>
          <w:rFonts w:ascii="Tahoma" w:eastAsia="Tahoma" w:hAnsi="Tahoma" w:cs="Tahoma"/>
        </w:rPr>
        <w:t xml:space="preserve">. Email: </w:t>
      </w:r>
      <w:r>
        <w:rPr>
          <w:rFonts w:ascii="Tahoma" w:eastAsia="Tahoma" w:hAnsi="Tahoma" w:cs="Tahoma"/>
          <w:color w:val="0563C1"/>
          <w:u w:val="single" w:color="0563C1"/>
        </w:rPr>
        <w:t>adelaja.akinlolu@fuhso.edu.ng</w:t>
      </w:r>
      <w:r>
        <w:rPr>
          <w:rFonts w:ascii="Tahoma" w:eastAsia="Tahoma" w:hAnsi="Tahoma" w:cs="Tahoma"/>
        </w:rPr>
        <w:t xml:space="preserve">    ORCID ID: </w:t>
      </w:r>
      <w:r>
        <w:rPr>
          <w:rFonts w:ascii="Tahoma" w:eastAsia="Tahoma" w:hAnsi="Tahoma" w:cs="Tahoma"/>
          <w:color w:val="0563C1"/>
          <w:u w:val="single" w:color="0563C1"/>
        </w:rPr>
        <w:t>https://orcid.org/0000-0002-2374-8754</w:t>
      </w:r>
      <w:r>
        <w:rPr>
          <w:rFonts w:ascii="Tahoma" w:eastAsia="Tahoma" w:hAnsi="Tahoma" w:cs="Tahoma"/>
        </w:rPr>
        <w:t xml:space="preserve">   </w:t>
      </w:r>
    </w:p>
    <w:p w14:paraId="4C678D67" w14:textId="77777777" w:rsidR="00503BF5" w:rsidRDefault="00000000">
      <w:pPr>
        <w:spacing w:after="179"/>
      </w:pPr>
      <w:r>
        <w:rPr>
          <w:rFonts w:ascii="Tahoma" w:eastAsia="Tahoma" w:hAnsi="Tahoma" w:cs="Tahoma"/>
          <w:b/>
          <w:sz w:val="14"/>
        </w:rPr>
        <w:t xml:space="preserve"> </w:t>
      </w:r>
    </w:p>
    <w:p w14:paraId="3BA895D0" w14:textId="77777777" w:rsidR="00503BF5" w:rsidRDefault="00000000">
      <w:pPr>
        <w:pStyle w:val="Heading2"/>
        <w:ind w:left="10" w:right="9" w:hanging="10"/>
      </w:pPr>
      <w:hyperlink r:id="rId14">
        <w:r>
          <w:t>ABSTRA</w:t>
        </w:r>
      </w:hyperlink>
      <w:r>
        <w:t xml:space="preserve">CT </w:t>
      </w:r>
    </w:p>
    <w:p w14:paraId="4D882DE5" w14:textId="77777777" w:rsidR="00503BF5" w:rsidRDefault="00000000">
      <w:pPr>
        <w:spacing w:after="27" w:line="247" w:lineRule="auto"/>
        <w:ind w:left="11" w:hanging="10"/>
        <w:jc w:val="both"/>
      </w:pPr>
      <w:r>
        <w:rPr>
          <w:rFonts w:ascii="Tahoma" w:eastAsia="Tahoma" w:hAnsi="Tahoma" w:cs="Tahoma"/>
          <w:b/>
        </w:rPr>
        <w:t>Background:</w:t>
      </w:r>
      <w:r>
        <w:rPr>
          <w:rFonts w:ascii="Tahoma" w:eastAsia="Tahoma" w:hAnsi="Tahoma" w:cs="Tahoma"/>
        </w:rPr>
        <w:t xml:space="preserve"> Cadmium is an established carcinogen. Cadmium exposure resulted in skin carcinogenesis in rats. Furthermore, neurotransmitter-cancer interaction, tissue innervation, and angiogenesis influence cancer prognosis, metastasis, and survival. In this study, we evaluated the anticancer and neuro-protective potentials of MO11 (isolated from </w:t>
      </w:r>
      <w:r>
        <w:rPr>
          <w:rFonts w:ascii="Tahoma" w:eastAsia="Tahoma" w:hAnsi="Tahoma" w:cs="Tahoma"/>
          <w:sz w:val="23"/>
        </w:rPr>
        <w:t>Moringa oleifera</w:t>
      </w:r>
      <w:r>
        <w:rPr>
          <w:rFonts w:ascii="Tahoma" w:eastAsia="Tahoma" w:hAnsi="Tahoma" w:cs="Tahoma"/>
        </w:rPr>
        <w:t xml:space="preserve"> leaves) and MS06 (isolated from </w:t>
      </w:r>
      <w:r>
        <w:rPr>
          <w:rFonts w:ascii="Tahoma" w:eastAsia="Tahoma" w:hAnsi="Tahoma" w:cs="Tahoma"/>
          <w:sz w:val="23"/>
        </w:rPr>
        <w:t xml:space="preserve">Musa </w:t>
      </w:r>
      <w:proofErr w:type="spellStart"/>
      <w:r>
        <w:rPr>
          <w:rFonts w:ascii="Tahoma" w:eastAsia="Tahoma" w:hAnsi="Tahoma" w:cs="Tahoma"/>
          <w:sz w:val="23"/>
        </w:rPr>
        <w:t>sapientum</w:t>
      </w:r>
      <w:proofErr w:type="spellEnd"/>
      <w:r>
        <w:rPr>
          <w:rFonts w:ascii="Tahoma" w:eastAsia="Tahoma" w:hAnsi="Tahoma" w:cs="Tahoma"/>
        </w:rPr>
        <w:t xml:space="preserve"> suckers) against </w:t>
      </w:r>
      <w:r>
        <w:rPr>
          <w:rFonts w:ascii="Tahoma" w:eastAsia="Tahoma" w:hAnsi="Tahoma" w:cs="Tahoma"/>
          <w:sz w:val="23"/>
        </w:rPr>
        <w:t>in-vivo</w:t>
      </w:r>
      <w:r>
        <w:rPr>
          <w:rFonts w:ascii="Tahoma" w:eastAsia="Tahoma" w:hAnsi="Tahoma" w:cs="Tahoma"/>
        </w:rPr>
        <w:t xml:space="preserve"> Cadmium Chloride (CdCl</w:t>
      </w:r>
      <w:proofErr w:type="gramStart"/>
      <w:r>
        <w:rPr>
          <w:rFonts w:ascii="Tahoma" w:eastAsia="Tahoma" w:hAnsi="Tahoma" w:cs="Tahoma"/>
          <w:vertAlign w:val="subscript"/>
        </w:rPr>
        <w:t>2</w:t>
      </w:r>
      <w:r>
        <w:rPr>
          <w:rFonts w:ascii="Tahoma" w:eastAsia="Tahoma" w:hAnsi="Tahoma" w:cs="Tahoma"/>
        </w:rPr>
        <w:t>)induced</w:t>
      </w:r>
      <w:proofErr w:type="gramEnd"/>
      <w:r>
        <w:rPr>
          <w:rFonts w:ascii="Tahoma" w:eastAsia="Tahoma" w:hAnsi="Tahoma" w:cs="Tahoma"/>
        </w:rPr>
        <w:t xml:space="preserve"> skin toxicity. </w:t>
      </w:r>
      <w:r>
        <w:rPr>
          <w:rFonts w:ascii="Tahoma" w:eastAsia="Tahoma" w:hAnsi="Tahoma" w:cs="Tahoma"/>
          <w:b/>
        </w:rPr>
        <w:t>Methods:</w:t>
      </w:r>
      <w:r>
        <w:rPr>
          <w:rFonts w:ascii="Tahoma" w:eastAsia="Tahoma" w:hAnsi="Tahoma" w:cs="Tahoma"/>
        </w:rPr>
        <w:t xml:space="preserve"> Twenty-four adult male </w:t>
      </w:r>
      <w:proofErr w:type="spellStart"/>
      <w:r>
        <w:rPr>
          <w:rFonts w:ascii="Tahoma" w:eastAsia="Tahoma" w:hAnsi="Tahoma" w:cs="Tahoma"/>
        </w:rPr>
        <w:t>wistar</w:t>
      </w:r>
      <w:proofErr w:type="spellEnd"/>
      <w:r>
        <w:rPr>
          <w:rFonts w:ascii="Tahoma" w:eastAsia="Tahoma" w:hAnsi="Tahoma" w:cs="Tahoma"/>
        </w:rPr>
        <w:t xml:space="preserve"> rats were randomly divided into six groups (n = 4). Group 1 was control. Groups 2-4 and 6 received a single intraperitoneal administration of 1.5 mg/kg CdCl</w:t>
      </w:r>
      <w:r>
        <w:rPr>
          <w:rFonts w:ascii="Tahoma" w:eastAsia="Tahoma" w:hAnsi="Tahoma" w:cs="Tahoma"/>
          <w:vertAlign w:val="subscript"/>
        </w:rPr>
        <w:t>2</w:t>
      </w:r>
      <w:r>
        <w:rPr>
          <w:rFonts w:ascii="Tahoma" w:eastAsia="Tahoma" w:hAnsi="Tahoma" w:cs="Tahoma"/>
        </w:rPr>
        <w:t xml:space="preserve"> on Day 1. Thereafter, Groups 3, 4, and 6 were post-treated with 15 mg/kg MO11, 15 mg/kg MO11 + 7 mg/kg MS06, and 3.35 mg/kg Doxorubicin respectively (Days 1-17). Group 5 received an olive oil dose (vehicle) (Days 1-17). Skin histopathology and tissue-enzyme-linked-immunosorbent assays (Tissue-ELISA) of neurotransmitters (Dopamine and Glutamate), biomarkers of myelination (Myelin Basic Protein), drug metabolism and carcinogenesis (Cytochrome-p450), apoptosis (Caspase-3 and p53), proliferation (Ki67), and angiogenesis (</w:t>
      </w:r>
      <w:proofErr w:type="spellStart"/>
      <w:r>
        <w:rPr>
          <w:rFonts w:ascii="Tahoma" w:eastAsia="Tahoma" w:hAnsi="Tahoma" w:cs="Tahoma"/>
        </w:rPr>
        <w:t>sVEGFR</w:t>
      </w:r>
      <w:proofErr w:type="spellEnd"/>
      <w:r>
        <w:rPr>
          <w:rFonts w:ascii="Tahoma" w:eastAsia="Tahoma" w:hAnsi="Tahoma" w:cs="Tahoma"/>
        </w:rPr>
        <w:t xml:space="preserve">) were evaluated in skin homogenates. Data were statistically analyzed using the Mann-Whitney-U test at </w:t>
      </w:r>
      <w:r>
        <w:rPr>
          <w:rFonts w:ascii="Tahoma" w:eastAsia="Tahoma" w:hAnsi="Tahoma" w:cs="Tahoma"/>
          <w:sz w:val="23"/>
        </w:rPr>
        <w:t xml:space="preserve">P ≤ </w:t>
      </w:r>
      <w:r>
        <w:rPr>
          <w:rFonts w:ascii="Tahoma" w:eastAsia="Tahoma" w:hAnsi="Tahoma" w:cs="Tahoma"/>
        </w:rPr>
        <w:t xml:space="preserve">0.05. </w:t>
      </w:r>
      <w:r>
        <w:rPr>
          <w:rFonts w:ascii="Tahoma" w:eastAsia="Tahoma" w:hAnsi="Tahoma" w:cs="Tahoma"/>
          <w:b/>
        </w:rPr>
        <w:t>Results:</w:t>
      </w:r>
      <w:r>
        <w:rPr>
          <w:rFonts w:ascii="Tahoma" w:eastAsia="Tahoma" w:hAnsi="Tahoma" w:cs="Tahoma"/>
        </w:rPr>
        <w:t xml:space="preserve"> Histopathological analyses revealed normal skin histology (Groups 3 and 4), mild skin </w:t>
      </w:r>
      <w:proofErr w:type="spellStart"/>
      <w:r>
        <w:rPr>
          <w:rFonts w:ascii="Tahoma" w:eastAsia="Tahoma" w:hAnsi="Tahoma" w:cs="Tahoma"/>
        </w:rPr>
        <w:t>histo</w:t>
      </w:r>
      <w:proofErr w:type="spellEnd"/>
      <w:r>
        <w:rPr>
          <w:rFonts w:ascii="Tahoma" w:eastAsia="Tahoma" w:hAnsi="Tahoma" w:cs="Tahoma"/>
        </w:rPr>
        <w:t xml:space="preserve">-alterations (Group 6), and gross skin histopathological alterations (Group 2). Tissue-ELISA analyses showed upregulations of dopamine, Glutamate and Cytochrome-p450, but downregulations of Myelin Basic Protein, Caspase-3, Ki67, p53, and </w:t>
      </w:r>
      <w:proofErr w:type="spellStart"/>
      <w:r>
        <w:rPr>
          <w:rFonts w:ascii="Tahoma" w:eastAsia="Tahoma" w:hAnsi="Tahoma" w:cs="Tahoma"/>
        </w:rPr>
        <w:t>sVEGFR</w:t>
      </w:r>
      <w:proofErr w:type="spellEnd"/>
      <w:r>
        <w:rPr>
          <w:rFonts w:ascii="Tahoma" w:eastAsia="Tahoma" w:hAnsi="Tahoma" w:cs="Tahoma"/>
        </w:rPr>
        <w:t xml:space="preserve"> in groups 3, 4, and 6, compared with group 2. MO11 and MS06 achieved better anticancer effects than doxorubicin. </w:t>
      </w:r>
      <w:r>
        <w:rPr>
          <w:rFonts w:ascii="Tahoma" w:eastAsia="Tahoma" w:hAnsi="Tahoma" w:cs="Tahoma"/>
          <w:b/>
        </w:rPr>
        <w:t>Conclusion:</w:t>
      </w:r>
      <w:r>
        <w:rPr>
          <w:rFonts w:ascii="Tahoma" w:eastAsia="Tahoma" w:hAnsi="Tahoma" w:cs="Tahoma"/>
        </w:rPr>
        <w:t xml:space="preserve"> Overall, MO11 and MS06 </w:t>
      </w:r>
      <w:r>
        <w:rPr>
          <w:rFonts w:ascii="Tahoma" w:eastAsia="Tahoma" w:hAnsi="Tahoma" w:cs="Tahoma"/>
        </w:rPr>
        <w:lastRenderedPageBreak/>
        <w:t xml:space="preserve">possess </w:t>
      </w:r>
      <w:proofErr w:type="spellStart"/>
      <w:r>
        <w:rPr>
          <w:rFonts w:ascii="Tahoma" w:eastAsia="Tahoma" w:hAnsi="Tahoma" w:cs="Tahoma"/>
        </w:rPr>
        <w:t>histo</w:t>
      </w:r>
      <w:proofErr w:type="spellEnd"/>
      <w:r>
        <w:rPr>
          <w:rFonts w:ascii="Tahoma" w:eastAsia="Tahoma" w:hAnsi="Tahoma" w:cs="Tahoma"/>
        </w:rPr>
        <w:t xml:space="preserve">-protective, neuro-protective, re-myelination, anti-proliferation, anti-angiogenesis, and anti-cancer potentials. </w:t>
      </w:r>
    </w:p>
    <w:p w14:paraId="7C558227" w14:textId="77777777" w:rsidR="00503BF5" w:rsidRDefault="00000000">
      <w:pPr>
        <w:spacing w:after="4" w:line="247" w:lineRule="auto"/>
        <w:ind w:left="24" w:right="41" w:hanging="10"/>
        <w:jc w:val="both"/>
      </w:pPr>
      <w:r>
        <w:rPr>
          <w:rFonts w:ascii="Tahoma" w:eastAsia="Tahoma" w:hAnsi="Tahoma" w:cs="Tahoma"/>
          <w:b/>
          <w:sz w:val="20"/>
        </w:rPr>
        <w:t>Keywords</w:t>
      </w:r>
      <w:r>
        <w:rPr>
          <w:rFonts w:ascii="Tahoma" w:eastAsia="Tahoma" w:hAnsi="Tahoma" w:cs="Tahoma"/>
        </w:rPr>
        <w:t xml:space="preserve">: </w:t>
      </w:r>
      <w:r>
        <w:rPr>
          <w:rFonts w:ascii="Tahoma" w:eastAsia="Tahoma" w:hAnsi="Tahoma" w:cs="Tahoma"/>
          <w:sz w:val="18"/>
        </w:rPr>
        <w:t xml:space="preserve">anticancer potentials; anti-toxic principles; cadmium; </w:t>
      </w:r>
      <w:r>
        <w:rPr>
          <w:rFonts w:ascii="Tahoma" w:eastAsia="Tahoma" w:hAnsi="Tahoma" w:cs="Tahoma"/>
          <w:sz w:val="19"/>
        </w:rPr>
        <w:t xml:space="preserve">moringa oleifera; </w:t>
      </w:r>
      <w:proofErr w:type="spellStart"/>
      <w:r>
        <w:rPr>
          <w:rFonts w:ascii="Tahoma" w:eastAsia="Tahoma" w:hAnsi="Tahoma" w:cs="Tahoma"/>
          <w:sz w:val="19"/>
        </w:rPr>
        <w:t>musa</w:t>
      </w:r>
      <w:proofErr w:type="spellEnd"/>
      <w:r>
        <w:rPr>
          <w:rFonts w:ascii="Tahoma" w:eastAsia="Tahoma" w:hAnsi="Tahoma" w:cs="Tahoma"/>
          <w:sz w:val="19"/>
        </w:rPr>
        <w:t xml:space="preserve"> </w:t>
      </w:r>
      <w:proofErr w:type="spellStart"/>
      <w:r>
        <w:rPr>
          <w:rFonts w:ascii="Tahoma" w:eastAsia="Tahoma" w:hAnsi="Tahoma" w:cs="Tahoma"/>
          <w:sz w:val="19"/>
        </w:rPr>
        <w:t>sapientum</w:t>
      </w:r>
      <w:proofErr w:type="spellEnd"/>
      <w:r>
        <w:rPr>
          <w:rFonts w:ascii="Tahoma" w:eastAsia="Tahoma" w:hAnsi="Tahoma" w:cs="Tahoma"/>
          <w:sz w:val="19"/>
        </w:rPr>
        <w:t xml:space="preserve">; </w:t>
      </w:r>
      <w:r>
        <w:rPr>
          <w:rFonts w:ascii="Tahoma" w:eastAsia="Tahoma" w:hAnsi="Tahoma" w:cs="Tahoma"/>
          <w:sz w:val="18"/>
        </w:rPr>
        <w:t xml:space="preserve">skin carcinogenesis </w:t>
      </w:r>
    </w:p>
    <w:p w14:paraId="776F1BCF" w14:textId="77777777" w:rsidR="00503BF5" w:rsidRDefault="00000000">
      <w:pPr>
        <w:spacing w:after="39"/>
      </w:pPr>
      <w:r>
        <w:rPr>
          <w:rFonts w:ascii="Tahoma" w:eastAsia="Tahoma" w:hAnsi="Tahoma" w:cs="Tahoma"/>
          <w:b/>
          <w:sz w:val="18"/>
        </w:rPr>
        <w:t xml:space="preserve">DOI: </w:t>
      </w:r>
      <w:r>
        <w:rPr>
          <w:rFonts w:ascii="Tahoma" w:eastAsia="Tahoma" w:hAnsi="Tahoma" w:cs="Tahoma"/>
          <w:b/>
          <w:color w:val="0563C1"/>
          <w:sz w:val="18"/>
          <w:u w:val="single" w:color="0563C1"/>
        </w:rPr>
        <w:t>https://dx.doi.org/10.4314/aja.v12i2.8</w:t>
      </w:r>
      <w:r>
        <w:rPr>
          <w:rFonts w:ascii="Tahoma" w:eastAsia="Tahoma" w:hAnsi="Tahoma" w:cs="Tahoma"/>
          <w:b/>
          <w:sz w:val="18"/>
        </w:rPr>
        <w:t xml:space="preserve">  </w:t>
      </w:r>
    </w:p>
    <w:p w14:paraId="7C8AC7F6" w14:textId="77777777" w:rsidR="00503BF5" w:rsidRDefault="00000000">
      <w:pPr>
        <w:spacing w:after="0"/>
        <w:ind w:left="66"/>
        <w:jc w:val="center"/>
      </w:pPr>
      <w:r>
        <w:rPr>
          <w:rFonts w:ascii="Tahoma" w:eastAsia="Tahoma" w:hAnsi="Tahoma" w:cs="Tahoma"/>
          <w:b/>
          <w:sz w:val="24"/>
        </w:rPr>
        <w:t xml:space="preserve"> </w:t>
      </w:r>
    </w:p>
    <w:p w14:paraId="73261AA1" w14:textId="77777777" w:rsidR="00503BF5" w:rsidRDefault="00000000">
      <w:pPr>
        <w:pStyle w:val="Heading2"/>
        <w:ind w:left="3701"/>
        <w:jc w:val="left"/>
      </w:pPr>
      <w:r>
        <w:t xml:space="preserve">INTRODUCTION </w:t>
      </w:r>
    </w:p>
    <w:p w14:paraId="17D892D8" w14:textId="77777777" w:rsidR="00503BF5" w:rsidRDefault="00503BF5">
      <w:pPr>
        <w:sectPr w:rsidR="00503BF5">
          <w:headerReference w:type="even" r:id="rId15"/>
          <w:headerReference w:type="default" r:id="rId16"/>
          <w:footerReference w:type="even" r:id="rId17"/>
          <w:footerReference w:type="default" r:id="rId18"/>
          <w:headerReference w:type="first" r:id="rId19"/>
          <w:footerReference w:type="first" r:id="rId20"/>
          <w:pgSz w:w="12240" w:h="16340"/>
          <w:pgMar w:top="267" w:right="1436" w:bottom="1959" w:left="1440" w:header="721" w:footer="1224" w:gutter="0"/>
          <w:cols w:space="720"/>
        </w:sectPr>
      </w:pPr>
    </w:p>
    <w:p w14:paraId="6A8621C9" w14:textId="77777777" w:rsidR="00503BF5" w:rsidRDefault="00000000">
      <w:pPr>
        <w:spacing w:after="3" w:line="247" w:lineRule="auto"/>
        <w:ind w:left="11" w:hanging="10"/>
        <w:jc w:val="both"/>
      </w:pPr>
      <w:r>
        <w:rPr>
          <w:rFonts w:ascii="Tahoma" w:eastAsia="Tahoma" w:hAnsi="Tahoma" w:cs="Tahoma"/>
        </w:rPr>
        <w:t xml:space="preserve">Cadmium (Cd) is employed industrially in the production of products such as lasers, television screens and batteries (Huff et al., 2007; Wang and Du, 2013; Andjelkovic et al., 2019). Cd is classified as a human carcinogen, and is one of the 10 chemicals or groups of chemicals of concern for human health according to the World Health Organization (Huff et al., 2007; Wang and Du, 2013; Andjelkovic et al., 2019). </w:t>
      </w:r>
      <w:proofErr w:type="spellStart"/>
      <w:r>
        <w:rPr>
          <w:rFonts w:ascii="Tahoma" w:eastAsia="Tahoma" w:hAnsi="Tahoma" w:cs="Tahoma"/>
        </w:rPr>
        <w:t>Cdexposure</w:t>
      </w:r>
      <w:proofErr w:type="spellEnd"/>
      <w:r>
        <w:rPr>
          <w:rFonts w:ascii="Tahoma" w:eastAsia="Tahoma" w:hAnsi="Tahoma" w:cs="Tahoma"/>
        </w:rPr>
        <w:t xml:space="preserve"> (at 1.0, 0.1, and 0.01% weight/volume for 10 days) resulted in alopecia, hyperkeratosis, acanthosis, ulceration, and increased mitotic index in the skin of rats and mice (Lansdown and Sampson, 1996). In addition, exposure of surgically induced skin wounds to 1.0% CdCl</w:t>
      </w:r>
      <w:r>
        <w:rPr>
          <w:rFonts w:ascii="Tahoma" w:eastAsia="Tahoma" w:hAnsi="Tahoma" w:cs="Tahoma"/>
          <w:vertAlign w:val="subscript"/>
        </w:rPr>
        <w:t>2</w:t>
      </w:r>
      <w:r>
        <w:rPr>
          <w:rFonts w:ascii="Tahoma" w:eastAsia="Tahoma" w:hAnsi="Tahoma" w:cs="Tahoma"/>
        </w:rPr>
        <w:t xml:space="preserve"> results in sustained edema, epidermal hyperplasia, inflammatory cell infiltration, and significantly increased skin metallothionein content in rats (Lansdown et al., 2001). Furthermore, human skin penetration of 12.7% (water) and 8.8% (soil) of 5 microliters/cm</w:t>
      </w:r>
      <w:r>
        <w:rPr>
          <w:rFonts w:ascii="Tahoma" w:eastAsia="Tahoma" w:hAnsi="Tahoma" w:cs="Tahoma"/>
          <w:vertAlign w:val="superscript"/>
        </w:rPr>
        <w:t>2</w:t>
      </w:r>
      <w:r>
        <w:rPr>
          <w:rFonts w:ascii="Tahoma" w:eastAsia="Tahoma" w:hAnsi="Tahoma" w:cs="Tahoma"/>
        </w:rPr>
        <w:t xml:space="preserve"> of Cd dissolved in water were reported (Wester et al., 1992). Significant increase in blood Cd content in humans correlated with severe psoriasis following adjustment for covariates and control of confounding factors (Liaw et al., 2017). The mechanism of Cd-induced skin carcinogenesis in animal models, however, remains poorly understood. </w:t>
      </w:r>
    </w:p>
    <w:p w14:paraId="36CB1A80" w14:textId="77777777" w:rsidR="00503BF5" w:rsidRDefault="00000000">
      <w:pPr>
        <w:spacing w:after="191" w:line="247" w:lineRule="auto"/>
        <w:ind w:left="11" w:hanging="10"/>
        <w:jc w:val="both"/>
      </w:pPr>
      <w:r>
        <w:rPr>
          <w:rFonts w:ascii="Tahoma" w:eastAsia="Tahoma" w:hAnsi="Tahoma" w:cs="Tahoma"/>
        </w:rPr>
        <w:t xml:space="preserve">Cancer cells comprise cancer stem cells, macrophages, and vascular endothelial cells, which aid metastasis (Lan et al., 2017; </w:t>
      </w:r>
      <w:proofErr w:type="spellStart"/>
      <w:r>
        <w:rPr>
          <w:rFonts w:ascii="Tahoma" w:eastAsia="Tahoma" w:hAnsi="Tahoma" w:cs="Tahoma"/>
        </w:rPr>
        <w:t>Akinlolu</w:t>
      </w:r>
      <w:proofErr w:type="spellEnd"/>
      <w:r>
        <w:rPr>
          <w:rFonts w:ascii="Tahoma" w:eastAsia="Tahoma" w:hAnsi="Tahoma" w:cs="Tahoma"/>
        </w:rPr>
        <w:t xml:space="preserve"> et al., 2021). Cancer cells interact with neighboring cells and extracellular components such as nerve fibers, secretory elements of nerve fibers, stroma cells, immune cells, and endothelial cells, which collectively exert a strong influence on cancer prognosis, metastasis, and survival (Lan et </w:t>
      </w:r>
      <w:r>
        <w:rPr>
          <w:rFonts w:ascii="Tahoma" w:eastAsia="Tahoma" w:hAnsi="Tahoma" w:cs="Tahoma"/>
        </w:rPr>
        <w:t xml:space="preserve">al., 2017). Dopamine is a neurotransmitter involved in regulation of processes such as motor control, arousal, motivation and reward (Noori et al., 2015). Induction of Dopamine causes apoptosis via the Cytochrome C/Caspase-dependent pathway and inhibition of tumor growth (Lan et al., 2017). In contrast, dopamine levels are downregulated in tumors (Lan et al., 2015; Kuol et al., 2018). Glutamate is the major excitatory neurotransmitter of the central nervous system which is involved in regulation of metabolism, and whose levels must be rightly maintained (Zhou and Danbolt, 2014). Metabolism-related genes are mutated in cancers, making them glutamate-dependent. Hence, dysregulation of glutamate levels promotes tumor growth (Yi et al., 2019).  </w:t>
      </w:r>
    </w:p>
    <w:p w14:paraId="28C46B5B" w14:textId="77777777" w:rsidR="00503BF5" w:rsidRDefault="00000000">
      <w:pPr>
        <w:spacing w:after="3" w:line="247" w:lineRule="auto"/>
        <w:ind w:left="11" w:right="75" w:hanging="10"/>
        <w:jc w:val="both"/>
      </w:pPr>
      <w:r>
        <w:rPr>
          <w:rFonts w:ascii="Tahoma" w:eastAsia="Tahoma" w:hAnsi="Tahoma" w:cs="Tahoma"/>
        </w:rPr>
        <w:t xml:space="preserve">The roles of Dopamine, Glutamate and neuropeptides released by nerve fibers within the tumor microenvironment in cancer prognosis, metastasis, and survival via complex neuro-cancer interactions have led neurotransmitters to be considered as targets for therapeutic interventions (Lan et al., 2017). In addition, adequate myelination of nerve fibers is needed for the proper functioning of nerve fiber-supplying tissues </w:t>
      </w:r>
    </w:p>
    <w:p w14:paraId="12574725" w14:textId="77777777" w:rsidR="00503BF5" w:rsidRDefault="00000000">
      <w:pPr>
        <w:spacing w:after="191" w:line="247" w:lineRule="auto"/>
        <w:ind w:left="11" w:right="75" w:hanging="10"/>
        <w:jc w:val="both"/>
      </w:pPr>
      <w:r>
        <w:rPr>
          <w:rFonts w:ascii="Tahoma" w:eastAsia="Tahoma" w:hAnsi="Tahoma" w:cs="Tahoma"/>
        </w:rPr>
        <w:t>(</w:t>
      </w:r>
      <w:proofErr w:type="spellStart"/>
      <w:r>
        <w:rPr>
          <w:rFonts w:ascii="Tahoma" w:eastAsia="Tahoma" w:hAnsi="Tahoma" w:cs="Tahoma"/>
        </w:rPr>
        <w:t>Akinlolu</w:t>
      </w:r>
      <w:proofErr w:type="spellEnd"/>
      <w:r>
        <w:rPr>
          <w:rFonts w:ascii="Tahoma" w:eastAsia="Tahoma" w:hAnsi="Tahoma" w:cs="Tahoma"/>
        </w:rPr>
        <w:t xml:space="preserve"> et al., 2020a). Hence, neurobiological examinations of tissue innervation </w:t>
      </w:r>
      <w:proofErr w:type="gramStart"/>
      <w:r>
        <w:rPr>
          <w:rFonts w:ascii="Tahoma" w:eastAsia="Tahoma" w:hAnsi="Tahoma" w:cs="Tahoma"/>
        </w:rPr>
        <w:t>is</w:t>
      </w:r>
      <w:proofErr w:type="gramEnd"/>
      <w:r>
        <w:rPr>
          <w:rFonts w:ascii="Tahoma" w:eastAsia="Tahoma" w:hAnsi="Tahoma" w:cs="Tahoma"/>
        </w:rPr>
        <w:t xml:space="preserve"> of importance in understanding metastasis. </w:t>
      </w:r>
    </w:p>
    <w:p w14:paraId="39511C0D" w14:textId="77777777" w:rsidR="00503BF5" w:rsidRDefault="00000000">
      <w:pPr>
        <w:spacing w:after="3" w:line="247" w:lineRule="auto"/>
        <w:ind w:left="11" w:hanging="10"/>
        <w:jc w:val="both"/>
      </w:pPr>
      <w:r>
        <w:rPr>
          <w:rFonts w:ascii="Tahoma" w:eastAsia="Tahoma" w:hAnsi="Tahoma" w:cs="Tahoma"/>
          <w:sz w:val="23"/>
        </w:rPr>
        <w:t>Moringa oleifera</w:t>
      </w:r>
      <w:r>
        <w:rPr>
          <w:rFonts w:ascii="Tahoma" w:eastAsia="Tahoma" w:hAnsi="Tahoma" w:cs="Tahoma"/>
        </w:rPr>
        <w:t xml:space="preserve"> (MO) and </w:t>
      </w:r>
      <w:r>
        <w:rPr>
          <w:rFonts w:ascii="Tahoma" w:eastAsia="Tahoma" w:hAnsi="Tahoma" w:cs="Tahoma"/>
          <w:sz w:val="23"/>
        </w:rPr>
        <w:t xml:space="preserve">Musa </w:t>
      </w:r>
      <w:proofErr w:type="spellStart"/>
      <w:r>
        <w:rPr>
          <w:rFonts w:ascii="Tahoma" w:eastAsia="Tahoma" w:hAnsi="Tahoma" w:cs="Tahoma"/>
          <w:sz w:val="23"/>
        </w:rPr>
        <w:t>sapientum</w:t>
      </w:r>
      <w:proofErr w:type="spellEnd"/>
      <w:r>
        <w:rPr>
          <w:rFonts w:ascii="Tahoma" w:eastAsia="Tahoma" w:hAnsi="Tahoma" w:cs="Tahoma"/>
        </w:rPr>
        <w:t xml:space="preserve"> (MS) are ethno-medicinal plants and dietary supplements which are well grown and widely available in Nigeria (</w:t>
      </w:r>
      <w:proofErr w:type="spellStart"/>
      <w:r>
        <w:rPr>
          <w:rFonts w:ascii="Tahoma" w:eastAsia="Tahoma" w:hAnsi="Tahoma" w:cs="Tahoma"/>
        </w:rPr>
        <w:t>Akinlolu</w:t>
      </w:r>
      <w:proofErr w:type="spellEnd"/>
      <w:r>
        <w:rPr>
          <w:rFonts w:ascii="Tahoma" w:eastAsia="Tahoma" w:hAnsi="Tahoma" w:cs="Tahoma"/>
        </w:rPr>
        <w:t xml:space="preserve"> et al., 2021).  MOF6, a sub-fraction of ethanolic extracts of MO leaves showed significant neuroprotective potentials against cuprizone-induced cerebellar damage (Omotoso et al., 2018a) </w:t>
      </w:r>
      <w:r>
        <w:rPr>
          <w:rFonts w:ascii="Tahoma" w:eastAsia="Tahoma" w:hAnsi="Tahoma" w:cs="Tahoma"/>
        </w:rPr>
        <w:lastRenderedPageBreak/>
        <w:t xml:space="preserve">and dysregulated acetylcholinesterase concentrations in sodium </w:t>
      </w:r>
      <w:proofErr w:type="spellStart"/>
      <w:r>
        <w:rPr>
          <w:rFonts w:ascii="Tahoma" w:eastAsia="Tahoma" w:hAnsi="Tahoma" w:cs="Tahoma"/>
        </w:rPr>
        <w:t>arsenite</w:t>
      </w:r>
      <w:proofErr w:type="spellEnd"/>
      <w:r>
        <w:rPr>
          <w:rFonts w:ascii="Tahoma" w:eastAsia="Tahoma" w:hAnsi="Tahoma" w:cs="Tahoma"/>
        </w:rPr>
        <w:t>-induced neurotoxicity (</w:t>
      </w:r>
      <w:proofErr w:type="spellStart"/>
      <w:r>
        <w:rPr>
          <w:rFonts w:ascii="Tahoma" w:eastAsia="Tahoma" w:hAnsi="Tahoma" w:cs="Tahoma"/>
        </w:rPr>
        <w:t>Akinlolu</w:t>
      </w:r>
      <w:proofErr w:type="spellEnd"/>
      <w:r>
        <w:rPr>
          <w:rFonts w:ascii="Tahoma" w:eastAsia="Tahoma" w:hAnsi="Tahoma" w:cs="Tahoma"/>
        </w:rPr>
        <w:t xml:space="preserve"> et al., 2020b) in rats. MOF6 equally showed hepatoprotective, anti-proliferation, and anti-drug resistance potentials in 7,12Dimethylbenz(a)anthracene-induced hepatotoxicity in rats (</w:t>
      </w:r>
      <w:proofErr w:type="spellStart"/>
      <w:r>
        <w:rPr>
          <w:rFonts w:ascii="Tahoma" w:eastAsia="Tahoma" w:hAnsi="Tahoma" w:cs="Tahoma"/>
        </w:rPr>
        <w:t>Akinlolu</w:t>
      </w:r>
      <w:proofErr w:type="spellEnd"/>
      <w:r>
        <w:rPr>
          <w:rFonts w:ascii="Tahoma" w:eastAsia="Tahoma" w:hAnsi="Tahoma" w:cs="Tahoma"/>
        </w:rPr>
        <w:t xml:space="preserve"> et al., 2021).   Furthermore, MSF1, which was fractionated from MS suckers, showed hepatoprotective, anti-proliferation, and anti-drug resistance </w:t>
      </w:r>
    </w:p>
    <w:p w14:paraId="77ADEEBE" w14:textId="77777777" w:rsidR="00503BF5" w:rsidRDefault="00000000">
      <w:pPr>
        <w:tabs>
          <w:tab w:val="center" w:pos="2378"/>
          <w:tab w:val="center" w:pos="4067"/>
        </w:tabs>
        <w:spacing w:after="3" w:line="247" w:lineRule="auto"/>
      </w:pPr>
      <w:r>
        <w:rPr>
          <w:rFonts w:ascii="Tahoma" w:eastAsia="Tahoma" w:hAnsi="Tahoma" w:cs="Tahoma"/>
        </w:rPr>
        <w:t xml:space="preserve">potentials </w:t>
      </w:r>
      <w:r>
        <w:rPr>
          <w:rFonts w:ascii="Tahoma" w:eastAsia="Tahoma" w:hAnsi="Tahoma" w:cs="Tahoma"/>
        </w:rPr>
        <w:tab/>
        <w:t xml:space="preserve">in </w:t>
      </w:r>
      <w:r>
        <w:rPr>
          <w:rFonts w:ascii="Tahoma" w:eastAsia="Tahoma" w:hAnsi="Tahoma" w:cs="Tahoma"/>
        </w:rPr>
        <w:tab/>
        <w:t>7,12-</w:t>
      </w:r>
    </w:p>
    <w:p w14:paraId="66ACEEED" w14:textId="77777777" w:rsidR="00503BF5" w:rsidRDefault="00000000">
      <w:pPr>
        <w:spacing w:after="190" w:line="247" w:lineRule="auto"/>
        <w:ind w:left="11" w:hanging="10"/>
        <w:jc w:val="both"/>
      </w:pPr>
      <w:proofErr w:type="spellStart"/>
      <w:r>
        <w:rPr>
          <w:rFonts w:ascii="Tahoma" w:eastAsia="Tahoma" w:hAnsi="Tahoma" w:cs="Tahoma"/>
        </w:rPr>
        <w:t>Dimethylbenz</w:t>
      </w:r>
      <w:proofErr w:type="spellEnd"/>
      <w:r>
        <w:rPr>
          <w:rFonts w:ascii="Tahoma" w:eastAsia="Tahoma" w:hAnsi="Tahoma" w:cs="Tahoma"/>
        </w:rPr>
        <w:t>(a)anthracene-induced hepatotoxicity in rats (</w:t>
      </w:r>
      <w:proofErr w:type="spellStart"/>
      <w:r>
        <w:rPr>
          <w:rFonts w:ascii="Tahoma" w:eastAsia="Tahoma" w:hAnsi="Tahoma" w:cs="Tahoma"/>
        </w:rPr>
        <w:t>Akinlolu</w:t>
      </w:r>
      <w:proofErr w:type="spellEnd"/>
      <w:r>
        <w:rPr>
          <w:rFonts w:ascii="Tahoma" w:eastAsia="Tahoma" w:hAnsi="Tahoma" w:cs="Tahoma"/>
        </w:rPr>
        <w:t xml:space="preserve"> et al., 2021).     </w:t>
      </w:r>
    </w:p>
    <w:tbl>
      <w:tblPr>
        <w:tblStyle w:val="TableGrid"/>
        <w:tblpPr w:vertAnchor="text" w:horzAnchor="margin" w:tblpY="1327"/>
        <w:tblOverlap w:val="never"/>
        <w:tblW w:w="9505" w:type="dxa"/>
        <w:tblInd w:w="0" w:type="dxa"/>
        <w:tblCellMar>
          <w:top w:w="0" w:type="dxa"/>
          <w:left w:w="115" w:type="dxa"/>
          <w:bottom w:w="0" w:type="dxa"/>
          <w:right w:w="115" w:type="dxa"/>
        </w:tblCellMar>
        <w:tblLook w:val="04A0" w:firstRow="1" w:lastRow="0" w:firstColumn="1" w:lastColumn="0" w:noHBand="0" w:noVBand="1"/>
      </w:tblPr>
      <w:tblGrid>
        <w:gridCol w:w="9505"/>
      </w:tblGrid>
      <w:tr w:rsidR="00503BF5" w14:paraId="385660D0" w14:textId="77777777">
        <w:trPr>
          <w:trHeight w:val="580"/>
        </w:trPr>
        <w:tc>
          <w:tcPr>
            <w:tcW w:w="3370" w:type="dxa"/>
            <w:tcBorders>
              <w:top w:val="nil"/>
              <w:left w:val="nil"/>
              <w:bottom w:val="nil"/>
              <w:right w:val="nil"/>
            </w:tcBorders>
          </w:tcPr>
          <w:p w14:paraId="1356D656" w14:textId="77777777" w:rsidR="00503BF5" w:rsidRDefault="00000000">
            <w:pPr>
              <w:spacing w:after="0"/>
              <w:ind w:right="74"/>
              <w:jc w:val="center"/>
            </w:pPr>
            <w:r>
              <w:rPr>
                <w:rFonts w:ascii="Tahoma" w:eastAsia="Tahoma" w:hAnsi="Tahoma" w:cs="Tahoma"/>
                <w:b/>
                <w:sz w:val="24"/>
              </w:rPr>
              <w:t xml:space="preserve"> </w:t>
            </w:r>
          </w:p>
          <w:p w14:paraId="05696BBA" w14:textId="77777777" w:rsidR="00503BF5" w:rsidRDefault="00000000">
            <w:pPr>
              <w:spacing w:after="0"/>
              <w:ind w:right="149"/>
              <w:jc w:val="center"/>
            </w:pPr>
            <w:r>
              <w:rPr>
                <w:rFonts w:ascii="Tahoma" w:eastAsia="Tahoma" w:hAnsi="Tahoma" w:cs="Tahoma"/>
                <w:b/>
                <w:sz w:val="24"/>
              </w:rPr>
              <w:t xml:space="preserve">MATERIALS AND METHODS </w:t>
            </w:r>
          </w:p>
        </w:tc>
      </w:tr>
    </w:tbl>
    <w:p w14:paraId="64CCE5C6" w14:textId="77777777" w:rsidR="00503BF5" w:rsidRDefault="00000000">
      <w:pPr>
        <w:spacing w:after="4" w:line="237" w:lineRule="auto"/>
        <w:ind w:left="-5" w:hanging="10"/>
      </w:pPr>
      <w:r>
        <w:rPr>
          <w:rFonts w:ascii="Tahoma" w:eastAsia="Tahoma" w:hAnsi="Tahoma" w:cs="Tahoma"/>
        </w:rPr>
        <w:t xml:space="preserve">Therefore, in-order to further determine their anticancer </w:t>
      </w:r>
      <w:r>
        <w:rPr>
          <w:rFonts w:ascii="Tahoma" w:eastAsia="Tahoma" w:hAnsi="Tahoma" w:cs="Tahoma"/>
        </w:rPr>
        <w:tab/>
        <w:t xml:space="preserve">and </w:t>
      </w:r>
      <w:r>
        <w:rPr>
          <w:rFonts w:ascii="Tahoma" w:eastAsia="Tahoma" w:hAnsi="Tahoma" w:cs="Tahoma"/>
        </w:rPr>
        <w:tab/>
        <w:t xml:space="preserve">tissue-neuroprotective </w:t>
      </w:r>
      <w:r>
        <w:rPr>
          <w:rFonts w:ascii="Tahoma" w:eastAsia="Tahoma" w:hAnsi="Tahoma" w:cs="Tahoma"/>
        </w:rPr>
        <w:t xml:space="preserve">potentials, this study evaluated the effects of MO11 (isolated from </w:t>
      </w:r>
      <w:r>
        <w:rPr>
          <w:rFonts w:ascii="Tahoma" w:eastAsia="Tahoma" w:hAnsi="Tahoma" w:cs="Tahoma"/>
          <w:sz w:val="23"/>
        </w:rPr>
        <w:t>Moringa oleifera</w:t>
      </w:r>
      <w:r>
        <w:rPr>
          <w:rFonts w:ascii="Tahoma" w:eastAsia="Tahoma" w:hAnsi="Tahoma" w:cs="Tahoma"/>
        </w:rPr>
        <w:t xml:space="preserve"> leaves) and MS06 (isolated from </w:t>
      </w:r>
      <w:r>
        <w:rPr>
          <w:rFonts w:ascii="Tahoma" w:eastAsia="Tahoma" w:hAnsi="Tahoma" w:cs="Tahoma"/>
          <w:sz w:val="23"/>
        </w:rPr>
        <w:t xml:space="preserve">Musa </w:t>
      </w:r>
      <w:proofErr w:type="spellStart"/>
      <w:r>
        <w:rPr>
          <w:rFonts w:ascii="Tahoma" w:eastAsia="Tahoma" w:hAnsi="Tahoma" w:cs="Tahoma"/>
          <w:sz w:val="23"/>
        </w:rPr>
        <w:t>sapientum</w:t>
      </w:r>
      <w:proofErr w:type="spellEnd"/>
      <w:r>
        <w:rPr>
          <w:rFonts w:ascii="Tahoma" w:eastAsia="Tahoma" w:hAnsi="Tahoma" w:cs="Tahoma"/>
        </w:rPr>
        <w:t xml:space="preserve"> suckers) on skin concentrations of neurotransmitters (Dopamine and Glutamate), biomarkers of myelination (Myelin Basic Protein), drug metabolism and carcinogenesis (cytochrome p450), apoptosis (Caspase-3 and p53), proliferation (Ki67), and angiogenesis (</w:t>
      </w:r>
      <w:proofErr w:type="spellStart"/>
      <w:r>
        <w:rPr>
          <w:rFonts w:ascii="Tahoma" w:eastAsia="Tahoma" w:hAnsi="Tahoma" w:cs="Tahoma"/>
        </w:rPr>
        <w:t>sVEGFR</w:t>
      </w:r>
      <w:proofErr w:type="spellEnd"/>
      <w:r>
        <w:rPr>
          <w:rFonts w:ascii="Tahoma" w:eastAsia="Tahoma" w:hAnsi="Tahoma" w:cs="Tahoma"/>
        </w:rPr>
        <w:t>) in CdCl</w:t>
      </w:r>
      <w:r>
        <w:rPr>
          <w:rFonts w:ascii="Tahoma" w:eastAsia="Tahoma" w:hAnsi="Tahoma" w:cs="Tahoma"/>
          <w:vertAlign w:val="subscript"/>
        </w:rPr>
        <w:t>2</w:t>
      </w:r>
      <w:r>
        <w:rPr>
          <w:rFonts w:ascii="Tahoma" w:eastAsia="Tahoma" w:hAnsi="Tahoma" w:cs="Tahoma"/>
        </w:rPr>
        <w:t xml:space="preserve">induced skin toxicity in adult male Wistar rats. </w:t>
      </w:r>
    </w:p>
    <w:p w14:paraId="2397D172" w14:textId="77777777" w:rsidR="00503BF5" w:rsidRDefault="00503BF5">
      <w:pPr>
        <w:sectPr w:rsidR="00503BF5">
          <w:type w:val="continuous"/>
          <w:pgSz w:w="12240" w:h="16340"/>
          <w:pgMar w:top="1441" w:right="1362" w:bottom="1994" w:left="1440" w:header="720" w:footer="720" w:gutter="0"/>
          <w:cols w:num="2" w:space="627"/>
        </w:sectPr>
      </w:pPr>
    </w:p>
    <w:p w14:paraId="124AC734" w14:textId="77777777" w:rsidR="00503BF5" w:rsidRDefault="00000000">
      <w:pPr>
        <w:spacing w:after="0" w:line="248" w:lineRule="auto"/>
        <w:ind w:left="11" w:right="9" w:hanging="10"/>
        <w:jc w:val="both"/>
      </w:pPr>
      <w:r>
        <w:rPr>
          <w:rFonts w:ascii="Tahoma" w:eastAsia="Tahoma" w:hAnsi="Tahoma" w:cs="Tahoma"/>
          <w:b/>
        </w:rPr>
        <w:t xml:space="preserve">Ethical approval and compliance with ethical standards </w:t>
      </w:r>
    </w:p>
    <w:p w14:paraId="59C8BFA0" w14:textId="77777777" w:rsidR="00503BF5" w:rsidRDefault="00000000">
      <w:pPr>
        <w:spacing w:after="3" w:line="247" w:lineRule="auto"/>
        <w:ind w:left="11" w:hanging="10"/>
        <w:jc w:val="both"/>
      </w:pPr>
      <w:r>
        <w:rPr>
          <w:rFonts w:ascii="Tahoma" w:eastAsia="Tahoma" w:hAnsi="Tahoma" w:cs="Tahoma"/>
        </w:rPr>
        <w:t xml:space="preserve">Ethical approval for this study was obtained from the Ethical Review Committee of the University of Ilorin, Nigeria. Appropriate measures were taken to ensure minimal pain and discomfort in the rats used in this study. </w:t>
      </w:r>
    </w:p>
    <w:p w14:paraId="056C3DA3" w14:textId="77777777" w:rsidR="00503BF5" w:rsidRDefault="00000000">
      <w:pPr>
        <w:spacing w:after="3" w:line="247" w:lineRule="auto"/>
        <w:ind w:left="11" w:hanging="10"/>
        <w:jc w:val="both"/>
      </w:pPr>
      <w:r>
        <w:rPr>
          <w:rFonts w:ascii="Tahoma" w:eastAsia="Tahoma" w:hAnsi="Tahoma" w:cs="Tahoma"/>
        </w:rPr>
        <w:t xml:space="preserve">The ethical approval number is UERC/ASN/2018/1161. Furthermore, this research study was conducted in accordance with the internationally accepted principles for laboratory animal use and care as provided in the European Community guidelines (EEC Directive of 1986; 86/609/EEC), the Directive 2010/63/Eu of the European Parliament and of the Council of September 22, 2010, on the protection of animals used for scientific purposes, and the Guidelines of the U.S. Public Health Service and NIH regarding the care and use of animals for experimentation (NIH publication #85-23, revised in 985). </w:t>
      </w:r>
    </w:p>
    <w:p w14:paraId="248547E5" w14:textId="77777777" w:rsidR="00503BF5" w:rsidRDefault="00000000">
      <w:pPr>
        <w:spacing w:after="0"/>
      </w:pPr>
      <w:r>
        <w:rPr>
          <w:rFonts w:ascii="Tahoma" w:eastAsia="Tahoma" w:hAnsi="Tahoma" w:cs="Tahoma"/>
        </w:rPr>
        <w:t xml:space="preserve"> </w:t>
      </w:r>
    </w:p>
    <w:p w14:paraId="2823E014" w14:textId="77777777" w:rsidR="00503BF5" w:rsidRDefault="00000000">
      <w:pPr>
        <w:spacing w:after="0" w:line="248" w:lineRule="auto"/>
        <w:ind w:left="11" w:right="9" w:hanging="10"/>
        <w:jc w:val="both"/>
      </w:pPr>
      <w:r>
        <w:rPr>
          <w:rFonts w:ascii="Tahoma" w:eastAsia="Tahoma" w:hAnsi="Tahoma" w:cs="Tahoma"/>
          <w:b/>
        </w:rPr>
        <w:t xml:space="preserve">Collection, authentication and deposition of MO leaves and MS suckers </w:t>
      </w:r>
    </w:p>
    <w:p w14:paraId="03582879" w14:textId="77777777" w:rsidR="00503BF5" w:rsidRDefault="00000000">
      <w:pPr>
        <w:spacing w:after="3" w:line="247" w:lineRule="auto"/>
        <w:ind w:left="11" w:hanging="10"/>
        <w:jc w:val="both"/>
      </w:pPr>
      <w:r>
        <w:rPr>
          <w:rFonts w:ascii="Tahoma" w:eastAsia="Tahoma" w:hAnsi="Tahoma" w:cs="Tahoma"/>
        </w:rPr>
        <w:t xml:space="preserve">MO leaves and MS suckers were obtained locally and freshly from forest reserves in Ilorin, Kwara State, Nigeria. The obtained plant samples were authenticated, deposited, and assigned Herbarium Identification Numbers UILH/001/1249 and UILH/002/1182, respectively, at the herbarium of the Department of Botany, </w:t>
      </w:r>
    </w:p>
    <w:p w14:paraId="68156F30" w14:textId="77777777" w:rsidR="00503BF5" w:rsidRDefault="00000000">
      <w:pPr>
        <w:spacing w:after="3" w:line="247" w:lineRule="auto"/>
        <w:ind w:left="11" w:hanging="10"/>
        <w:jc w:val="both"/>
      </w:pPr>
      <w:r>
        <w:rPr>
          <w:rFonts w:ascii="Tahoma" w:eastAsia="Tahoma" w:hAnsi="Tahoma" w:cs="Tahoma"/>
        </w:rPr>
        <w:t xml:space="preserve">University of Ilorin, Nigeria. </w:t>
      </w:r>
    </w:p>
    <w:p w14:paraId="19577E59" w14:textId="77777777" w:rsidR="00503BF5" w:rsidRDefault="00000000">
      <w:pPr>
        <w:spacing w:after="0"/>
      </w:pPr>
      <w:r>
        <w:rPr>
          <w:rFonts w:ascii="Tahoma" w:eastAsia="Tahoma" w:hAnsi="Tahoma" w:cs="Tahoma"/>
          <w:b/>
        </w:rPr>
        <w:t xml:space="preserve"> </w:t>
      </w:r>
    </w:p>
    <w:p w14:paraId="4C96E41D" w14:textId="77777777" w:rsidR="00503BF5" w:rsidRDefault="00000000">
      <w:pPr>
        <w:spacing w:after="0" w:line="248" w:lineRule="auto"/>
        <w:ind w:left="11" w:right="76" w:hanging="10"/>
        <w:jc w:val="both"/>
      </w:pPr>
      <w:r>
        <w:rPr>
          <w:rFonts w:ascii="Tahoma" w:eastAsia="Tahoma" w:hAnsi="Tahoma" w:cs="Tahoma"/>
          <w:b/>
        </w:rPr>
        <w:t xml:space="preserve">Evaluations of antioxidant and antimicrobial activities of MO and MS fractions </w:t>
      </w:r>
    </w:p>
    <w:p w14:paraId="53BA06D3" w14:textId="77777777" w:rsidR="00503BF5" w:rsidRDefault="00000000">
      <w:pPr>
        <w:spacing w:after="191" w:line="247" w:lineRule="auto"/>
        <w:ind w:left="11" w:hanging="10"/>
        <w:jc w:val="both"/>
      </w:pPr>
      <w:r>
        <w:rPr>
          <w:rFonts w:ascii="Tahoma" w:eastAsia="Tahoma" w:hAnsi="Tahoma" w:cs="Tahoma"/>
        </w:rPr>
        <w:t xml:space="preserve">The antioxidant activities of the plant extracts were evaluated using the modified 2,2- diphenyl-1-picrylhydrazyl method as previously described by Chaves et al. (2020). In addition, the anti-microbial activities of the plant extracts were evaluated by testing the cytotoxic potential of each fraction against E. coli and Salmonella typhimurium, as previously described by Elisha et al. (2017). </w:t>
      </w:r>
    </w:p>
    <w:p w14:paraId="22A4A1C6" w14:textId="77777777" w:rsidR="00503BF5" w:rsidRDefault="00000000">
      <w:pPr>
        <w:spacing w:after="0" w:line="248" w:lineRule="auto"/>
        <w:ind w:left="11" w:right="77" w:hanging="10"/>
        <w:jc w:val="both"/>
      </w:pPr>
      <w:r>
        <w:rPr>
          <w:rFonts w:ascii="Tahoma" w:eastAsia="Tahoma" w:hAnsi="Tahoma" w:cs="Tahoma"/>
          <w:b/>
        </w:rPr>
        <w:t xml:space="preserve">Extraction, partitioning of fractions and isolations of MO11 from MO leaves and MS06 from MS suckers </w:t>
      </w:r>
    </w:p>
    <w:p w14:paraId="20DEE998" w14:textId="77777777" w:rsidR="00503BF5" w:rsidRDefault="00000000">
      <w:pPr>
        <w:spacing w:after="3" w:line="247" w:lineRule="auto"/>
        <w:ind w:left="11" w:hanging="10"/>
        <w:jc w:val="both"/>
      </w:pPr>
      <w:r>
        <w:rPr>
          <w:rFonts w:ascii="Tahoma" w:eastAsia="Tahoma" w:hAnsi="Tahoma" w:cs="Tahoma"/>
        </w:rPr>
        <w:t xml:space="preserve">MO11 and MS06 were isolated from </w:t>
      </w:r>
      <w:r>
        <w:rPr>
          <w:rFonts w:ascii="Tahoma" w:eastAsia="Tahoma" w:hAnsi="Tahoma" w:cs="Tahoma"/>
          <w:sz w:val="23"/>
        </w:rPr>
        <w:t>Moringa oleifera</w:t>
      </w:r>
      <w:r>
        <w:rPr>
          <w:rFonts w:ascii="Tahoma" w:eastAsia="Tahoma" w:hAnsi="Tahoma" w:cs="Tahoma"/>
        </w:rPr>
        <w:t xml:space="preserve"> leaves and </w:t>
      </w:r>
      <w:r>
        <w:rPr>
          <w:rFonts w:ascii="Tahoma" w:eastAsia="Tahoma" w:hAnsi="Tahoma" w:cs="Tahoma"/>
          <w:sz w:val="23"/>
        </w:rPr>
        <w:t xml:space="preserve">Musa </w:t>
      </w:r>
      <w:proofErr w:type="spellStart"/>
      <w:r>
        <w:rPr>
          <w:rFonts w:ascii="Tahoma" w:eastAsia="Tahoma" w:hAnsi="Tahoma" w:cs="Tahoma"/>
          <w:sz w:val="23"/>
        </w:rPr>
        <w:t>sapientum</w:t>
      </w:r>
      <w:proofErr w:type="spellEnd"/>
      <w:r>
        <w:rPr>
          <w:rFonts w:ascii="Tahoma" w:eastAsia="Tahoma" w:hAnsi="Tahoma" w:cs="Tahoma"/>
        </w:rPr>
        <w:t xml:space="preserve"> suckers, respectively, following a series of antioxidant </w:t>
      </w:r>
      <w:r>
        <w:rPr>
          <w:rFonts w:ascii="Tahoma" w:eastAsia="Tahoma" w:hAnsi="Tahoma" w:cs="Tahoma"/>
        </w:rPr>
        <w:lastRenderedPageBreak/>
        <w:t>analyses (2,2-diphenyl-1-picrylhydrazyl method), anti-microbial analyses (</w:t>
      </w:r>
      <w:proofErr w:type="spellStart"/>
      <w:r>
        <w:rPr>
          <w:rFonts w:ascii="Tahoma" w:eastAsia="Tahoma" w:hAnsi="Tahoma" w:cs="Tahoma"/>
        </w:rPr>
        <w:t>antiEscherichia</w:t>
      </w:r>
      <w:proofErr w:type="spellEnd"/>
      <w:r>
        <w:rPr>
          <w:rFonts w:ascii="Tahoma" w:eastAsia="Tahoma" w:hAnsi="Tahoma" w:cs="Tahoma"/>
        </w:rPr>
        <w:t>-coli and anti-</w:t>
      </w:r>
      <w:proofErr w:type="spellStart"/>
      <w:r>
        <w:rPr>
          <w:rFonts w:ascii="Tahoma" w:eastAsia="Tahoma" w:hAnsi="Tahoma" w:cs="Tahoma"/>
        </w:rPr>
        <w:t>Salmonellatiphimurium</w:t>
      </w:r>
      <w:proofErr w:type="spellEnd"/>
      <w:r>
        <w:rPr>
          <w:rFonts w:ascii="Tahoma" w:eastAsia="Tahoma" w:hAnsi="Tahoma" w:cs="Tahoma"/>
        </w:rPr>
        <w:t xml:space="preserve"> tests), chromatography, and spectroscopic fractionation techniques, as described previously (</w:t>
      </w:r>
      <w:proofErr w:type="spellStart"/>
      <w:r>
        <w:rPr>
          <w:rFonts w:ascii="Tahoma" w:eastAsia="Tahoma" w:hAnsi="Tahoma" w:cs="Tahoma"/>
        </w:rPr>
        <w:t>Akinlolu</w:t>
      </w:r>
      <w:proofErr w:type="spellEnd"/>
      <w:r>
        <w:rPr>
          <w:rFonts w:ascii="Tahoma" w:eastAsia="Tahoma" w:hAnsi="Tahoma" w:cs="Tahoma"/>
        </w:rPr>
        <w:t xml:space="preserve"> et al., 2022a; Ameen and </w:t>
      </w:r>
      <w:proofErr w:type="spellStart"/>
      <w:r>
        <w:rPr>
          <w:rFonts w:ascii="Tahoma" w:eastAsia="Tahoma" w:hAnsi="Tahoma" w:cs="Tahoma"/>
        </w:rPr>
        <w:t>Akinlolu</w:t>
      </w:r>
      <w:proofErr w:type="spellEnd"/>
      <w:r>
        <w:rPr>
          <w:rFonts w:ascii="Tahoma" w:eastAsia="Tahoma" w:hAnsi="Tahoma" w:cs="Tahoma"/>
        </w:rPr>
        <w:t xml:space="preserve">, 2023).  </w:t>
      </w:r>
    </w:p>
    <w:p w14:paraId="22B43CB2" w14:textId="77777777" w:rsidR="00503BF5" w:rsidRDefault="00000000">
      <w:pPr>
        <w:spacing w:after="0"/>
        <w:ind w:left="16"/>
      </w:pPr>
      <w:r>
        <w:rPr>
          <w:rFonts w:ascii="Tahoma" w:eastAsia="Tahoma" w:hAnsi="Tahoma" w:cs="Tahoma"/>
        </w:rPr>
        <w:t xml:space="preserve"> </w:t>
      </w:r>
    </w:p>
    <w:p w14:paraId="77892F49" w14:textId="77777777" w:rsidR="00503BF5" w:rsidRDefault="00000000">
      <w:pPr>
        <w:spacing w:after="0" w:line="248" w:lineRule="auto"/>
        <w:ind w:left="11" w:right="9" w:hanging="10"/>
        <w:jc w:val="both"/>
      </w:pPr>
      <w:r>
        <w:rPr>
          <w:rFonts w:ascii="Tahoma" w:eastAsia="Tahoma" w:hAnsi="Tahoma" w:cs="Tahoma"/>
          <w:b/>
        </w:rPr>
        <w:t xml:space="preserve">Animal care and feeding </w:t>
      </w:r>
    </w:p>
    <w:p w14:paraId="64E7ED51" w14:textId="77777777" w:rsidR="00503BF5" w:rsidRDefault="00000000">
      <w:pPr>
        <w:spacing w:after="3" w:line="247" w:lineRule="auto"/>
        <w:ind w:left="11" w:right="75" w:hanging="10"/>
        <w:jc w:val="both"/>
      </w:pPr>
      <w:r>
        <w:rPr>
          <w:rFonts w:ascii="Tahoma" w:eastAsia="Tahoma" w:hAnsi="Tahoma" w:cs="Tahoma"/>
        </w:rPr>
        <w:t xml:space="preserve">24 </w:t>
      </w:r>
      <w:proofErr w:type="gramStart"/>
      <w:r>
        <w:rPr>
          <w:rFonts w:ascii="Tahoma" w:eastAsia="Tahoma" w:hAnsi="Tahoma" w:cs="Tahoma"/>
        </w:rPr>
        <w:t>adult</w:t>
      </w:r>
      <w:proofErr w:type="gramEnd"/>
      <w:r>
        <w:rPr>
          <w:rFonts w:ascii="Tahoma" w:eastAsia="Tahoma" w:hAnsi="Tahoma" w:cs="Tahoma"/>
        </w:rPr>
        <w:t xml:space="preserve"> male Wistar rats (average weight, 155 g; age, 2 months) were purchased from a colony breed at Badagry in Lagos State, Nigeria. The rats were randomly divided into six groups with four rats per group. The rats were acclimatized for a week at the animal house of the Faculty of Pharmacy of Olabisi Onabanjo University, Nigeria, before beginning the experimental procedures. The rats were maintained under standard conditions and permitted unlimited access to food and drinking water ad libitum. The body weights of the rats were computed on a daily basis using an electronic compact scale (SF400C weighs in grams) (Valid Enterprise, </w:t>
      </w:r>
      <w:proofErr w:type="spellStart"/>
      <w:r>
        <w:rPr>
          <w:rFonts w:ascii="Tahoma" w:eastAsia="Tahoma" w:hAnsi="Tahoma" w:cs="Tahoma"/>
        </w:rPr>
        <w:t>Kalbadevi</w:t>
      </w:r>
      <w:proofErr w:type="spellEnd"/>
      <w:r>
        <w:rPr>
          <w:rFonts w:ascii="Tahoma" w:eastAsia="Tahoma" w:hAnsi="Tahoma" w:cs="Tahoma"/>
        </w:rPr>
        <w:t xml:space="preserve">, Mumbai, India). </w:t>
      </w:r>
    </w:p>
    <w:p w14:paraId="3088288C" w14:textId="77777777" w:rsidR="00503BF5" w:rsidRDefault="00000000">
      <w:pPr>
        <w:spacing w:after="0"/>
      </w:pPr>
      <w:r>
        <w:rPr>
          <w:rFonts w:ascii="Tahoma" w:eastAsia="Tahoma" w:hAnsi="Tahoma" w:cs="Tahoma"/>
        </w:rPr>
        <w:t xml:space="preserve"> </w:t>
      </w:r>
    </w:p>
    <w:p w14:paraId="728860D1" w14:textId="77777777" w:rsidR="00503BF5" w:rsidRDefault="00000000">
      <w:pPr>
        <w:spacing w:after="0" w:line="248" w:lineRule="auto"/>
        <w:ind w:left="11" w:right="9" w:hanging="10"/>
        <w:jc w:val="both"/>
      </w:pPr>
      <w:r>
        <w:rPr>
          <w:rFonts w:ascii="Tahoma" w:eastAsia="Tahoma" w:hAnsi="Tahoma" w:cs="Tahoma"/>
          <w:b/>
        </w:rPr>
        <w:t xml:space="preserve">Grouping of rats and extracts/drugs administration  </w:t>
      </w:r>
    </w:p>
    <w:p w14:paraId="74F72995" w14:textId="77777777" w:rsidR="00503BF5" w:rsidRDefault="00000000">
      <w:pPr>
        <w:spacing w:after="3" w:line="247" w:lineRule="auto"/>
        <w:ind w:left="11" w:hanging="10"/>
        <w:jc w:val="both"/>
      </w:pPr>
      <w:r>
        <w:rPr>
          <w:rFonts w:ascii="Tahoma" w:eastAsia="Tahoma" w:hAnsi="Tahoma" w:cs="Tahoma"/>
        </w:rPr>
        <w:t xml:space="preserve">MO11 and MS06 were dissolved in Olive Oil </w:t>
      </w:r>
    </w:p>
    <w:p w14:paraId="49033C7A" w14:textId="77777777" w:rsidR="00503BF5" w:rsidRDefault="00000000">
      <w:pPr>
        <w:spacing w:after="3" w:line="247" w:lineRule="auto"/>
        <w:ind w:left="11" w:hanging="10"/>
        <w:jc w:val="both"/>
      </w:pPr>
      <w:r>
        <w:rPr>
          <w:rFonts w:ascii="Tahoma" w:eastAsia="Tahoma" w:hAnsi="Tahoma" w:cs="Tahoma"/>
        </w:rPr>
        <w:t>(</w:t>
      </w:r>
      <w:proofErr w:type="gramStart"/>
      <w:r>
        <w:rPr>
          <w:rFonts w:ascii="Tahoma" w:eastAsia="Tahoma" w:hAnsi="Tahoma" w:cs="Tahoma"/>
        </w:rPr>
        <w:t>the</w:t>
      </w:r>
      <w:proofErr w:type="gramEnd"/>
      <w:r>
        <w:rPr>
          <w:rFonts w:ascii="Tahoma" w:eastAsia="Tahoma" w:hAnsi="Tahoma" w:cs="Tahoma"/>
        </w:rPr>
        <w:t xml:space="preserve"> vehicle). Rats in Control Group 1 (Baseline Control) received physiological saline for only 17 Days (Days 1-17). Each rat in Experimental Groups 2-4 and 6 received a single intraperitoneal administration of 1.5 mg/Kg bodyweight CdCl</w:t>
      </w:r>
      <w:r>
        <w:rPr>
          <w:rFonts w:ascii="Tahoma" w:eastAsia="Tahoma" w:hAnsi="Tahoma" w:cs="Tahoma"/>
          <w:vertAlign w:val="subscript"/>
        </w:rPr>
        <w:t>2</w:t>
      </w:r>
      <w:r>
        <w:rPr>
          <w:rFonts w:ascii="Tahoma" w:eastAsia="Tahoma" w:hAnsi="Tahoma" w:cs="Tahoma"/>
        </w:rPr>
        <w:t xml:space="preserve"> (Sigma-Aldrich, Japan Co.) on Day 1. Rats in group 2 (Negative Control) were left untreated throughout the experimental procedure for 17 Days (Days 1-17). Thereafter, rats in group 3 were post-treated with oral administration of 15 mg/kg body weight of MO11 for 17 Days (Days 1-17). Rats in group 4 were post-treated with oral administration of a combined mixture of 15 mg/kg body weight of MO11 and 7 mg/kg bodyweight of MS06 </w:t>
      </w:r>
      <w:r>
        <w:rPr>
          <w:rFonts w:ascii="Tahoma" w:eastAsia="Tahoma" w:hAnsi="Tahoma" w:cs="Tahoma"/>
        </w:rPr>
        <w:t xml:space="preserve">for 17 Days (Days 1-17). Rats in group 5 received only oral administration of Olive </w:t>
      </w:r>
    </w:p>
    <w:p w14:paraId="1C33FE32" w14:textId="77777777" w:rsidR="00503BF5" w:rsidRDefault="00000000">
      <w:pPr>
        <w:spacing w:after="3" w:line="247" w:lineRule="auto"/>
        <w:ind w:left="11" w:hanging="10"/>
        <w:jc w:val="both"/>
      </w:pPr>
      <w:r>
        <w:rPr>
          <w:rFonts w:ascii="Tahoma" w:eastAsia="Tahoma" w:hAnsi="Tahoma" w:cs="Tahoma"/>
        </w:rPr>
        <w:t xml:space="preserve">Oil (vehicle, 1 mL/kg body weight) for 17 Days (Days 1-17). Rats in Group 6 were </w:t>
      </w:r>
      <w:proofErr w:type="spellStart"/>
      <w:r>
        <w:rPr>
          <w:rFonts w:ascii="Tahoma" w:eastAsia="Tahoma" w:hAnsi="Tahoma" w:cs="Tahoma"/>
        </w:rPr>
        <w:t>posttreated</w:t>
      </w:r>
      <w:proofErr w:type="spellEnd"/>
      <w:r>
        <w:rPr>
          <w:rFonts w:ascii="Tahoma" w:eastAsia="Tahoma" w:hAnsi="Tahoma" w:cs="Tahoma"/>
        </w:rPr>
        <w:t xml:space="preserve"> with tail intravenous administration of 3.35 mg/Kg bodyweight of doxorubicin (standard anticancer drug – Positive Control) for 17 Days (Days 1-17). </w:t>
      </w:r>
    </w:p>
    <w:p w14:paraId="11AB90E5" w14:textId="77777777" w:rsidR="00503BF5" w:rsidRDefault="00000000">
      <w:pPr>
        <w:spacing w:after="0"/>
      </w:pPr>
      <w:r>
        <w:rPr>
          <w:rFonts w:ascii="Tahoma" w:eastAsia="Tahoma" w:hAnsi="Tahoma" w:cs="Tahoma"/>
        </w:rPr>
        <w:t xml:space="preserve"> </w:t>
      </w:r>
    </w:p>
    <w:p w14:paraId="7DE254AA" w14:textId="77777777" w:rsidR="00503BF5" w:rsidRDefault="00000000">
      <w:pPr>
        <w:spacing w:after="0" w:line="248" w:lineRule="auto"/>
        <w:ind w:left="11" w:right="9" w:hanging="10"/>
        <w:jc w:val="both"/>
      </w:pPr>
      <w:r>
        <w:rPr>
          <w:rFonts w:ascii="Tahoma" w:eastAsia="Tahoma" w:hAnsi="Tahoma" w:cs="Tahoma"/>
          <w:b/>
        </w:rPr>
        <w:t xml:space="preserve">Completion of experimental procedures </w:t>
      </w:r>
    </w:p>
    <w:p w14:paraId="6ED6F5CA" w14:textId="77777777" w:rsidR="00503BF5" w:rsidRDefault="00000000">
      <w:pPr>
        <w:spacing w:after="3" w:line="247" w:lineRule="auto"/>
        <w:ind w:left="11" w:hanging="10"/>
        <w:jc w:val="both"/>
      </w:pPr>
      <w:r>
        <w:rPr>
          <w:rFonts w:ascii="Tahoma" w:eastAsia="Tahoma" w:hAnsi="Tahoma" w:cs="Tahoma"/>
        </w:rPr>
        <w:t xml:space="preserve">Twenty-four hours after the last day of drug and extract administration on day 17, the experimental procedures were completed and the rats were sacrificed on day 18 by cervical dislocation, as previously described by Omotoso et al. (2018b). For animal sacrifice, no anesthesia was used, as approved by </w:t>
      </w:r>
      <w:proofErr w:type="gramStart"/>
      <w:r>
        <w:rPr>
          <w:rFonts w:ascii="Tahoma" w:eastAsia="Tahoma" w:hAnsi="Tahoma" w:cs="Tahoma"/>
        </w:rPr>
        <w:t>the  University</w:t>
      </w:r>
      <w:proofErr w:type="gramEnd"/>
      <w:r>
        <w:rPr>
          <w:rFonts w:ascii="Tahoma" w:eastAsia="Tahoma" w:hAnsi="Tahoma" w:cs="Tahoma"/>
        </w:rPr>
        <w:t xml:space="preserve"> Ethical Review Committee, after their evaluation of the experimental protocol based on the fact that the biomarkers to be examined include enzymes such as Caspase-3 and metabolic agents such as cytochrome p450, which may be endogenously altered by anesthetic agents requiring post-experimental control of confounding factors.  </w:t>
      </w:r>
    </w:p>
    <w:p w14:paraId="47A04649" w14:textId="77777777" w:rsidR="00503BF5" w:rsidRDefault="00000000">
      <w:pPr>
        <w:spacing w:after="0"/>
      </w:pPr>
      <w:r>
        <w:rPr>
          <w:rFonts w:ascii="Tahoma" w:eastAsia="Tahoma" w:hAnsi="Tahoma" w:cs="Tahoma"/>
          <w:b/>
        </w:rPr>
        <w:t xml:space="preserve"> </w:t>
      </w:r>
    </w:p>
    <w:p w14:paraId="6AB53AC1" w14:textId="77777777" w:rsidR="00503BF5" w:rsidRDefault="00000000">
      <w:pPr>
        <w:spacing w:after="0" w:line="248" w:lineRule="auto"/>
        <w:ind w:left="11" w:right="9" w:hanging="10"/>
        <w:jc w:val="both"/>
      </w:pPr>
      <w:proofErr w:type="spellStart"/>
      <w:r>
        <w:rPr>
          <w:rFonts w:ascii="Tahoma" w:eastAsia="Tahoma" w:hAnsi="Tahoma" w:cs="Tahoma"/>
          <w:b/>
        </w:rPr>
        <w:t>Histo</w:t>
      </w:r>
      <w:proofErr w:type="spellEnd"/>
      <w:r>
        <w:rPr>
          <w:rFonts w:ascii="Tahoma" w:eastAsia="Tahoma" w:hAnsi="Tahoma" w:cs="Tahoma"/>
          <w:b/>
        </w:rPr>
        <w:t xml:space="preserve">-pathological evaluations of the skin </w:t>
      </w:r>
    </w:p>
    <w:p w14:paraId="459BEEF5" w14:textId="77777777" w:rsidR="00503BF5" w:rsidRDefault="00000000">
      <w:pPr>
        <w:spacing w:after="3" w:line="247" w:lineRule="auto"/>
        <w:ind w:left="11" w:hanging="10"/>
        <w:jc w:val="both"/>
      </w:pPr>
      <w:r>
        <w:rPr>
          <w:rFonts w:ascii="Tahoma" w:eastAsia="Tahoma" w:hAnsi="Tahoma" w:cs="Tahoma"/>
        </w:rPr>
        <w:t xml:space="preserve">The excised normal morphological skin portions (Groups 1 and 3 – 6) and alopecia (hairless) skin portions (Group 2) of rats were processed for light microscopy using conventional histological procedures. Histopathological evaluations of the skin were conducted using the Hematoxylin and Eosin technique, as previously described by </w:t>
      </w:r>
      <w:proofErr w:type="spellStart"/>
      <w:r>
        <w:rPr>
          <w:rFonts w:ascii="Tahoma" w:eastAsia="Tahoma" w:hAnsi="Tahoma" w:cs="Tahoma"/>
        </w:rPr>
        <w:t>Akinlolu</w:t>
      </w:r>
      <w:proofErr w:type="spellEnd"/>
      <w:r>
        <w:rPr>
          <w:rFonts w:ascii="Tahoma" w:eastAsia="Tahoma" w:hAnsi="Tahoma" w:cs="Tahoma"/>
        </w:rPr>
        <w:t xml:space="preserve"> et al. (2021 and 2022b). Photomicrographs of slides were captured with the aid of Olympus binocular microscope (Tokyo, Japan) which was connected to a </w:t>
      </w:r>
      <w:proofErr w:type="gramStart"/>
      <w:r>
        <w:rPr>
          <w:rFonts w:ascii="Tahoma" w:eastAsia="Tahoma" w:hAnsi="Tahoma" w:cs="Tahoma"/>
        </w:rPr>
        <w:t>5.0 megapixel</w:t>
      </w:r>
      <w:proofErr w:type="gramEnd"/>
      <w:r>
        <w:rPr>
          <w:rFonts w:ascii="Tahoma" w:eastAsia="Tahoma" w:hAnsi="Tahoma" w:cs="Tahoma"/>
        </w:rPr>
        <w:t xml:space="preserve"> </w:t>
      </w:r>
      <w:proofErr w:type="spellStart"/>
      <w:r>
        <w:rPr>
          <w:rFonts w:ascii="Tahoma" w:eastAsia="Tahoma" w:hAnsi="Tahoma" w:cs="Tahoma"/>
        </w:rPr>
        <w:t>Amscope</w:t>
      </w:r>
      <w:proofErr w:type="spellEnd"/>
      <w:r>
        <w:rPr>
          <w:rFonts w:ascii="Tahoma" w:eastAsia="Tahoma" w:hAnsi="Tahoma" w:cs="Tahoma"/>
        </w:rPr>
        <w:t xml:space="preserve"> camera (</w:t>
      </w:r>
      <w:proofErr w:type="spellStart"/>
      <w:r>
        <w:rPr>
          <w:rFonts w:ascii="Tahoma" w:eastAsia="Tahoma" w:hAnsi="Tahoma" w:cs="Tahoma"/>
        </w:rPr>
        <w:t>Amscope</w:t>
      </w:r>
      <w:proofErr w:type="spellEnd"/>
      <w:r>
        <w:rPr>
          <w:rFonts w:ascii="Tahoma" w:eastAsia="Tahoma" w:hAnsi="Tahoma" w:cs="Tahoma"/>
        </w:rPr>
        <w:t xml:space="preserve"> Inc., Irvine, CA, USA). Tissue sections were photographed at 100X magnification.    </w:t>
      </w:r>
    </w:p>
    <w:p w14:paraId="0A2AF59D" w14:textId="77777777" w:rsidR="00503BF5" w:rsidRDefault="00000000">
      <w:pPr>
        <w:spacing w:after="0"/>
      </w:pPr>
      <w:r>
        <w:rPr>
          <w:rFonts w:ascii="Tahoma" w:eastAsia="Tahoma" w:hAnsi="Tahoma" w:cs="Tahoma"/>
        </w:rPr>
        <w:t xml:space="preserve"> </w:t>
      </w:r>
    </w:p>
    <w:p w14:paraId="2D1D3BE3" w14:textId="77777777" w:rsidR="00503BF5" w:rsidRDefault="00000000">
      <w:pPr>
        <w:spacing w:after="0" w:line="248" w:lineRule="auto"/>
        <w:ind w:left="11" w:right="9" w:hanging="10"/>
        <w:jc w:val="both"/>
      </w:pPr>
      <w:r>
        <w:rPr>
          <w:rFonts w:ascii="Tahoma" w:eastAsia="Tahoma" w:hAnsi="Tahoma" w:cs="Tahoma"/>
          <w:b/>
        </w:rPr>
        <w:t xml:space="preserve">Tissue-Enzyme Linked Immunosorbent </w:t>
      </w:r>
    </w:p>
    <w:p w14:paraId="558F419D" w14:textId="77777777" w:rsidR="00503BF5" w:rsidRDefault="00000000">
      <w:pPr>
        <w:spacing w:after="0" w:line="248" w:lineRule="auto"/>
        <w:ind w:left="11" w:right="9" w:hanging="10"/>
        <w:jc w:val="both"/>
      </w:pPr>
      <w:r>
        <w:rPr>
          <w:rFonts w:ascii="Tahoma" w:eastAsia="Tahoma" w:hAnsi="Tahoma" w:cs="Tahoma"/>
          <w:b/>
        </w:rPr>
        <w:lastRenderedPageBreak/>
        <w:t xml:space="preserve">Assays (Tissue-ELISA) of concentrations of biomarkers in skin homogenates of rats  </w:t>
      </w:r>
    </w:p>
    <w:p w14:paraId="73D50F2E" w14:textId="77777777" w:rsidR="00503BF5" w:rsidRDefault="00000000">
      <w:pPr>
        <w:spacing w:after="3" w:line="247" w:lineRule="auto"/>
        <w:ind w:left="11" w:hanging="10"/>
        <w:jc w:val="both"/>
      </w:pPr>
      <w:r>
        <w:rPr>
          <w:rFonts w:ascii="Tahoma" w:eastAsia="Tahoma" w:hAnsi="Tahoma" w:cs="Tahoma"/>
        </w:rPr>
        <w:t xml:space="preserve">Normal morphological skin portions (Groups 1 and 3 – 6) and hairless skin portions (Group 2) of the back of all rats were excised and isolated. Thereafter, 1 g of the excised skin portion of each rat was thoroughly homogenized using a porcelain mortar and pestle in 4 ml of ice-cold 0.25 M sucrose solution. The tissue homogenates were additionally filled up to 5 ml with sucrose in a 5 ml serum bottle. Skin homogenates were centrifuged at 3000 rpm for 15 min (Model 90-1). The supernatant was collected with </w:t>
      </w:r>
    </w:p>
    <w:p w14:paraId="4FB44E2C" w14:textId="77777777" w:rsidR="00503BF5" w:rsidRDefault="00000000">
      <w:pPr>
        <w:spacing w:after="3" w:line="247" w:lineRule="auto"/>
        <w:ind w:left="11" w:hanging="10"/>
        <w:jc w:val="both"/>
      </w:pPr>
      <w:r>
        <w:rPr>
          <w:rFonts w:ascii="Tahoma" w:eastAsia="Tahoma" w:hAnsi="Tahoma" w:cs="Tahoma"/>
        </w:rPr>
        <w:t xml:space="preserve">Pasteur pipettes, placed in a freezer at -20 °C, and assayed for concentrations of </w:t>
      </w:r>
    </w:p>
    <w:p w14:paraId="5327CE91" w14:textId="77777777" w:rsidR="00503BF5" w:rsidRDefault="00000000">
      <w:pPr>
        <w:spacing w:after="3" w:line="247" w:lineRule="auto"/>
        <w:ind w:left="11" w:right="75" w:hanging="10"/>
        <w:jc w:val="both"/>
      </w:pPr>
      <w:r>
        <w:rPr>
          <w:rFonts w:ascii="Tahoma" w:eastAsia="Tahoma" w:hAnsi="Tahoma" w:cs="Tahoma"/>
        </w:rPr>
        <w:t xml:space="preserve">Dopamine, Glutamate, Myelin Basic Protein (MBP), cytochrome p450, Caspase-3, Ki67, </w:t>
      </w:r>
      <w:r>
        <w:rPr>
          <w:rFonts w:ascii="Tahoma" w:eastAsia="Tahoma" w:hAnsi="Tahoma" w:cs="Tahoma"/>
        </w:rPr>
        <w:t xml:space="preserve">p53, and </w:t>
      </w:r>
      <w:proofErr w:type="spellStart"/>
      <w:r>
        <w:rPr>
          <w:rFonts w:ascii="Tahoma" w:eastAsia="Tahoma" w:hAnsi="Tahoma" w:cs="Tahoma"/>
        </w:rPr>
        <w:t>sVEGFR</w:t>
      </w:r>
      <w:proofErr w:type="spellEnd"/>
      <w:r>
        <w:rPr>
          <w:rFonts w:ascii="Tahoma" w:eastAsia="Tahoma" w:hAnsi="Tahoma" w:cs="Tahoma"/>
        </w:rPr>
        <w:t xml:space="preserve"> in the skin of all rats of Control Group 1 and Experimental Groups 2 – 6 using ELISA, as previously described by </w:t>
      </w:r>
      <w:proofErr w:type="spellStart"/>
      <w:r>
        <w:rPr>
          <w:rFonts w:ascii="Tahoma" w:eastAsia="Tahoma" w:hAnsi="Tahoma" w:cs="Tahoma"/>
        </w:rPr>
        <w:t>Akinlolu</w:t>
      </w:r>
      <w:proofErr w:type="spellEnd"/>
      <w:r>
        <w:rPr>
          <w:rFonts w:ascii="Tahoma" w:eastAsia="Tahoma" w:hAnsi="Tahoma" w:cs="Tahoma"/>
        </w:rPr>
        <w:t xml:space="preserve"> et al., 2021. </w:t>
      </w:r>
    </w:p>
    <w:p w14:paraId="392C6FB0" w14:textId="77777777" w:rsidR="00503BF5" w:rsidRDefault="00000000">
      <w:pPr>
        <w:spacing w:after="0"/>
      </w:pPr>
      <w:r>
        <w:rPr>
          <w:rFonts w:ascii="Tahoma" w:eastAsia="Tahoma" w:hAnsi="Tahoma" w:cs="Tahoma"/>
          <w:b/>
        </w:rPr>
        <w:t xml:space="preserve"> </w:t>
      </w:r>
    </w:p>
    <w:p w14:paraId="78C572B3" w14:textId="77777777" w:rsidR="00503BF5" w:rsidRDefault="00000000">
      <w:pPr>
        <w:spacing w:after="0" w:line="248" w:lineRule="auto"/>
        <w:ind w:left="11" w:right="9" w:hanging="10"/>
        <w:jc w:val="both"/>
      </w:pPr>
      <w:r>
        <w:rPr>
          <w:rFonts w:ascii="Tahoma" w:eastAsia="Tahoma" w:hAnsi="Tahoma" w:cs="Tahoma"/>
          <w:b/>
        </w:rPr>
        <w:t xml:space="preserve">Statistical analysis </w:t>
      </w:r>
    </w:p>
    <w:tbl>
      <w:tblPr>
        <w:tblStyle w:val="TableGrid"/>
        <w:tblpPr w:vertAnchor="text" w:horzAnchor="margin" w:tblpY="797"/>
        <w:tblOverlap w:val="never"/>
        <w:tblW w:w="9429" w:type="dxa"/>
        <w:tblInd w:w="0" w:type="dxa"/>
        <w:tblCellMar>
          <w:top w:w="0" w:type="dxa"/>
          <w:left w:w="115" w:type="dxa"/>
          <w:bottom w:w="0" w:type="dxa"/>
          <w:right w:w="115" w:type="dxa"/>
        </w:tblCellMar>
        <w:tblLook w:val="04A0" w:firstRow="1" w:lastRow="0" w:firstColumn="1" w:lastColumn="0" w:noHBand="0" w:noVBand="1"/>
      </w:tblPr>
      <w:tblGrid>
        <w:gridCol w:w="9429"/>
      </w:tblGrid>
      <w:tr w:rsidR="00503BF5" w14:paraId="68522CAA" w14:textId="77777777">
        <w:trPr>
          <w:trHeight w:val="580"/>
        </w:trPr>
        <w:tc>
          <w:tcPr>
            <w:tcW w:w="1088" w:type="dxa"/>
            <w:tcBorders>
              <w:top w:val="nil"/>
              <w:left w:val="nil"/>
              <w:bottom w:val="nil"/>
              <w:right w:val="nil"/>
            </w:tcBorders>
          </w:tcPr>
          <w:p w14:paraId="49CE2CF8" w14:textId="77777777" w:rsidR="00503BF5" w:rsidRDefault="00000000">
            <w:pPr>
              <w:spacing w:after="0"/>
              <w:ind w:left="1"/>
              <w:jc w:val="center"/>
            </w:pPr>
            <w:r>
              <w:rPr>
                <w:rFonts w:ascii="Tahoma" w:eastAsia="Tahoma" w:hAnsi="Tahoma" w:cs="Tahoma"/>
                <w:b/>
                <w:sz w:val="24"/>
              </w:rPr>
              <w:t xml:space="preserve"> </w:t>
            </w:r>
          </w:p>
          <w:p w14:paraId="05A00E53" w14:textId="77777777" w:rsidR="00503BF5" w:rsidRDefault="00000000">
            <w:pPr>
              <w:spacing w:after="0"/>
              <w:ind w:right="71"/>
              <w:jc w:val="center"/>
            </w:pPr>
            <w:r>
              <w:rPr>
                <w:rFonts w:ascii="Tahoma" w:eastAsia="Tahoma" w:hAnsi="Tahoma" w:cs="Tahoma"/>
                <w:b/>
                <w:sz w:val="24"/>
              </w:rPr>
              <w:t>RESULTS</w:t>
            </w:r>
          </w:p>
        </w:tc>
      </w:tr>
    </w:tbl>
    <w:p w14:paraId="33885D89" w14:textId="77777777" w:rsidR="00503BF5" w:rsidRDefault="00000000">
      <w:pPr>
        <w:spacing w:after="3" w:line="247" w:lineRule="auto"/>
        <w:ind w:left="11" w:hanging="10"/>
        <w:jc w:val="both"/>
      </w:pPr>
      <w:r>
        <w:rPr>
          <w:rFonts w:ascii="Tahoma" w:eastAsia="Tahoma" w:hAnsi="Tahoma" w:cs="Tahoma"/>
        </w:rPr>
        <w:t xml:space="preserve">The computed data of the concentrations of each biomarker are expressed as arithmetic means ± standard deviation. The </w:t>
      </w:r>
      <w:proofErr w:type="spellStart"/>
      <w:r>
        <w:rPr>
          <w:rFonts w:ascii="Tahoma" w:eastAsia="Tahoma" w:hAnsi="Tahoma" w:cs="Tahoma"/>
        </w:rPr>
        <w:t>MannWhitney</w:t>
      </w:r>
      <w:proofErr w:type="spellEnd"/>
      <w:r>
        <w:rPr>
          <w:rFonts w:ascii="Tahoma" w:eastAsia="Tahoma" w:hAnsi="Tahoma" w:cs="Tahoma"/>
        </w:rPr>
        <w:t xml:space="preserve"> U test (Wilcoxon-Mann-Whitney Test, 2016) was used for statistical comparison of the concentration of each biomarker between the two groups, because the sample size of 24 was less than 30. Significant difference was confirmed at 95% confidence interval, with associated p - value of less than 0.05 (</w:t>
      </w:r>
      <w:r>
        <w:rPr>
          <w:rFonts w:ascii="Tahoma" w:eastAsia="Tahoma" w:hAnsi="Tahoma" w:cs="Tahoma"/>
          <w:sz w:val="23"/>
        </w:rPr>
        <w:t>P</w:t>
      </w:r>
      <w:r>
        <w:rPr>
          <w:rFonts w:ascii="Tahoma" w:eastAsia="Tahoma" w:hAnsi="Tahoma" w:cs="Tahoma"/>
        </w:rPr>
        <w:t xml:space="preserve"> ≤ 0.05). </w:t>
      </w:r>
    </w:p>
    <w:p w14:paraId="11791A34" w14:textId="77777777" w:rsidR="00503BF5" w:rsidRDefault="00503BF5">
      <w:pPr>
        <w:sectPr w:rsidR="00503BF5">
          <w:type w:val="continuous"/>
          <w:pgSz w:w="12240" w:h="16340"/>
          <w:pgMar w:top="1441" w:right="1362" w:bottom="1970" w:left="1440" w:header="720" w:footer="720" w:gutter="0"/>
          <w:cols w:num="2" w:space="631"/>
        </w:sectPr>
      </w:pPr>
    </w:p>
    <w:p w14:paraId="6DEEF0AA" w14:textId="77777777" w:rsidR="00503BF5" w:rsidRDefault="00000000">
      <w:pPr>
        <w:spacing w:after="0" w:line="248" w:lineRule="auto"/>
        <w:ind w:left="11" w:right="9" w:hanging="10"/>
        <w:jc w:val="both"/>
      </w:pPr>
      <w:r>
        <w:rPr>
          <w:rFonts w:ascii="Tahoma" w:eastAsia="Tahoma" w:hAnsi="Tahoma" w:cs="Tahoma"/>
          <w:b/>
        </w:rPr>
        <w:t xml:space="preserve">Morphological observations of the skin </w:t>
      </w:r>
    </w:p>
    <w:p w14:paraId="0293974F" w14:textId="77777777" w:rsidR="00503BF5" w:rsidRDefault="00000000">
      <w:pPr>
        <w:spacing w:after="3" w:line="247" w:lineRule="auto"/>
        <w:ind w:left="11" w:right="99" w:hanging="10"/>
        <w:jc w:val="both"/>
      </w:pPr>
      <w:r>
        <w:rPr>
          <w:rFonts w:ascii="Tahoma" w:eastAsia="Tahoma" w:hAnsi="Tahoma" w:cs="Tahoma"/>
        </w:rPr>
        <w:t xml:space="preserve">No alopecia was noted in the skin of rats in Groups 1 and 3 – 6 (Figures 1a and 1c – 1f). However, morphological observations </w:t>
      </w:r>
    </w:p>
    <w:p w14:paraId="73205463" w14:textId="77777777" w:rsidR="00503BF5" w:rsidRDefault="00000000">
      <w:pPr>
        <w:spacing w:after="3" w:line="247" w:lineRule="auto"/>
        <w:ind w:left="11" w:hanging="10"/>
        <w:jc w:val="both"/>
      </w:pPr>
      <w:r>
        <w:rPr>
          <w:rFonts w:ascii="Tahoma" w:eastAsia="Tahoma" w:hAnsi="Tahoma" w:cs="Tahoma"/>
        </w:rPr>
        <w:t>showed severe skin alopecia in rats in CdCl</w:t>
      </w:r>
      <w:r>
        <w:rPr>
          <w:rFonts w:ascii="Tahoma" w:eastAsia="Tahoma" w:hAnsi="Tahoma" w:cs="Tahoma"/>
          <w:vertAlign w:val="subscript"/>
        </w:rPr>
        <w:t>2</w:t>
      </w:r>
      <w:r>
        <w:rPr>
          <w:rFonts w:ascii="Tahoma" w:eastAsia="Tahoma" w:hAnsi="Tahoma" w:cs="Tahoma"/>
        </w:rPr>
        <w:t xml:space="preserve">only treated group 2 (Figure 1b).  </w:t>
      </w:r>
    </w:p>
    <w:p w14:paraId="3A525DFE" w14:textId="77777777" w:rsidR="00503BF5" w:rsidRDefault="00000000">
      <w:pPr>
        <w:spacing w:after="0"/>
        <w:ind w:left="-5" w:right="33"/>
        <w:jc w:val="right"/>
      </w:pPr>
      <w:r>
        <w:rPr>
          <w:noProof/>
        </w:rPr>
        <w:drawing>
          <wp:inline distT="0" distB="0" distL="0" distR="0" wp14:anchorId="37DAA8DD" wp14:editId="5A8D00CC">
            <wp:extent cx="2746248" cy="2109216"/>
            <wp:effectExtent l="0" t="0" r="0" b="0"/>
            <wp:docPr id="13592" name="Picture 13592"/>
            <wp:cNvGraphicFramePr/>
            <a:graphic xmlns:a="http://schemas.openxmlformats.org/drawingml/2006/main">
              <a:graphicData uri="http://schemas.openxmlformats.org/drawingml/2006/picture">
                <pic:pic xmlns:pic="http://schemas.openxmlformats.org/drawingml/2006/picture">
                  <pic:nvPicPr>
                    <pic:cNvPr id="13592" name="Picture 13592"/>
                    <pic:cNvPicPr/>
                  </pic:nvPicPr>
                  <pic:blipFill>
                    <a:blip r:embed="rId21"/>
                    <a:stretch>
                      <a:fillRect/>
                    </a:stretch>
                  </pic:blipFill>
                  <pic:spPr>
                    <a:xfrm>
                      <a:off x="0" y="0"/>
                      <a:ext cx="2746248" cy="2109216"/>
                    </a:xfrm>
                    <a:prstGeom prst="rect">
                      <a:avLst/>
                    </a:prstGeom>
                  </pic:spPr>
                </pic:pic>
              </a:graphicData>
            </a:graphic>
          </wp:inline>
        </w:drawing>
      </w:r>
      <w:r>
        <w:rPr>
          <w:rFonts w:ascii="Tahoma" w:eastAsia="Tahoma" w:hAnsi="Tahoma" w:cs="Tahoma"/>
        </w:rPr>
        <w:t xml:space="preserve"> </w:t>
      </w:r>
    </w:p>
    <w:p w14:paraId="04ECA5C7" w14:textId="77777777" w:rsidR="00503BF5" w:rsidRDefault="00000000">
      <w:pPr>
        <w:spacing w:after="4" w:line="247" w:lineRule="auto"/>
        <w:ind w:left="24" w:right="41" w:hanging="10"/>
        <w:jc w:val="both"/>
      </w:pPr>
      <w:r>
        <w:rPr>
          <w:rFonts w:ascii="Tahoma" w:eastAsia="Tahoma" w:hAnsi="Tahoma" w:cs="Tahoma"/>
          <w:b/>
          <w:sz w:val="18"/>
        </w:rPr>
        <w:t xml:space="preserve">Figure 1a: </w:t>
      </w:r>
      <w:r>
        <w:rPr>
          <w:rFonts w:ascii="Tahoma" w:eastAsia="Tahoma" w:hAnsi="Tahoma" w:cs="Tahoma"/>
          <w:sz w:val="18"/>
        </w:rPr>
        <w:t xml:space="preserve">Photomicrograph of the skin of the back of rats of Group 1 which received physiological saline. Red solid arrow indicates skin of the back of rat. Morphological observations showed normal skin morphology of rats of Group 1.  </w:t>
      </w:r>
    </w:p>
    <w:p w14:paraId="05A0883B" w14:textId="77777777" w:rsidR="00503BF5" w:rsidRDefault="00000000">
      <w:pPr>
        <w:spacing w:after="4" w:line="247" w:lineRule="auto"/>
        <w:ind w:left="24" w:right="41" w:hanging="10"/>
        <w:jc w:val="both"/>
      </w:pPr>
      <w:r>
        <w:rPr>
          <w:rFonts w:ascii="Tahoma" w:eastAsia="Tahoma" w:hAnsi="Tahoma" w:cs="Tahoma"/>
          <w:b/>
          <w:sz w:val="18"/>
        </w:rPr>
        <w:t>Figure 1b:</w:t>
      </w:r>
      <w:r>
        <w:rPr>
          <w:rFonts w:ascii="Tahoma" w:eastAsia="Tahoma" w:hAnsi="Tahoma" w:cs="Tahoma"/>
          <w:sz w:val="18"/>
        </w:rPr>
        <w:t xml:space="preserve"> Photomicrograph of the skin of the back of rats of Group 2 which received single intra-peritoneal administration of 1.5 mg/Kg bodyweight CdCl</w:t>
      </w:r>
      <w:proofErr w:type="gramStart"/>
      <w:r>
        <w:rPr>
          <w:rFonts w:ascii="Tahoma" w:eastAsia="Tahoma" w:hAnsi="Tahoma" w:cs="Tahoma"/>
          <w:sz w:val="18"/>
          <w:vertAlign w:val="subscript"/>
        </w:rPr>
        <w:t xml:space="preserve">2 </w:t>
      </w:r>
      <w:r>
        <w:rPr>
          <w:rFonts w:ascii="Tahoma" w:eastAsia="Tahoma" w:hAnsi="Tahoma" w:cs="Tahoma"/>
          <w:sz w:val="18"/>
        </w:rPr>
        <w:t xml:space="preserve"> (</w:t>
      </w:r>
      <w:proofErr w:type="gramEnd"/>
      <w:r>
        <w:rPr>
          <w:rFonts w:ascii="Tahoma" w:eastAsia="Tahoma" w:hAnsi="Tahoma" w:cs="Tahoma"/>
          <w:sz w:val="18"/>
        </w:rPr>
        <w:t xml:space="preserve">Negative Control). Red solid arrow indicates site of </w:t>
      </w:r>
      <w:r>
        <w:rPr>
          <w:rFonts w:ascii="Tahoma" w:eastAsia="Tahoma" w:hAnsi="Tahoma" w:cs="Tahoma"/>
          <w:sz w:val="18"/>
        </w:rPr>
        <w:t xml:space="preserve">skin alopecia of the back of rat. Morphological observations showed morphological anomaly indicated by skin alopecia of the skin of back of rats of Group 2.  </w:t>
      </w:r>
      <w:r>
        <w:rPr>
          <w:rFonts w:ascii="Tahoma" w:eastAsia="Tahoma" w:hAnsi="Tahoma" w:cs="Tahoma"/>
          <w:b/>
          <w:sz w:val="18"/>
        </w:rPr>
        <w:t>Figure 1c:</w:t>
      </w:r>
      <w:r>
        <w:rPr>
          <w:rFonts w:ascii="Tahoma" w:eastAsia="Tahoma" w:hAnsi="Tahoma" w:cs="Tahoma"/>
          <w:sz w:val="18"/>
        </w:rPr>
        <w:t xml:space="preserve"> Photomicrograph of the skin of the back of rats of Group 3 which received single intra-peritoneal administration of 1.5 mg/Kg bodyweight CdCl</w:t>
      </w:r>
      <w:r>
        <w:rPr>
          <w:rFonts w:ascii="Tahoma" w:eastAsia="Tahoma" w:hAnsi="Tahoma" w:cs="Tahoma"/>
          <w:sz w:val="18"/>
          <w:vertAlign w:val="subscript"/>
        </w:rPr>
        <w:t xml:space="preserve">2 </w:t>
      </w:r>
      <w:r>
        <w:rPr>
          <w:rFonts w:ascii="Tahoma" w:eastAsia="Tahoma" w:hAnsi="Tahoma" w:cs="Tahoma"/>
          <w:sz w:val="18"/>
        </w:rPr>
        <w:t>and were post-treated with 15 mg/Kg bodyweight of MO11.</w:t>
      </w:r>
      <w:r>
        <w:rPr>
          <w:rFonts w:ascii="Tahoma" w:eastAsia="Tahoma" w:hAnsi="Tahoma" w:cs="Tahoma"/>
          <w:b/>
          <w:sz w:val="18"/>
        </w:rPr>
        <w:t xml:space="preserve"> </w:t>
      </w:r>
      <w:r>
        <w:rPr>
          <w:rFonts w:ascii="Tahoma" w:eastAsia="Tahoma" w:hAnsi="Tahoma" w:cs="Tahoma"/>
          <w:sz w:val="18"/>
        </w:rPr>
        <w:t>Red solid arrow indicates skin of the back of rat. Morphological observations showed normal skin morphology of rats of Group 3.</w:t>
      </w:r>
      <w:r>
        <w:rPr>
          <w:rFonts w:ascii="Tahoma" w:eastAsia="Tahoma" w:hAnsi="Tahoma" w:cs="Tahoma"/>
          <w:b/>
          <w:sz w:val="18"/>
        </w:rPr>
        <w:t xml:space="preserve"> </w:t>
      </w:r>
    </w:p>
    <w:p w14:paraId="7A96F71A" w14:textId="77777777" w:rsidR="00503BF5" w:rsidRDefault="00000000">
      <w:pPr>
        <w:spacing w:after="4" w:line="247" w:lineRule="auto"/>
        <w:ind w:left="24" w:right="41" w:hanging="10"/>
        <w:jc w:val="both"/>
      </w:pPr>
      <w:r>
        <w:rPr>
          <w:rFonts w:ascii="Tahoma" w:eastAsia="Tahoma" w:hAnsi="Tahoma" w:cs="Tahoma"/>
          <w:b/>
          <w:sz w:val="18"/>
        </w:rPr>
        <w:t>Figure 1d:</w:t>
      </w:r>
      <w:r>
        <w:rPr>
          <w:rFonts w:ascii="Tahoma" w:eastAsia="Tahoma" w:hAnsi="Tahoma" w:cs="Tahoma"/>
          <w:sz w:val="18"/>
        </w:rPr>
        <w:t xml:space="preserve"> Photomicrograph of the skin of the back of rats of Group 4 which received single intra-peritoneal administration of 1.5 mg/Kg bodyweight CdCl</w:t>
      </w:r>
      <w:r>
        <w:rPr>
          <w:rFonts w:ascii="Tahoma" w:eastAsia="Tahoma" w:hAnsi="Tahoma" w:cs="Tahoma"/>
          <w:sz w:val="18"/>
          <w:vertAlign w:val="subscript"/>
        </w:rPr>
        <w:t xml:space="preserve">2 </w:t>
      </w:r>
      <w:r>
        <w:rPr>
          <w:rFonts w:ascii="Tahoma" w:eastAsia="Tahoma" w:hAnsi="Tahoma" w:cs="Tahoma"/>
          <w:sz w:val="18"/>
        </w:rPr>
        <w:t>and were post-treated with 15 mg/Kg bodyweight of MO11 and 7 mg/Kg bodyweight of MS06.</w:t>
      </w:r>
      <w:r>
        <w:rPr>
          <w:rFonts w:ascii="Tahoma" w:eastAsia="Tahoma" w:hAnsi="Tahoma" w:cs="Tahoma"/>
          <w:b/>
          <w:sz w:val="18"/>
        </w:rPr>
        <w:t xml:space="preserve"> </w:t>
      </w:r>
      <w:r>
        <w:rPr>
          <w:rFonts w:ascii="Tahoma" w:eastAsia="Tahoma" w:hAnsi="Tahoma" w:cs="Tahoma"/>
          <w:sz w:val="18"/>
        </w:rPr>
        <w:t xml:space="preserve"> Red solid arrow indicates skin of the back of rat. Morphological observations showed normal skin morphology of rats of Group 4. </w:t>
      </w:r>
    </w:p>
    <w:p w14:paraId="0C929F14" w14:textId="77777777" w:rsidR="00503BF5" w:rsidRDefault="00000000">
      <w:pPr>
        <w:spacing w:after="4" w:line="247" w:lineRule="auto"/>
        <w:ind w:left="24" w:right="41" w:hanging="10"/>
        <w:jc w:val="both"/>
      </w:pPr>
      <w:r>
        <w:rPr>
          <w:rFonts w:ascii="Tahoma" w:eastAsia="Tahoma" w:hAnsi="Tahoma" w:cs="Tahoma"/>
          <w:b/>
          <w:sz w:val="18"/>
        </w:rPr>
        <w:t>Figure 1e:</w:t>
      </w:r>
      <w:r>
        <w:rPr>
          <w:rFonts w:ascii="Tahoma" w:eastAsia="Tahoma" w:hAnsi="Tahoma" w:cs="Tahoma"/>
          <w:sz w:val="18"/>
        </w:rPr>
        <w:t xml:space="preserve"> Photomicrograph of the skin of the back of rats of Group 5 which received only 1 ml/Kg bodyweight of Olive Oil (vehicle). Red solid arrow indicates skin of the back of rat. Morphological observations showed normal skin morphology of rats of Group 5. </w:t>
      </w:r>
    </w:p>
    <w:p w14:paraId="6FED74D7" w14:textId="77777777" w:rsidR="00503BF5" w:rsidRDefault="00000000">
      <w:pPr>
        <w:spacing w:after="30" w:line="247" w:lineRule="auto"/>
        <w:ind w:left="24" w:right="41" w:hanging="10"/>
        <w:jc w:val="both"/>
      </w:pPr>
      <w:r>
        <w:rPr>
          <w:rFonts w:ascii="Tahoma" w:eastAsia="Tahoma" w:hAnsi="Tahoma" w:cs="Tahoma"/>
          <w:b/>
          <w:sz w:val="18"/>
        </w:rPr>
        <w:t xml:space="preserve">Figure 1f: </w:t>
      </w:r>
      <w:r>
        <w:rPr>
          <w:rFonts w:ascii="Tahoma" w:eastAsia="Tahoma" w:hAnsi="Tahoma" w:cs="Tahoma"/>
          <w:sz w:val="18"/>
        </w:rPr>
        <w:t>Photomicrograph of the skin of the back of rats of Group 6 which received single intra-peritoneal administration of 1.5 mg/Kg bodyweight CdCl</w:t>
      </w:r>
      <w:r>
        <w:rPr>
          <w:rFonts w:ascii="Tahoma" w:eastAsia="Tahoma" w:hAnsi="Tahoma" w:cs="Tahoma"/>
          <w:sz w:val="18"/>
          <w:vertAlign w:val="subscript"/>
        </w:rPr>
        <w:t xml:space="preserve">2 </w:t>
      </w:r>
      <w:r>
        <w:rPr>
          <w:rFonts w:ascii="Tahoma" w:eastAsia="Tahoma" w:hAnsi="Tahoma" w:cs="Tahoma"/>
          <w:sz w:val="18"/>
        </w:rPr>
        <w:t xml:space="preserve">and were post-treated with 3.35 mg/Kg bodyweight of Doxorubicin (standard anticancer drug – Positive Control). Red solid arrow indicates skin of the back of </w:t>
      </w:r>
      <w:r>
        <w:rPr>
          <w:rFonts w:ascii="Tahoma" w:eastAsia="Tahoma" w:hAnsi="Tahoma" w:cs="Tahoma"/>
          <w:sz w:val="18"/>
        </w:rPr>
        <w:lastRenderedPageBreak/>
        <w:t xml:space="preserve">rat. Morphological observations showed normal skin morphology of rats of Group 6. </w:t>
      </w:r>
    </w:p>
    <w:p w14:paraId="03A84D40" w14:textId="77777777" w:rsidR="00503BF5" w:rsidRDefault="00000000">
      <w:pPr>
        <w:spacing w:after="0"/>
      </w:pPr>
      <w:r>
        <w:rPr>
          <w:rFonts w:ascii="Tahoma" w:eastAsia="Tahoma" w:hAnsi="Tahoma" w:cs="Tahoma"/>
          <w:b/>
        </w:rPr>
        <w:t xml:space="preserve"> </w:t>
      </w:r>
    </w:p>
    <w:p w14:paraId="6AA84E83" w14:textId="77777777" w:rsidR="00503BF5" w:rsidRDefault="00000000">
      <w:pPr>
        <w:spacing w:after="0" w:line="248" w:lineRule="auto"/>
        <w:ind w:left="11" w:right="9" w:hanging="10"/>
        <w:jc w:val="both"/>
      </w:pPr>
      <w:proofErr w:type="spellStart"/>
      <w:r>
        <w:rPr>
          <w:rFonts w:ascii="Tahoma" w:eastAsia="Tahoma" w:hAnsi="Tahoma" w:cs="Tahoma"/>
          <w:b/>
        </w:rPr>
        <w:t>Histo</w:t>
      </w:r>
      <w:proofErr w:type="spellEnd"/>
      <w:r>
        <w:rPr>
          <w:rFonts w:ascii="Tahoma" w:eastAsia="Tahoma" w:hAnsi="Tahoma" w:cs="Tahoma"/>
          <w:b/>
        </w:rPr>
        <w:t xml:space="preserve">-pathological evaluations of the skin </w:t>
      </w:r>
    </w:p>
    <w:p w14:paraId="55D8F59E" w14:textId="77777777" w:rsidR="00503BF5" w:rsidRDefault="00000000">
      <w:pPr>
        <w:spacing w:after="3" w:line="247" w:lineRule="auto"/>
        <w:ind w:left="11" w:hanging="10"/>
        <w:jc w:val="both"/>
      </w:pPr>
      <w:r>
        <w:rPr>
          <w:rFonts w:ascii="Tahoma" w:eastAsia="Tahoma" w:hAnsi="Tahoma" w:cs="Tahoma"/>
        </w:rPr>
        <w:t xml:space="preserve">Histopathological evaluations showed normal skin </w:t>
      </w:r>
      <w:proofErr w:type="spellStart"/>
      <w:r>
        <w:rPr>
          <w:rFonts w:ascii="Tahoma" w:eastAsia="Tahoma" w:hAnsi="Tahoma" w:cs="Tahoma"/>
        </w:rPr>
        <w:t>histo</w:t>
      </w:r>
      <w:proofErr w:type="spellEnd"/>
      <w:r>
        <w:rPr>
          <w:rFonts w:ascii="Tahoma" w:eastAsia="Tahoma" w:hAnsi="Tahoma" w:cs="Tahoma"/>
        </w:rPr>
        <w:t>-architecture in rats of Groups 1 (Figure 2a) and 3-5 (Figures 2c – 2e). In contrast, histopathological evaluations showed depletion of keratinocytes of the stratum corneum of epidermal layer in the hairless skin of rats of CdCl</w:t>
      </w:r>
      <w:r>
        <w:rPr>
          <w:rFonts w:ascii="Tahoma" w:eastAsia="Tahoma" w:hAnsi="Tahoma" w:cs="Tahoma"/>
          <w:vertAlign w:val="subscript"/>
        </w:rPr>
        <w:t>2</w:t>
      </w:r>
      <w:r>
        <w:rPr>
          <w:rFonts w:ascii="Tahoma" w:eastAsia="Tahoma" w:hAnsi="Tahoma" w:cs="Tahoma"/>
        </w:rPr>
        <w:t xml:space="preserve">-only treated Group 2 (Figure 2b).  In addition, histopathological analyses showed mild depletion of the stratum corneum of the epidermal layer of the hairless skin of rats in Group 6 (Figure 2f). </w:t>
      </w:r>
    </w:p>
    <w:p w14:paraId="7F539C2A" w14:textId="77777777" w:rsidR="00503BF5" w:rsidRDefault="00000000">
      <w:pPr>
        <w:spacing w:after="0"/>
        <w:ind w:left="-5" w:right="56"/>
        <w:jc w:val="right"/>
      </w:pPr>
      <w:r>
        <w:rPr>
          <w:noProof/>
        </w:rPr>
        <w:drawing>
          <wp:inline distT="0" distB="0" distL="0" distR="0" wp14:anchorId="6E647C21" wp14:editId="1FFAFF04">
            <wp:extent cx="2673096" cy="1633728"/>
            <wp:effectExtent l="0" t="0" r="0" b="0"/>
            <wp:docPr id="13594" name="Picture 13594"/>
            <wp:cNvGraphicFramePr/>
            <a:graphic xmlns:a="http://schemas.openxmlformats.org/drawingml/2006/main">
              <a:graphicData uri="http://schemas.openxmlformats.org/drawingml/2006/picture">
                <pic:pic xmlns:pic="http://schemas.openxmlformats.org/drawingml/2006/picture">
                  <pic:nvPicPr>
                    <pic:cNvPr id="13594" name="Picture 13594"/>
                    <pic:cNvPicPr/>
                  </pic:nvPicPr>
                  <pic:blipFill>
                    <a:blip r:embed="rId22"/>
                    <a:stretch>
                      <a:fillRect/>
                    </a:stretch>
                  </pic:blipFill>
                  <pic:spPr>
                    <a:xfrm>
                      <a:off x="0" y="0"/>
                      <a:ext cx="2673096" cy="1633728"/>
                    </a:xfrm>
                    <a:prstGeom prst="rect">
                      <a:avLst/>
                    </a:prstGeom>
                  </pic:spPr>
                </pic:pic>
              </a:graphicData>
            </a:graphic>
          </wp:inline>
        </w:drawing>
      </w:r>
      <w:r>
        <w:rPr>
          <w:rFonts w:ascii="Tahoma" w:eastAsia="Tahoma" w:hAnsi="Tahoma" w:cs="Tahoma"/>
        </w:rPr>
        <w:t xml:space="preserve"> </w:t>
      </w:r>
    </w:p>
    <w:p w14:paraId="459AFB6E" w14:textId="77777777" w:rsidR="00503BF5" w:rsidRDefault="00000000">
      <w:pPr>
        <w:spacing w:after="4" w:line="247" w:lineRule="auto"/>
        <w:ind w:left="24" w:right="41" w:hanging="10"/>
        <w:jc w:val="both"/>
      </w:pPr>
      <w:r>
        <w:rPr>
          <w:rFonts w:ascii="Tahoma" w:eastAsia="Tahoma" w:hAnsi="Tahoma" w:cs="Tahoma"/>
          <w:b/>
          <w:sz w:val="18"/>
        </w:rPr>
        <w:t>Figure 2a:</w:t>
      </w:r>
      <w:r>
        <w:rPr>
          <w:rFonts w:ascii="Tahoma" w:eastAsia="Tahoma" w:hAnsi="Tahoma" w:cs="Tahoma"/>
          <w:sz w:val="18"/>
        </w:rPr>
        <w:t xml:space="preserve"> Representative photomicrograph of the Skin of rats of Group 1 which received physiological saline. </w:t>
      </w:r>
      <w:proofErr w:type="spellStart"/>
      <w:r>
        <w:rPr>
          <w:rFonts w:ascii="Tahoma" w:eastAsia="Tahoma" w:hAnsi="Tahoma" w:cs="Tahoma"/>
          <w:sz w:val="18"/>
        </w:rPr>
        <w:t>Haematoxylin</w:t>
      </w:r>
      <w:proofErr w:type="spellEnd"/>
      <w:r>
        <w:rPr>
          <w:rFonts w:ascii="Tahoma" w:eastAsia="Tahoma" w:hAnsi="Tahoma" w:cs="Tahoma"/>
          <w:sz w:val="18"/>
        </w:rPr>
        <w:t xml:space="preserve"> and Eosin. Histological analyses show normal histoarchitecture of the Skin components such as the hair follicle (H) and sebaceous gland (S). Staining intensity, cellular and morphological delineation appear normal. (S – Sebaceous gland, H – Hair follicle, D – Dermis, E - Epidermis).  </w:t>
      </w:r>
    </w:p>
    <w:p w14:paraId="65AC94AF" w14:textId="77777777" w:rsidR="00503BF5" w:rsidRDefault="00000000">
      <w:pPr>
        <w:spacing w:after="4" w:line="247" w:lineRule="auto"/>
        <w:ind w:left="24" w:right="41" w:hanging="10"/>
        <w:jc w:val="both"/>
      </w:pPr>
      <w:r>
        <w:rPr>
          <w:rFonts w:ascii="Tahoma" w:eastAsia="Tahoma" w:hAnsi="Tahoma" w:cs="Tahoma"/>
          <w:b/>
          <w:sz w:val="18"/>
        </w:rPr>
        <w:t>Figure 2b:</w:t>
      </w:r>
      <w:r>
        <w:rPr>
          <w:rFonts w:ascii="Tahoma" w:eastAsia="Tahoma" w:hAnsi="Tahoma" w:cs="Tahoma"/>
          <w:sz w:val="18"/>
        </w:rPr>
        <w:t xml:space="preserve"> Representative photomicrograph of the Skin of rats of Group 2 which received intraperitoneal administration of 1.5 mg/Kg bodyweight of Cadmium Chloride. </w:t>
      </w:r>
      <w:proofErr w:type="spellStart"/>
      <w:r>
        <w:rPr>
          <w:rFonts w:ascii="Tahoma" w:eastAsia="Tahoma" w:hAnsi="Tahoma" w:cs="Tahoma"/>
          <w:sz w:val="18"/>
        </w:rPr>
        <w:t>Haematoxylin</w:t>
      </w:r>
      <w:proofErr w:type="spellEnd"/>
      <w:r>
        <w:rPr>
          <w:rFonts w:ascii="Tahoma" w:eastAsia="Tahoma" w:hAnsi="Tahoma" w:cs="Tahoma"/>
          <w:sz w:val="18"/>
        </w:rPr>
        <w:t xml:space="preserve"> and Eosin. Histological analyses show anomalies of the histoarchitecture of the Skin components such as the stratum corneum, epidermal layer, hair follicle (H) and sebaceous gland (S). Distortion of the stratum corneum and epidermal layer is apparent. (S – Sebaceous gland, H – Hair follicle, D – Dermis, E - Epidermis).  </w:t>
      </w:r>
    </w:p>
    <w:p w14:paraId="28D0E2BB" w14:textId="77777777" w:rsidR="00503BF5" w:rsidRDefault="00000000">
      <w:pPr>
        <w:spacing w:after="4" w:line="247" w:lineRule="auto"/>
        <w:ind w:left="24" w:right="41" w:hanging="10"/>
        <w:jc w:val="both"/>
      </w:pPr>
      <w:r>
        <w:rPr>
          <w:rFonts w:ascii="Tahoma" w:eastAsia="Tahoma" w:hAnsi="Tahoma" w:cs="Tahoma"/>
          <w:b/>
          <w:sz w:val="18"/>
        </w:rPr>
        <w:t>Figure 2c:</w:t>
      </w:r>
      <w:r>
        <w:rPr>
          <w:rFonts w:ascii="Tahoma" w:eastAsia="Tahoma" w:hAnsi="Tahoma" w:cs="Tahoma"/>
          <w:sz w:val="18"/>
        </w:rPr>
        <w:t xml:space="preserve"> Representative photomicrograph of the Skin of rats of Group 3 which received intraperitoneal administration of 1.5 mg/Kg bodyweight of Cadmium Chloride and were post-treated with 15 mg/Kg bodyweight of </w:t>
      </w:r>
      <w:r>
        <w:rPr>
          <w:rFonts w:ascii="Tahoma" w:eastAsia="Tahoma" w:hAnsi="Tahoma" w:cs="Tahoma"/>
          <w:sz w:val="19"/>
        </w:rPr>
        <w:t>Moringa oleifera</w:t>
      </w:r>
      <w:r>
        <w:rPr>
          <w:rFonts w:ascii="Tahoma" w:eastAsia="Tahoma" w:hAnsi="Tahoma" w:cs="Tahoma"/>
          <w:sz w:val="18"/>
        </w:rPr>
        <w:t xml:space="preserve">. </w:t>
      </w:r>
      <w:proofErr w:type="spellStart"/>
      <w:r>
        <w:rPr>
          <w:rFonts w:ascii="Tahoma" w:eastAsia="Tahoma" w:hAnsi="Tahoma" w:cs="Tahoma"/>
          <w:sz w:val="18"/>
        </w:rPr>
        <w:t>Haematoxylin</w:t>
      </w:r>
      <w:proofErr w:type="spellEnd"/>
      <w:r>
        <w:rPr>
          <w:rFonts w:ascii="Tahoma" w:eastAsia="Tahoma" w:hAnsi="Tahoma" w:cs="Tahoma"/>
          <w:sz w:val="18"/>
        </w:rPr>
        <w:t xml:space="preserve"> and Eosin. Histological analyses show normal histoarchitecture of the Skin components such as the </w:t>
      </w:r>
      <w:r>
        <w:rPr>
          <w:rFonts w:ascii="Tahoma" w:eastAsia="Tahoma" w:hAnsi="Tahoma" w:cs="Tahoma"/>
          <w:sz w:val="18"/>
        </w:rPr>
        <w:t xml:space="preserve">hair follicle (H) and sebaceous gland (S). Staining intensity, cellular and morphological delineation appear normal. (S – Sebaceous gland, H – Hair follicle, D – Dermis, E - Epidermis). </w:t>
      </w:r>
    </w:p>
    <w:p w14:paraId="7096DBA6" w14:textId="77777777" w:rsidR="00503BF5" w:rsidRDefault="00000000">
      <w:pPr>
        <w:spacing w:after="4" w:line="247" w:lineRule="auto"/>
        <w:ind w:left="24" w:right="41" w:hanging="10"/>
        <w:jc w:val="both"/>
      </w:pPr>
      <w:r>
        <w:rPr>
          <w:rFonts w:ascii="Tahoma" w:eastAsia="Tahoma" w:hAnsi="Tahoma" w:cs="Tahoma"/>
          <w:b/>
          <w:sz w:val="18"/>
        </w:rPr>
        <w:t>Figure 2d:</w:t>
      </w:r>
      <w:r>
        <w:rPr>
          <w:rFonts w:ascii="Tahoma" w:eastAsia="Tahoma" w:hAnsi="Tahoma" w:cs="Tahoma"/>
          <w:sz w:val="18"/>
        </w:rPr>
        <w:t xml:space="preserve"> Representative photomicrograph of the Skin of rats of Group 4 which received intraperitoneal administration of 1.5 mg/Kg bodyweight of Cadmium Chloride and were post-treated with 15 mg/Kg bodyweight of </w:t>
      </w:r>
      <w:r>
        <w:rPr>
          <w:rFonts w:ascii="Tahoma" w:eastAsia="Tahoma" w:hAnsi="Tahoma" w:cs="Tahoma"/>
          <w:sz w:val="19"/>
        </w:rPr>
        <w:t xml:space="preserve">Moringa oleifera </w:t>
      </w:r>
      <w:r>
        <w:rPr>
          <w:rFonts w:ascii="Tahoma" w:eastAsia="Tahoma" w:hAnsi="Tahoma" w:cs="Tahoma"/>
          <w:sz w:val="18"/>
        </w:rPr>
        <w:t xml:space="preserve">and 7mg/Kg bodyweight of </w:t>
      </w:r>
      <w:r>
        <w:rPr>
          <w:rFonts w:ascii="Tahoma" w:eastAsia="Tahoma" w:hAnsi="Tahoma" w:cs="Tahoma"/>
          <w:sz w:val="19"/>
        </w:rPr>
        <w:t xml:space="preserve">Musa </w:t>
      </w:r>
      <w:proofErr w:type="spellStart"/>
      <w:r>
        <w:rPr>
          <w:rFonts w:ascii="Tahoma" w:eastAsia="Tahoma" w:hAnsi="Tahoma" w:cs="Tahoma"/>
          <w:sz w:val="19"/>
        </w:rPr>
        <w:t>sapientium</w:t>
      </w:r>
      <w:proofErr w:type="spellEnd"/>
      <w:r>
        <w:rPr>
          <w:rFonts w:ascii="Tahoma" w:eastAsia="Tahoma" w:hAnsi="Tahoma" w:cs="Tahoma"/>
          <w:sz w:val="18"/>
        </w:rPr>
        <w:t xml:space="preserve"> (dissolved in 1 ml of Olive oil). </w:t>
      </w:r>
      <w:proofErr w:type="spellStart"/>
      <w:r>
        <w:rPr>
          <w:rFonts w:ascii="Tahoma" w:eastAsia="Tahoma" w:hAnsi="Tahoma" w:cs="Tahoma"/>
          <w:sz w:val="18"/>
        </w:rPr>
        <w:t>Haematoxylin</w:t>
      </w:r>
      <w:proofErr w:type="spellEnd"/>
      <w:r>
        <w:rPr>
          <w:rFonts w:ascii="Tahoma" w:eastAsia="Tahoma" w:hAnsi="Tahoma" w:cs="Tahoma"/>
          <w:sz w:val="18"/>
        </w:rPr>
        <w:t xml:space="preserve"> and Eosin. Histological analyses show normal histoarchitecture of the Skin components such as the hair follicle (H) and sebaceous gland (S). Staining intensity, cellular and morphological delineation appear normal. (S – Sebaceous gland, H – Hair follicle, D – Dermis, E - Epidermis).  </w:t>
      </w:r>
    </w:p>
    <w:p w14:paraId="66756697" w14:textId="77777777" w:rsidR="00503BF5" w:rsidRDefault="00000000">
      <w:pPr>
        <w:spacing w:after="4" w:line="247" w:lineRule="auto"/>
        <w:ind w:left="24" w:right="41" w:hanging="10"/>
        <w:jc w:val="both"/>
      </w:pPr>
      <w:r>
        <w:rPr>
          <w:rFonts w:ascii="Tahoma" w:eastAsia="Tahoma" w:hAnsi="Tahoma" w:cs="Tahoma"/>
          <w:b/>
          <w:sz w:val="18"/>
        </w:rPr>
        <w:t>Figure 2e:</w:t>
      </w:r>
      <w:r>
        <w:rPr>
          <w:rFonts w:ascii="Tahoma" w:eastAsia="Tahoma" w:hAnsi="Tahoma" w:cs="Tahoma"/>
          <w:sz w:val="18"/>
        </w:rPr>
        <w:t xml:space="preserve"> Representative photomicrograph of the Skin of rats of Group 5 which received 1 ml/Kg bodyweight of Olive oil only. </w:t>
      </w:r>
      <w:proofErr w:type="spellStart"/>
      <w:r>
        <w:rPr>
          <w:rFonts w:ascii="Tahoma" w:eastAsia="Tahoma" w:hAnsi="Tahoma" w:cs="Tahoma"/>
          <w:sz w:val="18"/>
        </w:rPr>
        <w:t>Haematoxylin</w:t>
      </w:r>
      <w:proofErr w:type="spellEnd"/>
      <w:r>
        <w:rPr>
          <w:rFonts w:ascii="Tahoma" w:eastAsia="Tahoma" w:hAnsi="Tahoma" w:cs="Tahoma"/>
          <w:sz w:val="18"/>
        </w:rPr>
        <w:t xml:space="preserve"> and Eosin. Histological analyses show normal histoarchitecture of the Skin components such as the hair follicle (H) and sebaceous gland (S). Mild distortion of the epidermal layer is apparent. (S – Sebaceous gland, H – Hair follicle, D – Dermis, E - Epidermis).  </w:t>
      </w:r>
    </w:p>
    <w:p w14:paraId="40ED8F4A" w14:textId="77777777" w:rsidR="00503BF5" w:rsidRDefault="00000000">
      <w:pPr>
        <w:spacing w:after="4" w:line="247" w:lineRule="auto"/>
        <w:ind w:left="24" w:right="41" w:hanging="10"/>
        <w:jc w:val="both"/>
      </w:pPr>
      <w:r>
        <w:rPr>
          <w:rFonts w:ascii="Tahoma" w:eastAsia="Tahoma" w:hAnsi="Tahoma" w:cs="Tahoma"/>
          <w:b/>
          <w:sz w:val="18"/>
        </w:rPr>
        <w:t>Figure 2f:</w:t>
      </w:r>
      <w:r>
        <w:rPr>
          <w:rFonts w:ascii="Tahoma" w:eastAsia="Tahoma" w:hAnsi="Tahoma" w:cs="Tahoma"/>
          <w:sz w:val="18"/>
        </w:rPr>
        <w:t xml:space="preserve">  Representative photomicrograph of the Skin of rats of Group 6 which received intraperitoneal administration of 1.5 mg/Kg bodyweight of Cadmium Chloride and were post-treated with 3.35 mg/Kg bodyweight of Doxorubicin. </w:t>
      </w:r>
      <w:proofErr w:type="spellStart"/>
      <w:r>
        <w:rPr>
          <w:rFonts w:ascii="Tahoma" w:eastAsia="Tahoma" w:hAnsi="Tahoma" w:cs="Tahoma"/>
          <w:sz w:val="18"/>
        </w:rPr>
        <w:t>Haematoxyline</w:t>
      </w:r>
      <w:proofErr w:type="spellEnd"/>
      <w:r>
        <w:rPr>
          <w:rFonts w:ascii="Tahoma" w:eastAsia="Tahoma" w:hAnsi="Tahoma" w:cs="Tahoma"/>
          <w:sz w:val="18"/>
        </w:rPr>
        <w:t xml:space="preserve"> and Eosin. Histological analyses show mild anomalies of the histoarchitecture of the Skin components such as the hair follicle (H) and sebaceous gland (S). Mild distortion of the stratum corneum and epidermal layer is apparent. (S – Sebaceous gland, H – Hair follicle, D – Dermis, E - Epidermis). </w:t>
      </w:r>
      <w:r>
        <w:rPr>
          <w:rFonts w:ascii="Tahoma" w:eastAsia="Tahoma" w:hAnsi="Tahoma" w:cs="Tahoma"/>
        </w:rPr>
        <w:t xml:space="preserve"> </w:t>
      </w:r>
    </w:p>
    <w:p w14:paraId="749EDAF4" w14:textId="77777777" w:rsidR="00503BF5" w:rsidRDefault="00000000">
      <w:pPr>
        <w:tabs>
          <w:tab w:val="center" w:pos="2406"/>
          <w:tab w:val="right" w:pos="4389"/>
        </w:tabs>
        <w:spacing w:after="0" w:line="248" w:lineRule="auto"/>
      </w:pPr>
      <w:r>
        <w:rPr>
          <w:rFonts w:ascii="Tahoma" w:eastAsia="Tahoma" w:hAnsi="Tahoma" w:cs="Tahoma"/>
          <w:b/>
        </w:rPr>
        <w:t xml:space="preserve">Concentrations </w:t>
      </w:r>
      <w:r>
        <w:rPr>
          <w:rFonts w:ascii="Tahoma" w:eastAsia="Tahoma" w:hAnsi="Tahoma" w:cs="Tahoma"/>
          <w:b/>
        </w:rPr>
        <w:tab/>
        <w:t xml:space="preserve">of </w:t>
      </w:r>
      <w:r>
        <w:rPr>
          <w:rFonts w:ascii="Tahoma" w:eastAsia="Tahoma" w:hAnsi="Tahoma" w:cs="Tahoma"/>
          <w:b/>
        </w:rPr>
        <w:tab/>
        <w:t xml:space="preserve">Dopamine, </w:t>
      </w:r>
    </w:p>
    <w:p w14:paraId="0D42B103" w14:textId="77777777" w:rsidR="00503BF5" w:rsidRDefault="00000000">
      <w:pPr>
        <w:spacing w:after="0" w:line="248" w:lineRule="auto"/>
        <w:ind w:left="11" w:right="9" w:hanging="10"/>
        <w:jc w:val="both"/>
      </w:pPr>
      <w:r>
        <w:rPr>
          <w:rFonts w:ascii="Tahoma" w:eastAsia="Tahoma" w:hAnsi="Tahoma" w:cs="Tahoma"/>
          <w:b/>
        </w:rPr>
        <w:t xml:space="preserve">Glutamate and Myelin Basic Protein </w:t>
      </w:r>
    </w:p>
    <w:p w14:paraId="528D88FF" w14:textId="77777777" w:rsidR="00503BF5" w:rsidRDefault="00000000">
      <w:pPr>
        <w:spacing w:after="0" w:line="248" w:lineRule="auto"/>
        <w:ind w:left="11" w:right="9" w:hanging="10"/>
        <w:jc w:val="both"/>
      </w:pPr>
      <w:r>
        <w:rPr>
          <w:rFonts w:ascii="Tahoma" w:eastAsia="Tahoma" w:hAnsi="Tahoma" w:cs="Tahoma"/>
          <w:b/>
        </w:rPr>
        <w:t>(MBP) in skin of rats: Group 2 versus Group 1</w:t>
      </w:r>
      <w:r>
        <w:rPr>
          <w:rFonts w:ascii="Tahoma" w:eastAsia="Tahoma" w:hAnsi="Tahoma" w:cs="Tahoma"/>
        </w:rPr>
        <w:t xml:space="preserve"> </w:t>
      </w:r>
    </w:p>
    <w:p w14:paraId="1ACD6E5D" w14:textId="77777777" w:rsidR="00503BF5" w:rsidRDefault="00000000">
      <w:pPr>
        <w:spacing w:after="3" w:line="247" w:lineRule="auto"/>
        <w:ind w:left="11" w:hanging="10"/>
        <w:jc w:val="both"/>
      </w:pPr>
      <w:r>
        <w:rPr>
          <w:rFonts w:ascii="Tahoma" w:eastAsia="Tahoma" w:hAnsi="Tahoma" w:cs="Tahoma"/>
        </w:rPr>
        <w:t>The results showed significantly lower (</w:t>
      </w:r>
      <w:r>
        <w:rPr>
          <w:rFonts w:ascii="Tahoma" w:eastAsia="Tahoma" w:hAnsi="Tahoma" w:cs="Tahoma"/>
          <w:sz w:val="23"/>
        </w:rPr>
        <w:t>P</w:t>
      </w:r>
      <w:r>
        <w:rPr>
          <w:rFonts w:ascii="Tahoma" w:eastAsia="Tahoma" w:hAnsi="Tahoma" w:cs="Tahoma"/>
        </w:rPr>
        <w:t xml:space="preserve"> ≤ 0.05) levels of Dopamine and Glutamate, but significantly higher (</w:t>
      </w:r>
      <w:r>
        <w:rPr>
          <w:rFonts w:ascii="Tahoma" w:eastAsia="Tahoma" w:hAnsi="Tahoma" w:cs="Tahoma"/>
          <w:sz w:val="23"/>
        </w:rPr>
        <w:t>P</w:t>
      </w:r>
      <w:r>
        <w:rPr>
          <w:rFonts w:ascii="Tahoma" w:eastAsia="Tahoma" w:hAnsi="Tahoma" w:cs="Tahoma"/>
        </w:rPr>
        <w:t xml:space="preserve"> ≤ 0.05) levels of MBP in homogenates of skin of rats in Group 2, when compared with Control Group 1 (Table </w:t>
      </w:r>
    </w:p>
    <w:p w14:paraId="560FA373" w14:textId="77777777" w:rsidR="00503BF5" w:rsidRDefault="00000000">
      <w:pPr>
        <w:spacing w:after="3" w:line="247" w:lineRule="auto"/>
        <w:ind w:left="11" w:hanging="10"/>
        <w:jc w:val="both"/>
      </w:pPr>
      <w:r>
        <w:rPr>
          <w:rFonts w:ascii="Tahoma" w:eastAsia="Tahoma" w:hAnsi="Tahoma" w:cs="Tahoma"/>
        </w:rPr>
        <w:t xml:space="preserve">1).  </w:t>
      </w:r>
    </w:p>
    <w:p w14:paraId="30FE5F6D" w14:textId="77777777" w:rsidR="00503BF5" w:rsidRDefault="00000000">
      <w:pPr>
        <w:spacing w:after="0"/>
      </w:pPr>
      <w:r>
        <w:rPr>
          <w:rFonts w:ascii="Tahoma" w:eastAsia="Tahoma" w:hAnsi="Tahoma" w:cs="Tahoma"/>
        </w:rPr>
        <w:t xml:space="preserve"> </w:t>
      </w:r>
    </w:p>
    <w:p w14:paraId="299F9A9C" w14:textId="77777777" w:rsidR="00503BF5" w:rsidRDefault="00000000">
      <w:pPr>
        <w:tabs>
          <w:tab w:val="center" w:pos="2406"/>
          <w:tab w:val="right" w:pos="4389"/>
        </w:tabs>
        <w:spacing w:after="0" w:line="248" w:lineRule="auto"/>
      </w:pPr>
      <w:r>
        <w:rPr>
          <w:rFonts w:ascii="Tahoma" w:eastAsia="Tahoma" w:hAnsi="Tahoma" w:cs="Tahoma"/>
          <w:b/>
        </w:rPr>
        <w:t xml:space="preserve">Concentrations </w:t>
      </w:r>
      <w:r>
        <w:rPr>
          <w:rFonts w:ascii="Tahoma" w:eastAsia="Tahoma" w:hAnsi="Tahoma" w:cs="Tahoma"/>
          <w:b/>
        </w:rPr>
        <w:tab/>
        <w:t xml:space="preserve">of </w:t>
      </w:r>
      <w:r>
        <w:rPr>
          <w:rFonts w:ascii="Tahoma" w:eastAsia="Tahoma" w:hAnsi="Tahoma" w:cs="Tahoma"/>
          <w:b/>
        </w:rPr>
        <w:tab/>
        <w:t xml:space="preserve">Dopamine, </w:t>
      </w:r>
    </w:p>
    <w:p w14:paraId="6AFB2D7C" w14:textId="77777777" w:rsidR="00503BF5" w:rsidRDefault="00000000">
      <w:pPr>
        <w:spacing w:after="0" w:line="248" w:lineRule="auto"/>
        <w:ind w:left="11" w:right="9" w:hanging="10"/>
        <w:jc w:val="both"/>
      </w:pPr>
      <w:r>
        <w:rPr>
          <w:rFonts w:ascii="Tahoma" w:eastAsia="Tahoma" w:hAnsi="Tahoma" w:cs="Tahoma"/>
          <w:b/>
        </w:rPr>
        <w:t>Glutamate and MBP in skin of rats: Group 2 versus Groups 3 and 4</w:t>
      </w:r>
      <w:r>
        <w:rPr>
          <w:rFonts w:ascii="Tahoma" w:eastAsia="Tahoma" w:hAnsi="Tahoma" w:cs="Tahoma"/>
        </w:rPr>
        <w:t xml:space="preserve"> </w:t>
      </w:r>
      <w:r>
        <w:rPr>
          <w:rFonts w:ascii="Tahoma" w:eastAsia="Tahoma" w:hAnsi="Tahoma" w:cs="Tahoma"/>
          <w:b/>
        </w:rPr>
        <w:t xml:space="preserve"> </w:t>
      </w:r>
    </w:p>
    <w:p w14:paraId="410CCD95" w14:textId="77777777" w:rsidR="00503BF5" w:rsidRDefault="00000000">
      <w:pPr>
        <w:spacing w:after="3" w:line="247" w:lineRule="auto"/>
        <w:ind w:left="11" w:hanging="10"/>
        <w:jc w:val="both"/>
      </w:pPr>
      <w:r>
        <w:rPr>
          <w:rFonts w:ascii="Tahoma" w:eastAsia="Tahoma" w:hAnsi="Tahoma" w:cs="Tahoma"/>
        </w:rPr>
        <w:t>The results showed statistically significant lower (</w:t>
      </w:r>
      <w:r>
        <w:rPr>
          <w:rFonts w:ascii="Tahoma" w:eastAsia="Tahoma" w:hAnsi="Tahoma" w:cs="Tahoma"/>
          <w:sz w:val="23"/>
        </w:rPr>
        <w:t>P</w:t>
      </w:r>
      <w:r>
        <w:rPr>
          <w:rFonts w:ascii="Tahoma" w:eastAsia="Tahoma" w:hAnsi="Tahoma" w:cs="Tahoma"/>
        </w:rPr>
        <w:t xml:space="preserve"> ≤ 0.05) levels of dopamine in the skin homogenates of Group 2 rats than in Groups 3 and 4, as presented in Table 1. In </w:t>
      </w:r>
      <w:r>
        <w:rPr>
          <w:rFonts w:ascii="Tahoma" w:eastAsia="Tahoma" w:hAnsi="Tahoma" w:cs="Tahoma"/>
        </w:rPr>
        <w:lastRenderedPageBreak/>
        <w:t>addition, the results showed statistically significantly lower (</w:t>
      </w:r>
      <w:r>
        <w:rPr>
          <w:rFonts w:ascii="Tahoma" w:eastAsia="Tahoma" w:hAnsi="Tahoma" w:cs="Tahoma"/>
          <w:sz w:val="23"/>
        </w:rPr>
        <w:t>P</w:t>
      </w:r>
      <w:r>
        <w:rPr>
          <w:rFonts w:ascii="Tahoma" w:eastAsia="Tahoma" w:hAnsi="Tahoma" w:cs="Tahoma"/>
        </w:rPr>
        <w:t xml:space="preserve"> ≤ 0.05) levels of glutamate, but statistically non-significant lower (</w:t>
      </w:r>
      <w:r>
        <w:rPr>
          <w:rFonts w:ascii="Tahoma" w:eastAsia="Tahoma" w:hAnsi="Tahoma" w:cs="Tahoma"/>
          <w:sz w:val="23"/>
        </w:rPr>
        <w:t>P</w:t>
      </w:r>
      <w:r>
        <w:rPr>
          <w:rFonts w:ascii="Tahoma" w:eastAsia="Tahoma" w:hAnsi="Tahoma" w:cs="Tahoma"/>
        </w:rPr>
        <w:t xml:space="preserve"> ≥ 0.05) levels of glutamate in the homogenates of skin of rats in Group 2, compared with Groups 3 and 4, respectively, as presented in Table 1. Furthermore, the results showed statistically significant higher (</w:t>
      </w:r>
      <w:r>
        <w:rPr>
          <w:rFonts w:ascii="Tahoma" w:eastAsia="Tahoma" w:hAnsi="Tahoma" w:cs="Tahoma"/>
          <w:sz w:val="23"/>
        </w:rPr>
        <w:t>P</w:t>
      </w:r>
      <w:r>
        <w:rPr>
          <w:rFonts w:ascii="Tahoma" w:eastAsia="Tahoma" w:hAnsi="Tahoma" w:cs="Tahoma"/>
        </w:rPr>
        <w:t xml:space="preserve"> ≤ 0.05) levels of MBP in homogenates of the skin of rats in Group 2 than in Groups 3 and 4, as presented in Table 1. </w:t>
      </w:r>
    </w:p>
    <w:p w14:paraId="23379763" w14:textId="77777777" w:rsidR="00503BF5" w:rsidRDefault="00000000">
      <w:pPr>
        <w:spacing w:after="0"/>
      </w:pPr>
      <w:r>
        <w:rPr>
          <w:rFonts w:ascii="Tahoma" w:eastAsia="Tahoma" w:hAnsi="Tahoma" w:cs="Tahoma"/>
        </w:rPr>
        <w:t xml:space="preserve"> </w:t>
      </w:r>
    </w:p>
    <w:p w14:paraId="26B764AB" w14:textId="77777777" w:rsidR="00503BF5" w:rsidRDefault="00000000">
      <w:pPr>
        <w:tabs>
          <w:tab w:val="center" w:pos="2406"/>
          <w:tab w:val="right" w:pos="4389"/>
        </w:tabs>
        <w:spacing w:after="0" w:line="248" w:lineRule="auto"/>
      </w:pPr>
      <w:r>
        <w:rPr>
          <w:rFonts w:ascii="Tahoma" w:eastAsia="Tahoma" w:hAnsi="Tahoma" w:cs="Tahoma"/>
          <w:b/>
        </w:rPr>
        <w:t xml:space="preserve">Concentrations </w:t>
      </w:r>
      <w:r>
        <w:rPr>
          <w:rFonts w:ascii="Tahoma" w:eastAsia="Tahoma" w:hAnsi="Tahoma" w:cs="Tahoma"/>
          <w:b/>
        </w:rPr>
        <w:tab/>
        <w:t xml:space="preserve">of </w:t>
      </w:r>
      <w:r>
        <w:rPr>
          <w:rFonts w:ascii="Tahoma" w:eastAsia="Tahoma" w:hAnsi="Tahoma" w:cs="Tahoma"/>
          <w:b/>
        </w:rPr>
        <w:tab/>
        <w:t xml:space="preserve">Dopamine, </w:t>
      </w:r>
    </w:p>
    <w:p w14:paraId="649DB455" w14:textId="77777777" w:rsidR="00503BF5" w:rsidRDefault="00000000">
      <w:pPr>
        <w:spacing w:after="0" w:line="248" w:lineRule="auto"/>
        <w:ind w:left="11" w:right="9" w:hanging="10"/>
        <w:jc w:val="both"/>
      </w:pPr>
      <w:r>
        <w:rPr>
          <w:rFonts w:ascii="Tahoma" w:eastAsia="Tahoma" w:hAnsi="Tahoma" w:cs="Tahoma"/>
          <w:b/>
        </w:rPr>
        <w:t>Glutamate and MBP in skin</w:t>
      </w:r>
      <w:r>
        <w:rPr>
          <w:rFonts w:ascii="Tahoma" w:eastAsia="Tahoma" w:hAnsi="Tahoma" w:cs="Tahoma"/>
        </w:rPr>
        <w:t xml:space="preserve"> </w:t>
      </w:r>
      <w:r>
        <w:rPr>
          <w:rFonts w:ascii="Tahoma" w:eastAsia="Tahoma" w:hAnsi="Tahoma" w:cs="Tahoma"/>
          <w:b/>
        </w:rPr>
        <w:t>of rats: Group 2 versus Group 6</w:t>
      </w:r>
      <w:r>
        <w:rPr>
          <w:rFonts w:ascii="Tahoma" w:eastAsia="Tahoma" w:hAnsi="Tahoma" w:cs="Tahoma"/>
        </w:rPr>
        <w:t xml:space="preserve"> </w:t>
      </w:r>
    </w:p>
    <w:p w14:paraId="111C1446" w14:textId="77777777" w:rsidR="00503BF5" w:rsidRDefault="00000000">
      <w:pPr>
        <w:spacing w:after="3" w:line="247" w:lineRule="auto"/>
        <w:ind w:left="11" w:hanging="10"/>
        <w:jc w:val="both"/>
      </w:pPr>
      <w:r>
        <w:rPr>
          <w:rFonts w:ascii="Tahoma" w:eastAsia="Tahoma" w:hAnsi="Tahoma" w:cs="Tahoma"/>
        </w:rPr>
        <w:t>The results showed statistically significant lower (</w:t>
      </w:r>
      <w:r>
        <w:rPr>
          <w:rFonts w:ascii="Tahoma" w:eastAsia="Tahoma" w:hAnsi="Tahoma" w:cs="Tahoma"/>
          <w:sz w:val="23"/>
        </w:rPr>
        <w:t>P</w:t>
      </w:r>
      <w:r>
        <w:rPr>
          <w:rFonts w:ascii="Tahoma" w:eastAsia="Tahoma" w:hAnsi="Tahoma" w:cs="Tahoma"/>
        </w:rPr>
        <w:t xml:space="preserve"> ≤ 0.05) levels of dopamine in the skin homogenates of Group 2 rats than in Group 6 rats, as presented in Table 1. In addition, the results showed statistically nonsignificant lower (</w:t>
      </w:r>
      <w:r>
        <w:rPr>
          <w:rFonts w:ascii="Tahoma" w:eastAsia="Tahoma" w:hAnsi="Tahoma" w:cs="Tahoma"/>
          <w:sz w:val="23"/>
        </w:rPr>
        <w:t>P</w:t>
      </w:r>
      <w:r>
        <w:rPr>
          <w:rFonts w:ascii="Tahoma" w:eastAsia="Tahoma" w:hAnsi="Tahoma" w:cs="Tahoma"/>
        </w:rPr>
        <w:t xml:space="preserve"> ≥ 0.05) levels of glutamate, but statistically non-significant higher (</w:t>
      </w:r>
      <w:r>
        <w:rPr>
          <w:rFonts w:ascii="Tahoma" w:eastAsia="Tahoma" w:hAnsi="Tahoma" w:cs="Tahoma"/>
          <w:sz w:val="23"/>
        </w:rPr>
        <w:t>P</w:t>
      </w:r>
      <w:r>
        <w:rPr>
          <w:rFonts w:ascii="Tahoma" w:eastAsia="Tahoma" w:hAnsi="Tahoma" w:cs="Tahoma"/>
        </w:rPr>
        <w:t xml:space="preserve"> ≥ 0.05) levels of MBP in homogenates of rat skin in Group 2 than in Group 6, as presented in Table 1.  </w:t>
      </w:r>
    </w:p>
    <w:p w14:paraId="7D426A69" w14:textId="77777777" w:rsidR="00503BF5" w:rsidRDefault="00000000">
      <w:pPr>
        <w:spacing w:after="0"/>
      </w:pPr>
      <w:r>
        <w:rPr>
          <w:rFonts w:ascii="Tahoma" w:eastAsia="Tahoma" w:hAnsi="Tahoma" w:cs="Tahoma"/>
        </w:rPr>
        <w:t xml:space="preserve"> </w:t>
      </w:r>
    </w:p>
    <w:p w14:paraId="77F94C0E" w14:textId="77777777" w:rsidR="00503BF5" w:rsidRDefault="00000000">
      <w:pPr>
        <w:spacing w:after="0"/>
      </w:pPr>
      <w:r>
        <w:rPr>
          <w:rFonts w:ascii="Tahoma" w:eastAsia="Tahoma" w:hAnsi="Tahoma" w:cs="Tahoma"/>
          <w:b/>
        </w:rPr>
        <w:t xml:space="preserve"> </w:t>
      </w:r>
    </w:p>
    <w:p w14:paraId="31E7B67D" w14:textId="77777777" w:rsidR="00503BF5" w:rsidRDefault="00503BF5">
      <w:pPr>
        <w:sectPr w:rsidR="00503BF5">
          <w:type w:val="continuous"/>
          <w:pgSz w:w="12240" w:h="16340"/>
          <w:pgMar w:top="1443" w:right="1435" w:bottom="1908" w:left="1440" w:header="720" w:footer="720" w:gutter="0"/>
          <w:cols w:num="2" w:space="614"/>
        </w:sectPr>
      </w:pPr>
    </w:p>
    <w:tbl>
      <w:tblPr>
        <w:tblStyle w:val="TableGrid"/>
        <w:tblW w:w="9429" w:type="dxa"/>
        <w:tblInd w:w="13" w:type="dxa"/>
        <w:tblCellMar>
          <w:top w:w="0" w:type="dxa"/>
          <w:left w:w="0" w:type="dxa"/>
          <w:bottom w:w="0" w:type="dxa"/>
          <w:right w:w="0" w:type="dxa"/>
        </w:tblCellMar>
        <w:tblLook w:val="04A0" w:firstRow="1" w:lastRow="0" w:firstColumn="1" w:lastColumn="0" w:noHBand="0" w:noVBand="1"/>
      </w:tblPr>
      <w:tblGrid>
        <w:gridCol w:w="5040"/>
        <w:gridCol w:w="4389"/>
      </w:tblGrid>
      <w:tr w:rsidR="00503BF5" w14:paraId="6FE421D9" w14:textId="77777777">
        <w:trPr>
          <w:trHeight w:val="3451"/>
        </w:trPr>
        <w:tc>
          <w:tcPr>
            <w:tcW w:w="5040" w:type="dxa"/>
            <w:tcBorders>
              <w:top w:val="nil"/>
              <w:left w:val="nil"/>
              <w:bottom w:val="nil"/>
              <w:right w:val="nil"/>
            </w:tcBorders>
          </w:tcPr>
          <w:p w14:paraId="2150A790" w14:textId="77777777" w:rsidR="00503BF5" w:rsidRDefault="00000000">
            <w:pPr>
              <w:spacing w:after="0" w:line="237" w:lineRule="auto"/>
              <w:ind w:right="718"/>
              <w:jc w:val="both"/>
            </w:pPr>
            <w:r>
              <w:rPr>
                <w:rFonts w:ascii="Tahoma" w:eastAsia="Tahoma" w:hAnsi="Tahoma" w:cs="Tahoma"/>
                <w:b/>
              </w:rPr>
              <w:t xml:space="preserve">Concentrations of Caspase-3, Ki67, p53, Cytochrome p450 and </w:t>
            </w:r>
            <w:proofErr w:type="spellStart"/>
            <w:r>
              <w:rPr>
                <w:rFonts w:ascii="Tahoma" w:eastAsia="Tahoma" w:hAnsi="Tahoma" w:cs="Tahoma"/>
                <w:b/>
              </w:rPr>
              <w:t>sVEGFR</w:t>
            </w:r>
            <w:proofErr w:type="spellEnd"/>
            <w:r>
              <w:rPr>
                <w:rFonts w:ascii="Tahoma" w:eastAsia="Tahoma" w:hAnsi="Tahoma" w:cs="Tahoma"/>
                <w:b/>
              </w:rPr>
              <w:t xml:space="preserve"> in skin of rats: Group 2 versus Groups 1, 3 and 4</w:t>
            </w:r>
            <w:r>
              <w:rPr>
                <w:rFonts w:ascii="Tahoma" w:eastAsia="Tahoma" w:hAnsi="Tahoma" w:cs="Tahoma"/>
              </w:rPr>
              <w:t xml:space="preserve"> </w:t>
            </w:r>
          </w:p>
          <w:p w14:paraId="2E390419" w14:textId="77777777" w:rsidR="00503BF5" w:rsidRDefault="00000000">
            <w:pPr>
              <w:spacing w:after="4" w:line="235" w:lineRule="auto"/>
              <w:ind w:right="717"/>
              <w:jc w:val="both"/>
            </w:pPr>
            <w:r>
              <w:rPr>
                <w:rFonts w:ascii="Tahoma" w:eastAsia="Tahoma" w:hAnsi="Tahoma" w:cs="Tahoma"/>
              </w:rPr>
              <w:t>The results showed statistically significant lower (</w:t>
            </w:r>
            <w:r>
              <w:rPr>
                <w:rFonts w:ascii="Tahoma" w:eastAsia="Tahoma" w:hAnsi="Tahoma" w:cs="Tahoma"/>
                <w:sz w:val="23"/>
              </w:rPr>
              <w:t>P</w:t>
            </w:r>
            <w:r>
              <w:rPr>
                <w:rFonts w:ascii="Tahoma" w:eastAsia="Tahoma" w:hAnsi="Tahoma" w:cs="Tahoma"/>
              </w:rPr>
              <w:t xml:space="preserve"> ≤ 0.05) levels of Caspase-3, Ki67, p53, cytochrome p450, and </w:t>
            </w:r>
            <w:proofErr w:type="spellStart"/>
            <w:r>
              <w:rPr>
                <w:rFonts w:ascii="Tahoma" w:eastAsia="Tahoma" w:hAnsi="Tahoma" w:cs="Tahoma"/>
              </w:rPr>
              <w:t>sVEGFR</w:t>
            </w:r>
            <w:proofErr w:type="spellEnd"/>
            <w:r>
              <w:rPr>
                <w:rFonts w:ascii="Tahoma" w:eastAsia="Tahoma" w:hAnsi="Tahoma" w:cs="Tahoma"/>
              </w:rPr>
              <w:t xml:space="preserve"> in the skin homogenates of rats in Group 2 when compared with Control Group 1 and Groups 3 and 4, as presented in Table 2.  </w:t>
            </w:r>
          </w:p>
          <w:p w14:paraId="5C5F032E" w14:textId="77777777" w:rsidR="00503BF5" w:rsidRDefault="00000000">
            <w:pPr>
              <w:spacing w:after="0"/>
            </w:pPr>
            <w:r>
              <w:rPr>
                <w:rFonts w:ascii="Tahoma" w:eastAsia="Tahoma" w:hAnsi="Tahoma" w:cs="Tahoma"/>
              </w:rPr>
              <w:t xml:space="preserve"> </w:t>
            </w:r>
          </w:p>
        </w:tc>
        <w:tc>
          <w:tcPr>
            <w:tcW w:w="4389" w:type="dxa"/>
            <w:tcBorders>
              <w:top w:val="nil"/>
              <w:left w:val="nil"/>
              <w:bottom w:val="nil"/>
              <w:right w:val="nil"/>
            </w:tcBorders>
          </w:tcPr>
          <w:p w14:paraId="4409DC38" w14:textId="77777777" w:rsidR="00503BF5" w:rsidRDefault="00000000">
            <w:pPr>
              <w:spacing w:after="8" w:line="236" w:lineRule="auto"/>
            </w:pPr>
            <w:r>
              <w:rPr>
                <w:rFonts w:ascii="Tahoma" w:eastAsia="Tahoma" w:hAnsi="Tahoma" w:cs="Tahoma"/>
                <w:b/>
              </w:rPr>
              <w:t xml:space="preserve">Concentrations of Caspase-3, Ki67, p53, Cytochrome p450 and </w:t>
            </w:r>
            <w:proofErr w:type="spellStart"/>
            <w:r>
              <w:rPr>
                <w:rFonts w:ascii="Tahoma" w:eastAsia="Tahoma" w:hAnsi="Tahoma" w:cs="Tahoma"/>
                <w:b/>
              </w:rPr>
              <w:t>sVEGFR</w:t>
            </w:r>
            <w:proofErr w:type="spellEnd"/>
            <w:r>
              <w:rPr>
                <w:rFonts w:ascii="Tahoma" w:eastAsia="Tahoma" w:hAnsi="Tahoma" w:cs="Tahoma"/>
                <w:b/>
              </w:rPr>
              <w:t xml:space="preserve"> in skin of rats: Group 2 versus Group 6</w:t>
            </w:r>
            <w:r>
              <w:rPr>
                <w:rFonts w:ascii="Tahoma" w:eastAsia="Tahoma" w:hAnsi="Tahoma" w:cs="Tahoma"/>
              </w:rPr>
              <w:t xml:space="preserve"> The results showed statistically significant lower (</w:t>
            </w:r>
            <w:r>
              <w:rPr>
                <w:rFonts w:ascii="Tahoma" w:eastAsia="Tahoma" w:hAnsi="Tahoma" w:cs="Tahoma"/>
                <w:sz w:val="23"/>
              </w:rPr>
              <w:t>P</w:t>
            </w:r>
            <w:r>
              <w:rPr>
                <w:rFonts w:ascii="Tahoma" w:eastAsia="Tahoma" w:hAnsi="Tahoma" w:cs="Tahoma"/>
              </w:rPr>
              <w:t xml:space="preserve"> ≤ 0.05) levels of Caspase-3, Ki67, Cytochrome p450, and </w:t>
            </w:r>
            <w:proofErr w:type="spellStart"/>
            <w:r>
              <w:rPr>
                <w:rFonts w:ascii="Tahoma" w:eastAsia="Tahoma" w:hAnsi="Tahoma" w:cs="Tahoma"/>
              </w:rPr>
              <w:t>sVEGFR</w:t>
            </w:r>
            <w:proofErr w:type="spellEnd"/>
            <w:r>
              <w:rPr>
                <w:rFonts w:ascii="Tahoma" w:eastAsia="Tahoma" w:hAnsi="Tahoma" w:cs="Tahoma"/>
                <w:b/>
              </w:rPr>
              <w:t xml:space="preserve"> </w:t>
            </w:r>
            <w:r>
              <w:rPr>
                <w:rFonts w:ascii="Tahoma" w:eastAsia="Tahoma" w:hAnsi="Tahoma" w:cs="Tahoma"/>
              </w:rPr>
              <w:t xml:space="preserve">in the skin homogenates of rats in Group 2 than in Group 6, as presented in Table 2. However, the </w:t>
            </w:r>
            <w:r>
              <w:rPr>
                <w:rFonts w:ascii="Tahoma" w:eastAsia="Tahoma" w:hAnsi="Tahoma" w:cs="Tahoma"/>
              </w:rPr>
              <w:tab/>
              <w:t xml:space="preserve">results </w:t>
            </w:r>
            <w:r>
              <w:rPr>
                <w:rFonts w:ascii="Tahoma" w:eastAsia="Tahoma" w:hAnsi="Tahoma" w:cs="Tahoma"/>
              </w:rPr>
              <w:tab/>
              <w:t xml:space="preserve">showed </w:t>
            </w:r>
            <w:r>
              <w:rPr>
                <w:rFonts w:ascii="Tahoma" w:eastAsia="Tahoma" w:hAnsi="Tahoma" w:cs="Tahoma"/>
              </w:rPr>
              <w:tab/>
              <w:t xml:space="preserve">statistically </w:t>
            </w:r>
            <w:r>
              <w:rPr>
                <w:rFonts w:ascii="Tahoma" w:eastAsia="Tahoma" w:hAnsi="Tahoma" w:cs="Tahoma"/>
              </w:rPr>
              <w:tab/>
              <w:t>non-</w:t>
            </w:r>
          </w:p>
          <w:p w14:paraId="49522862" w14:textId="77777777" w:rsidR="00503BF5" w:rsidRDefault="00000000">
            <w:pPr>
              <w:spacing w:after="0"/>
              <w:ind w:right="66"/>
              <w:jc w:val="both"/>
            </w:pPr>
            <w:r>
              <w:rPr>
                <w:rFonts w:ascii="Tahoma" w:eastAsia="Tahoma" w:hAnsi="Tahoma" w:cs="Tahoma"/>
              </w:rPr>
              <w:t>significant lower (</w:t>
            </w:r>
            <w:r>
              <w:rPr>
                <w:rFonts w:ascii="Tahoma" w:eastAsia="Tahoma" w:hAnsi="Tahoma" w:cs="Tahoma"/>
                <w:sz w:val="23"/>
              </w:rPr>
              <w:t>P</w:t>
            </w:r>
            <w:r>
              <w:rPr>
                <w:rFonts w:ascii="Tahoma" w:eastAsia="Tahoma" w:hAnsi="Tahoma" w:cs="Tahoma"/>
              </w:rPr>
              <w:t xml:space="preserve"> ≥ 0.05) levels of p53 in homogenates of the skin of rats in Group 2 compared with Group 6, as presented in Table 2.</w:t>
            </w:r>
          </w:p>
        </w:tc>
      </w:tr>
    </w:tbl>
    <w:p w14:paraId="1DF37167" w14:textId="77777777" w:rsidR="00503BF5" w:rsidRDefault="00000000">
      <w:pPr>
        <w:spacing w:after="0"/>
        <w:ind w:left="13"/>
      </w:pPr>
      <w:r>
        <w:rPr>
          <w:rFonts w:ascii="Tahoma" w:eastAsia="Tahoma" w:hAnsi="Tahoma" w:cs="Tahoma"/>
        </w:rPr>
        <w:t xml:space="preserve"> </w:t>
      </w:r>
    </w:p>
    <w:tbl>
      <w:tblPr>
        <w:tblStyle w:val="TableGrid"/>
        <w:tblpPr w:vertAnchor="page" w:horzAnchor="page" w:tblpX="1444" w:tblpY="10751"/>
        <w:tblOverlap w:val="never"/>
        <w:tblW w:w="8848" w:type="dxa"/>
        <w:tblInd w:w="0" w:type="dxa"/>
        <w:tblCellMar>
          <w:top w:w="0" w:type="dxa"/>
          <w:left w:w="0" w:type="dxa"/>
          <w:bottom w:w="0" w:type="dxa"/>
          <w:right w:w="0" w:type="dxa"/>
        </w:tblCellMar>
        <w:tblLook w:val="04A0" w:firstRow="1" w:lastRow="0" w:firstColumn="1" w:lastColumn="0" w:noHBand="0" w:noVBand="1"/>
      </w:tblPr>
      <w:tblGrid>
        <w:gridCol w:w="1502"/>
        <w:gridCol w:w="1078"/>
        <w:gridCol w:w="2522"/>
        <w:gridCol w:w="1565"/>
        <w:gridCol w:w="1085"/>
        <w:gridCol w:w="1096"/>
      </w:tblGrid>
      <w:tr w:rsidR="00503BF5" w14:paraId="5937481D" w14:textId="77777777">
        <w:trPr>
          <w:trHeight w:val="651"/>
        </w:trPr>
        <w:tc>
          <w:tcPr>
            <w:tcW w:w="1502" w:type="dxa"/>
            <w:tcBorders>
              <w:top w:val="nil"/>
              <w:left w:val="nil"/>
              <w:bottom w:val="nil"/>
              <w:right w:val="nil"/>
            </w:tcBorders>
          </w:tcPr>
          <w:p w14:paraId="1F5241BB" w14:textId="77777777" w:rsidR="00503BF5" w:rsidRDefault="00000000">
            <w:pPr>
              <w:spacing w:after="0"/>
              <w:ind w:left="13"/>
            </w:pPr>
            <w:r>
              <w:rPr>
                <w:rFonts w:ascii="Tahoma" w:eastAsia="Tahoma" w:hAnsi="Tahoma" w:cs="Tahoma"/>
                <w:sz w:val="18"/>
              </w:rPr>
              <w:t xml:space="preserve">Caspase-3 </w:t>
            </w:r>
          </w:p>
          <w:p w14:paraId="31B05716" w14:textId="77777777" w:rsidR="00503BF5" w:rsidRDefault="00000000">
            <w:pPr>
              <w:spacing w:after="0"/>
              <w:ind w:left="13"/>
            </w:pPr>
            <w:r>
              <w:rPr>
                <w:rFonts w:ascii="Tahoma" w:eastAsia="Tahoma" w:hAnsi="Tahoma" w:cs="Tahoma"/>
                <w:sz w:val="18"/>
              </w:rPr>
              <w:t xml:space="preserve">(ng/ml) </w:t>
            </w:r>
          </w:p>
          <w:p w14:paraId="5509AAA7" w14:textId="77777777" w:rsidR="00503BF5" w:rsidRDefault="00000000">
            <w:pPr>
              <w:spacing w:after="0"/>
              <w:ind w:left="13"/>
            </w:pPr>
            <w:r>
              <w:rPr>
                <w:rFonts w:ascii="Tahoma" w:eastAsia="Tahoma" w:hAnsi="Tahoma" w:cs="Tahoma"/>
                <w:sz w:val="18"/>
              </w:rPr>
              <w:t xml:space="preserve"> </w:t>
            </w:r>
          </w:p>
        </w:tc>
        <w:tc>
          <w:tcPr>
            <w:tcW w:w="1078" w:type="dxa"/>
            <w:tcBorders>
              <w:top w:val="nil"/>
              <w:left w:val="nil"/>
              <w:bottom w:val="nil"/>
              <w:right w:val="nil"/>
            </w:tcBorders>
            <w:vAlign w:val="center"/>
          </w:tcPr>
          <w:p w14:paraId="6EE4A354" w14:textId="77777777" w:rsidR="00503BF5" w:rsidRDefault="00000000">
            <w:pPr>
              <w:spacing w:after="0"/>
              <w:ind w:left="13"/>
            </w:pPr>
            <w:r>
              <w:rPr>
                <w:rFonts w:ascii="Tahoma" w:eastAsia="Tahoma" w:hAnsi="Tahoma" w:cs="Tahoma"/>
                <w:sz w:val="18"/>
              </w:rPr>
              <w:t xml:space="preserve">169.69 </w:t>
            </w:r>
          </w:p>
          <w:p w14:paraId="545AC57A" w14:textId="77777777" w:rsidR="00503BF5" w:rsidRDefault="00000000">
            <w:pPr>
              <w:spacing w:after="0"/>
              <w:ind w:left="13"/>
            </w:pPr>
            <w:r>
              <w:rPr>
                <w:rFonts w:ascii="Tahoma" w:eastAsia="Tahoma" w:hAnsi="Tahoma" w:cs="Tahoma"/>
                <w:sz w:val="18"/>
              </w:rPr>
              <w:t xml:space="preserve">±1.56 </w:t>
            </w:r>
          </w:p>
        </w:tc>
        <w:tc>
          <w:tcPr>
            <w:tcW w:w="2522" w:type="dxa"/>
            <w:tcBorders>
              <w:top w:val="nil"/>
              <w:left w:val="nil"/>
              <w:bottom w:val="nil"/>
              <w:right w:val="nil"/>
            </w:tcBorders>
            <w:vAlign w:val="center"/>
          </w:tcPr>
          <w:p w14:paraId="3956ABD1" w14:textId="77777777" w:rsidR="00503BF5" w:rsidRDefault="00000000">
            <w:pPr>
              <w:tabs>
                <w:tab w:val="center" w:pos="1418"/>
              </w:tabs>
              <w:spacing w:after="0"/>
            </w:pPr>
            <w:r>
              <w:rPr>
                <w:rFonts w:ascii="Tahoma" w:eastAsia="Tahoma" w:hAnsi="Tahoma" w:cs="Tahoma"/>
                <w:sz w:val="18"/>
              </w:rPr>
              <w:t xml:space="preserve">356.89 </w:t>
            </w:r>
            <w:r>
              <w:rPr>
                <w:rFonts w:ascii="Tahoma" w:eastAsia="Tahoma" w:hAnsi="Tahoma" w:cs="Tahoma"/>
                <w:sz w:val="18"/>
              </w:rPr>
              <w:tab/>
              <w:t xml:space="preserve">101.04 </w:t>
            </w:r>
          </w:p>
          <w:p w14:paraId="4D0A4A3D" w14:textId="77777777" w:rsidR="00503BF5" w:rsidRDefault="00000000">
            <w:pPr>
              <w:tabs>
                <w:tab w:val="center" w:pos="1435"/>
              </w:tabs>
              <w:spacing w:after="0"/>
            </w:pPr>
            <w:r>
              <w:rPr>
                <w:rFonts w:ascii="Tahoma" w:eastAsia="Tahoma" w:hAnsi="Tahoma" w:cs="Tahoma"/>
                <w:sz w:val="18"/>
              </w:rPr>
              <w:t xml:space="preserve">±26.88 </w:t>
            </w:r>
            <w:r>
              <w:rPr>
                <w:rFonts w:ascii="Tahoma" w:eastAsia="Tahoma" w:hAnsi="Tahoma" w:cs="Tahoma"/>
                <w:sz w:val="18"/>
              </w:rPr>
              <w:tab/>
              <w:t xml:space="preserve">±10.21 </w:t>
            </w:r>
          </w:p>
        </w:tc>
        <w:tc>
          <w:tcPr>
            <w:tcW w:w="1565" w:type="dxa"/>
            <w:tcBorders>
              <w:top w:val="nil"/>
              <w:left w:val="nil"/>
              <w:bottom w:val="nil"/>
              <w:right w:val="nil"/>
            </w:tcBorders>
            <w:vAlign w:val="center"/>
          </w:tcPr>
          <w:p w14:paraId="1ECEF3C8" w14:textId="77777777" w:rsidR="00503BF5" w:rsidRDefault="00000000">
            <w:pPr>
              <w:spacing w:after="0"/>
              <w:ind w:left="13"/>
            </w:pPr>
            <w:r>
              <w:rPr>
                <w:rFonts w:ascii="Tahoma" w:eastAsia="Tahoma" w:hAnsi="Tahoma" w:cs="Tahoma"/>
                <w:sz w:val="18"/>
              </w:rPr>
              <w:t xml:space="preserve">45.21±1.99 </w:t>
            </w:r>
          </w:p>
        </w:tc>
        <w:tc>
          <w:tcPr>
            <w:tcW w:w="1085" w:type="dxa"/>
            <w:tcBorders>
              <w:top w:val="nil"/>
              <w:left w:val="nil"/>
              <w:bottom w:val="nil"/>
              <w:right w:val="nil"/>
            </w:tcBorders>
            <w:vAlign w:val="center"/>
          </w:tcPr>
          <w:p w14:paraId="046B0F89" w14:textId="77777777" w:rsidR="00503BF5" w:rsidRDefault="00000000">
            <w:pPr>
              <w:spacing w:after="0"/>
              <w:ind w:left="13"/>
            </w:pPr>
            <w:r>
              <w:rPr>
                <w:rFonts w:ascii="Tahoma" w:eastAsia="Tahoma" w:hAnsi="Tahoma" w:cs="Tahoma"/>
                <w:sz w:val="18"/>
              </w:rPr>
              <w:t xml:space="preserve">147.81 </w:t>
            </w:r>
          </w:p>
          <w:p w14:paraId="1A3FA003" w14:textId="77777777" w:rsidR="00503BF5" w:rsidRDefault="00000000">
            <w:pPr>
              <w:spacing w:after="0"/>
              <w:ind w:left="13"/>
            </w:pPr>
            <w:r>
              <w:rPr>
                <w:rFonts w:ascii="Tahoma" w:eastAsia="Tahoma" w:hAnsi="Tahoma" w:cs="Tahoma"/>
                <w:sz w:val="18"/>
              </w:rPr>
              <w:t xml:space="preserve">±1.56 </w:t>
            </w:r>
          </w:p>
        </w:tc>
        <w:tc>
          <w:tcPr>
            <w:tcW w:w="1096" w:type="dxa"/>
            <w:tcBorders>
              <w:top w:val="nil"/>
              <w:left w:val="nil"/>
              <w:bottom w:val="nil"/>
              <w:right w:val="nil"/>
            </w:tcBorders>
            <w:vAlign w:val="center"/>
          </w:tcPr>
          <w:p w14:paraId="15EA5122" w14:textId="77777777" w:rsidR="00503BF5" w:rsidRDefault="00000000">
            <w:pPr>
              <w:spacing w:after="0"/>
              <w:ind w:left="13"/>
              <w:jc w:val="both"/>
            </w:pPr>
            <w:r>
              <w:rPr>
                <w:rFonts w:ascii="Tahoma" w:eastAsia="Tahoma" w:hAnsi="Tahoma" w:cs="Tahoma"/>
                <w:sz w:val="18"/>
              </w:rPr>
              <w:t xml:space="preserve">293.44±2.19 </w:t>
            </w:r>
          </w:p>
        </w:tc>
      </w:tr>
      <w:tr w:rsidR="00503BF5" w14:paraId="647F0F1C" w14:textId="77777777">
        <w:trPr>
          <w:trHeight w:val="217"/>
        </w:trPr>
        <w:tc>
          <w:tcPr>
            <w:tcW w:w="1502" w:type="dxa"/>
            <w:tcBorders>
              <w:top w:val="nil"/>
              <w:left w:val="nil"/>
              <w:bottom w:val="nil"/>
              <w:right w:val="nil"/>
            </w:tcBorders>
          </w:tcPr>
          <w:p w14:paraId="38D6544E" w14:textId="77777777" w:rsidR="00503BF5" w:rsidRDefault="00000000">
            <w:pPr>
              <w:spacing w:after="0"/>
            </w:pPr>
            <w:r>
              <w:rPr>
                <w:rFonts w:ascii="Tahoma" w:eastAsia="Tahoma" w:hAnsi="Tahoma" w:cs="Tahoma"/>
                <w:sz w:val="19"/>
              </w:rPr>
              <w:t>P</w:t>
            </w:r>
            <w:r>
              <w:rPr>
                <w:rFonts w:ascii="Tahoma" w:eastAsia="Tahoma" w:hAnsi="Tahoma" w:cs="Tahoma"/>
                <w:sz w:val="18"/>
              </w:rPr>
              <w:t xml:space="preserve"> – value </w:t>
            </w:r>
          </w:p>
        </w:tc>
        <w:tc>
          <w:tcPr>
            <w:tcW w:w="1078" w:type="dxa"/>
            <w:tcBorders>
              <w:top w:val="nil"/>
              <w:left w:val="nil"/>
              <w:bottom w:val="nil"/>
              <w:right w:val="nil"/>
            </w:tcBorders>
          </w:tcPr>
          <w:p w14:paraId="116D1107" w14:textId="77777777" w:rsidR="00503BF5" w:rsidRDefault="00000000">
            <w:pPr>
              <w:spacing w:after="0"/>
            </w:pPr>
            <w:r>
              <w:rPr>
                <w:rFonts w:ascii="Tahoma" w:eastAsia="Tahoma" w:hAnsi="Tahoma" w:cs="Tahoma"/>
                <w:sz w:val="19"/>
              </w:rPr>
              <w:t>P</w:t>
            </w:r>
            <w:r>
              <w:rPr>
                <w:rFonts w:ascii="Tahoma" w:eastAsia="Tahoma" w:hAnsi="Tahoma" w:cs="Tahoma"/>
                <w:sz w:val="18"/>
              </w:rPr>
              <w:t xml:space="preserve"> &lt; 0.01* </w:t>
            </w:r>
          </w:p>
        </w:tc>
        <w:tc>
          <w:tcPr>
            <w:tcW w:w="2522" w:type="dxa"/>
            <w:tcBorders>
              <w:top w:val="nil"/>
              <w:left w:val="nil"/>
              <w:bottom w:val="nil"/>
              <w:right w:val="nil"/>
            </w:tcBorders>
          </w:tcPr>
          <w:p w14:paraId="2032E11B" w14:textId="77777777" w:rsidR="00503BF5" w:rsidRDefault="00000000">
            <w:pPr>
              <w:tabs>
                <w:tab w:val="center" w:pos="1533"/>
              </w:tabs>
              <w:spacing w:after="0"/>
            </w:pPr>
            <w:r>
              <w:rPr>
                <w:rFonts w:ascii="Tahoma" w:eastAsia="Tahoma" w:hAnsi="Tahoma" w:cs="Tahoma"/>
                <w:sz w:val="18"/>
              </w:rPr>
              <w:t xml:space="preserve"> </w:t>
            </w:r>
            <w:r>
              <w:rPr>
                <w:rFonts w:ascii="Tahoma" w:eastAsia="Tahoma" w:hAnsi="Tahoma" w:cs="Tahoma"/>
                <w:sz w:val="18"/>
              </w:rPr>
              <w:tab/>
            </w:r>
            <w:r>
              <w:rPr>
                <w:rFonts w:ascii="Tahoma" w:eastAsia="Tahoma" w:hAnsi="Tahoma" w:cs="Tahoma"/>
                <w:sz w:val="19"/>
              </w:rPr>
              <w:t>P</w:t>
            </w:r>
            <w:r>
              <w:rPr>
                <w:rFonts w:ascii="Tahoma" w:eastAsia="Tahoma" w:hAnsi="Tahoma" w:cs="Tahoma"/>
                <w:sz w:val="18"/>
              </w:rPr>
              <w:t xml:space="preserve"> &lt; 0.01* </w:t>
            </w:r>
          </w:p>
        </w:tc>
        <w:tc>
          <w:tcPr>
            <w:tcW w:w="1565" w:type="dxa"/>
            <w:tcBorders>
              <w:top w:val="nil"/>
              <w:left w:val="nil"/>
              <w:bottom w:val="nil"/>
              <w:right w:val="nil"/>
            </w:tcBorders>
          </w:tcPr>
          <w:p w14:paraId="5AF29F0D" w14:textId="77777777" w:rsidR="00503BF5" w:rsidRDefault="00000000">
            <w:pPr>
              <w:spacing w:after="0"/>
            </w:pPr>
            <w:r>
              <w:rPr>
                <w:rFonts w:ascii="Tahoma" w:eastAsia="Tahoma" w:hAnsi="Tahoma" w:cs="Tahoma"/>
                <w:sz w:val="19"/>
              </w:rPr>
              <w:t>P</w:t>
            </w:r>
            <w:r>
              <w:rPr>
                <w:rFonts w:ascii="Tahoma" w:eastAsia="Tahoma" w:hAnsi="Tahoma" w:cs="Tahoma"/>
                <w:sz w:val="18"/>
              </w:rPr>
              <w:t xml:space="preserve"> &lt; 0.01* </w:t>
            </w:r>
          </w:p>
        </w:tc>
        <w:tc>
          <w:tcPr>
            <w:tcW w:w="1085" w:type="dxa"/>
            <w:tcBorders>
              <w:top w:val="nil"/>
              <w:left w:val="nil"/>
              <w:bottom w:val="nil"/>
              <w:right w:val="nil"/>
            </w:tcBorders>
          </w:tcPr>
          <w:p w14:paraId="28CC9230" w14:textId="77777777" w:rsidR="00503BF5" w:rsidRDefault="00000000">
            <w:pPr>
              <w:spacing w:after="0"/>
            </w:pPr>
            <w:r>
              <w:rPr>
                <w:rFonts w:ascii="Tahoma" w:eastAsia="Tahoma" w:hAnsi="Tahoma" w:cs="Tahoma"/>
                <w:sz w:val="19"/>
              </w:rPr>
              <w:t>P</w:t>
            </w:r>
            <w:r>
              <w:rPr>
                <w:rFonts w:ascii="Tahoma" w:eastAsia="Tahoma" w:hAnsi="Tahoma" w:cs="Tahoma"/>
                <w:sz w:val="18"/>
              </w:rPr>
              <w:t xml:space="preserve"> &lt; 0.01* </w:t>
            </w:r>
          </w:p>
        </w:tc>
        <w:tc>
          <w:tcPr>
            <w:tcW w:w="1096" w:type="dxa"/>
            <w:tcBorders>
              <w:top w:val="nil"/>
              <w:left w:val="nil"/>
              <w:bottom w:val="nil"/>
              <w:right w:val="nil"/>
            </w:tcBorders>
          </w:tcPr>
          <w:p w14:paraId="4B10F475" w14:textId="77777777" w:rsidR="00503BF5" w:rsidRDefault="00000000">
            <w:pPr>
              <w:spacing w:after="0"/>
            </w:pPr>
            <w:r>
              <w:rPr>
                <w:rFonts w:ascii="Tahoma" w:eastAsia="Tahoma" w:hAnsi="Tahoma" w:cs="Tahoma"/>
                <w:sz w:val="19"/>
              </w:rPr>
              <w:t>P</w:t>
            </w:r>
            <w:r>
              <w:rPr>
                <w:rFonts w:ascii="Tahoma" w:eastAsia="Tahoma" w:hAnsi="Tahoma" w:cs="Tahoma"/>
                <w:sz w:val="18"/>
              </w:rPr>
              <w:t xml:space="preserve"> &lt; 0.01* </w:t>
            </w:r>
          </w:p>
        </w:tc>
      </w:tr>
      <w:tr w:rsidR="00503BF5" w14:paraId="254EA194" w14:textId="77777777">
        <w:trPr>
          <w:trHeight w:val="434"/>
        </w:trPr>
        <w:tc>
          <w:tcPr>
            <w:tcW w:w="1502" w:type="dxa"/>
            <w:tcBorders>
              <w:top w:val="nil"/>
              <w:left w:val="nil"/>
              <w:bottom w:val="nil"/>
              <w:right w:val="nil"/>
            </w:tcBorders>
          </w:tcPr>
          <w:p w14:paraId="79738082" w14:textId="77777777" w:rsidR="00503BF5" w:rsidRDefault="00000000">
            <w:pPr>
              <w:spacing w:after="0"/>
              <w:ind w:left="13"/>
            </w:pPr>
            <w:r>
              <w:rPr>
                <w:rFonts w:ascii="Tahoma" w:eastAsia="Tahoma" w:hAnsi="Tahoma" w:cs="Tahoma"/>
                <w:sz w:val="18"/>
              </w:rPr>
              <w:t xml:space="preserve">Ki67 (ng/ml) </w:t>
            </w:r>
          </w:p>
          <w:p w14:paraId="5F15E52C" w14:textId="77777777" w:rsidR="00503BF5" w:rsidRDefault="00000000">
            <w:pPr>
              <w:spacing w:after="0"/>
              <w:ind w:left="13"/>
            </w:pPr>
            <w:r>
              <w:rPr>
                <w:rFonts w:ascii="Tahoma" w:eastAsia="Tahoma" w:hAnsi="Tahoma" w:cs="Tahoma"/>
                <w:sz w:val="18"/>
              </w:rPr>
              <w:t xml:space="preserve"> </w:t>
            </w:r>
          </w:p>
        </w:tc>
        <w:tc>
          <w:tcPr>
            <w:tcW w:w="1078" w:type="dxa"/>
            <w:tcBorders>
              <w:top w:val="nil"/>
              <w:left w:val="nil"/>
              <w:bottom w:val="nil"/>
              <w:right w:val="nil"/>
            </w:tcBorders>
          </w:tcPr>
          <w:p w14:paraId="6605C331" w14:textId="77777777" w:rsidR="00503BF5" w:rsidRDefault="00000000">
            <w:pPr>
              <w:spacing w:after="0"/>
              <w:ind w:left="13"/>
            </w:pPr>
            <w:r>
              <w:rPr>
                <w:rFonts w:ascii="Tahoma" w:eastAsia="Tahoma" w:hAnsi="Tahoma" w:cs="Tahoma"/>
                <w:sz w:val="18"/>
              </w:rPr>
              <w:t xml:space="preserve">6.21 </w:t>
            </w:r>
          </w:p>
          <w:p w14:paraId="061E1276" w14:textId="77777777" w:rsidR="00503BF5" w:rsidRDefault="00000000">
            <w:pPr>
              <w:spacing w:after="0"/>
              <w:ind w:left="13"/>
            </w:pPr>
            <w:r>
              <w:rPr>
                <w:rFonts w:ascii="Tahoma" w:eastAsia="Tahoma" w:hAnsi="Tahoma" w:cs="Tahoma"/>
                <w:sz w:val="18"/>
              </w:rPr>
              <w:t xml:space="preserve">±0.03 </w:t>
            </w:r>
          </w:p>
        </w:tc>
        <w:tc>
          <w:tcPr>
            <w:tcW w:w="2522" w:type="dxa"/>
            <w:tcBorders>
              <w:top w:val="nil"/>
              <w:left w:val="nil"/>
              <w:bottom w:val="nil"/>
              <w:right w:val="nil"/>
            </w:tcBorders>
            <w:vAlign w:val="center"/>
          </w:tcPr>
          <w:p w14:paraId="4AB6DC4F" w14:textId="77777777" w:rsidR="00503BF5" w:rsidRDefault="00000000">
            <w:pPr>
              <w:spacing w:after="0"/>
            </w:pPr>
            <w:r>
              <w:rPr>
                <w:rFonts w:ascii="Tahoma" w:eastAsia="Tahoma" w:hAnsi="Tahoma" w:cs="Tahoma"/>
                <w:sz w:val="18"/>
              </w:rPr>
              <w:t xml:space="preserve">14.82±0.47 2.73±0.33 </w:t>
            </w:r>
          </w:p>
        </w:tc>
        <w:tc>
          <w:tcPr>
            <w:tcW w:w="1565" w:type="dxa"/>
            <w:tcBorders>
              <w:top w:val="nil"/>
              <w:left w:val="nil"/>
              <w:bottom w:val="nil"/>
              <w:right w:val="nil"/>
            </w:tcBorders>
            <w:vAlign w:val="center"/>
          </w:tcPr>
          <w:p w14:paraId="642E9950" w14:textId="77777777" w:rsidR="00503BF5" w:rsidRDefault="00000000">
            <w:pPr>
              <w:spacing w:after="0"/>
              <w:ind w:left="13"/>
            </w:pPr>
            <w:r>
              <w:rPr>
                <w:rFonts w:ascii="Tahoma" w:eastAsia="Tahoma" w:hAnsi="Tahoma" w:cs="Tahoma"/>
                <w:sz w:val="18"/>
              </w:rPr>
              <w:t xml:space="preserve">2.05±0.04 </w:t>
            </w:r>
          </w:p>
        </w:tc>
        <w:tc>
          <w:tcPr>
            <w:tcW w:w="1085" w:type="dxa"/>
            <w:tcBorders>
              <w:top w:val="nil"/>
              <w:left w:val="nil"/>
              <w:bottom w:val="nil"/>
              <w:right w:val="nil"/>
            </w:tcBorders>
            <w:vAlign w:val="center"/>
          </w:tcPr>
          <w:p w14:paraId="6ABC915D" w14:textId="77777777" w:rsidR="00503BF5" w:rsidRDefault="00000000">
            <w:pPr>
              <w:spacing w:after="0"/>
              <w:ind w:left="13"/>
            </w:pPr>
            <w:r>
              <w:rPr>
                <w:rFonts w:ascii="Tahoma" w:eastAsia="Tahoma" w:hAnsi="Tahoma" w:cs="Tahoma"/>
                <w:sz w:val="18"/>
              </w:rPr>
              <w:t xml:space="preserve">4.40±0.19 </w:t>
            </w:r>
          </w:p>
        </w:tc>
        <w:tc>
          <w:tcPr>
            <w:tcW w:w="1096" w:type="dxa"/>
            <w:tcBorders>
              <w:top w:val="nil"/>
              <w:left w:val="nil"/>
              <w:bottom w:val="nil"/>
              <w:right w:val="nil"/>
            </w:tcBorders>
            <w:vAlign w:val="center"/>
          </w:tcPr>
          <w:p w14:paraId="5F218DED" w14:textId="77777777" w:rsidR="00503BF5" w:rsidRDefault="00000000">
            <w:pPr>
              <w:spacing w:after="0"/>
              <w:ind w:left="13"/>
            </w:pPr>
            <w:r>
              <w:rPr>
                <w:rFonts w:ascii="Tahoma" w:eastAsia="Tahoma" w:hAnsi="Tahoma" w:cs="Tahoma"/>
                <w:sz w:val="18"/>
              </w:rPr>
              <w:t xml:space="preserve">10.07±0.40 </w:t>
            </w:r>
          </w:p>
        </w:tc>
      </w:tr>
      <w:tr w:rsidR="00503BF5" w14:paraId="22EEF411" w14:textId="77777777">
        <w:trPr>
          <w:trHeight w:val="218"/>
        </w:trPr>
        <w:tc>
          <w:tcPr>
            <w:tcW w:w="1502" w:type="dxa"/>
            <w:tcBorders>
              <w:top w:val="nil"/>
              <w:left w:val="nil"/>
              <w:bottom w:val="nil"/>
              <w:right w:val="nil"/>
            </w:tcBorders>
          </w:tcPr>
          <w:p w14:paraId="5499747E" w14:textId="77777777" w:rsidR="00503BF5" w:rsidRDefault="00000000">
            <w:pPr>
              <w:spacing w:after="0"/>
              <w:ind w:left="13"/>
            </w:pPr>
            <w:r>
              <w:rPr>
                <w:rFonts w:ascii="Tahoma" w:eastAsia="Tahoma" w:hAnsi="Tahoma" w:cs="Tahoma"/>
                <w:sz w:val="18"/>
              </w:rPr>
              <w:t xml:space="preserve"> </w:t>
            </w:r>
            <w:r>
              <w:rPr>
                <w:rFonts w:ascii="Tahoma" w:eastAsia="Tahoma" w:hAnsi="Tahoma" w:cs="Tahoma"/>
                <w:sz w:val="19"/>
              </w:rPr>
              <w:t>p</w:t>
            </w:r>
            <w:r>
              <w:rPr>
                <w:rFonts w:ascii="Tahoma" w:eastAsia="Tahoma" w:hAnsi="Tahoma" w:cs="Tahoma"/>
                <w:sz w:val="18"/>
              </w:rPr>
              <w:t xml:space="preserve"> – value </w:t>
            </w:r>
          </w:p>
        </w:tc>
        <w:tc>
          <w:tcPr>
            <w:tcW w:w="1078" w:type="dxa"/>
            <w:tcBorders>
              <w:top w:val="nil"/>
              <w:left w:val="nil"/>
              <w:bottom w:val="nil"/>
              <w:right w:val="nil"/>
            </w:tcBorders>
          </w:tcPr>
          <w:p w14:paraId="1E16FBCA" w14:textId="77777777" w:rsidR="00503BF5" w:rsidRDefault="00000000">
            <w:pPr>
              <w:spacing w:after="0"/>
            </w:pPr>
            <w:r>
              <w:rPr>
                <w:rFonts w:ascii="Tahoma" w:eastAsia="Tahoma" w:hAnsi="Tahoma" w:cs="Tahoma"/>
                <w:sz w:val="19"/>
              </w:rPr>
              <w:t>P</w:t>
            </w:r>
            <w:r>
              <w:rPr>
                <w:rFonts w:ascii="Tahoma" w:eastAsia="Tahoma" w:hAnsi="Tahoma" w:cs="Tahoma"/>
                <w:sz w:val="18"/>
              </w:rPr>
              <w:t xml:space="preserve"> &lt; 0.01* </w:t>
            </w:r>
          </w:p>
        </w:tc>
        <w:tc>
          <w:tcPr>
            <w:tcW w:w="2522" w:type="dxa"/>
            <w:tcBorders>
              <w:top w:val="nil"/>
              <w:left w:val="nil"/>
              <w:bottom w:val="nil"/>
              <w:right w:val="nil"/>
            </w:tcBorders>
          </w:tcPr>
          <w:p w14:paraId="72C62B14" w14:textId="77777777" w:rsidR="00503BF5" w:rsidRDefault="00000000">
            <w:pPr>
              <w:tabs>
                <w:tab w:val="center" w:pos="1533"/>
              </w:tabs>
              <w:spacing w:after="0"/>
            </w:pPr>
            <w:r>
              <w:rPr>
                <w:rFonts w:ascii="Tahoma" w:eastAsia="Tahoma" w:hAnsi="Tahoma" w:cs="Tahoma"/>
                <w:sz w:val="18"/>
              </w:rPr>
              <w:t xml:space="preserve"> </w:t>
            </w:r>
            <w:r>
              <w:rPr>
                <w:rFonts w:ascii="Tahoma" w:eastAsia="Tahoma" w:hAnsi="Tahoma" w:cs="Tahoma"/>
                <w:sz w:val="18"/>
              </w:rPr>
              <w:tab/>
            </w:r>
            <w:r>
              <w:rPr>
                <w:rFonts w:ascii="Tahoma" w:eastAsia="Tahoma" w:hAnsi="Tahoma" w:cs="Tahoma"/>
                <w:sz w:val="19"/>
              </w:rPr>
              <w:t>P</w:t>
            </w:r>
            <w:r>
              <w:rPr>
                <w:rFonts w:ascii="Tahoma" w:eastAsia="Tahoma" w:hAnsi="Tahoma" w:cs="Tahoma"/>
                <w:sz w:val="18"/>
              </w:rPr>
              <w:t xml:space="preserve"> &lt; 0.01* </w:t>
            </w:r>
          </w:p>
        </w:tc>
        <w:tc>
          <w:tcPr>
            <w:tcW w:w="1565" w:type="dxa"/>
            <w:tcBorders>
              <w:top w:val="nil"/>
              <w:left w:val="nil"/>
              <w:bottom w:val="nil"/>
              <w:right w:val="nil"/>
            </w:tcBorders>
          </w:tcPr>
          <w:p w14:paraId="376F8F09" w14:textId="77777777" w:rsidR="00503BF5" w:rsidRDefault="00000000">
            <w:pPr>
              <w:spacing w:after="0"/>
            </w:pPr>
            <w:r>
              <w:rPr>
                <w:rFonts w:ascii="Tahoma" w:eastAsia="Tahoma" w:hAnsi="Tahoma" w:cs="Tahoma"/>
                <w:sz w:val="19"/>
              </w:rPr>
              <w:t>P</w:t>
            </w:r>
            <w:r>
              <w:rPr>
                <w:rFonts w:ascii="Tahoma" w:eastAsia="Tahoma" w:hAnsi="Tahoma" w:cs="Tahoma"/>
                <w:sz w:val="18"/>
              </w:rPr>
              <w:t xml:space="preserve"> &lt; 0.01* </w:t>
            </w:r>
          </w:p>
        </w:tc>
        <w:tc>
          <w:tcPr>
            <w:tcW w:w="1085" w:type="dxa"/>
            <w:tcBorders>
              <w:top w:val="nil"/>
              <w:left w:val="nil"/>
              <w:bottom w:val="nil"/>
              <w:right w:val="nil"/>
            </w:tcBorders>
          </w:tcPr>
          <w:p w14:paraId="4DCF0DFB" w14:textId="77777777" w:rsidR="00503BF5" w:rsidRDefault="00000000">
            <w:pPr>
              <w:spacing w:after="0"/>
            </w:pPr>
            <w:r>
              <w:rPr>
                <w:rFonts w:ascii="Tahoma" w:eastAsia="Tahoma" w:hAnsi="Tahoma" w:cs="Tahoma"/>
                <w:sz w:val="19"/>
              </w:rPr>
              <w:t>P</w:t>
            </w:r>
            <w:r>
              <w:rPr>
                <w:rFonts w:ascii="Tahoma" w:eastAsia="Tahoma" w:hAnsi="Tahoma" w:cs="Tahoma"/>
                <w:sz w:val="18"/>
              </w:rPr>
              <w:t xml:space="preserve"> &lt; 0.01* </w:t>
            </w:r>
          </w:p>
        </w:tc>
        <w:tc>
          <w:tcPr>
            <w:tcW w:w="1096" w:type="dxa"/>
            <w:tcBorders>
              <w:top w:val="nil"/>
              <w:left w:val="nil"/>
              <w:bottom w:val="nil"/>
              <w:right w:val="nil"/>
            </w:tcBorders>
          </w:tcPr>
          <w:p w14:paraId="1B583B7D" w14:textId="77777777" w:rsidR="00503BF5" w:rsidRDefault="00000000">
            <w:pPr>
              <w:spacing w:after="0"/>
            </w:pPr>
            <w:r>
              <w:rPr>
                <w:rFonts w:ascii="Tahoma" w:eastAsia="Tahoma" w:hAnsi="Tahoma" w:cs="Tahoma"/>
                <w:sz w:val="19"/>
              </w:rPr>
              <w:t>P</w:t>
            </w:r>
            <w:r>
              <w:rPr>
                <w:rFonts w:ascii="Tahoma" w:eastAsia="Tahoma" w:hAnsi="Tahoma" w:cs="Tahoma"/>
                <w:sz w:val="18"/>
              </w:rPr>
              <w:t xml:space="preserve"> &lt; 0.01* </w:t>
            </w:r>
          </w:p>
        </w:tc>
      </w:tr>
      <w:tr w:rsidR="00503BF5" w14:paraId="0CC7F2AB" w14:textId="77777777">
        <w:trPr>
          <w:trHeight w:val="434"/>
        </w:trPr>
        <w:tc>
          <w:tcPr>
            <w:tcW w:w="1502" w:type="dxa"/>
            <w:tcBorders>
              <w:top w:val="nil"/>
              <w:left w:val="nil"/>
              <w:bottom w:val="nil"/>
              <w:right w:val="nil"/>
            </w:tcBorders>
          </w:tcPr>
          <w:p w14:paraId="4415F8DB" w14:textId="77777777" w:rsidR="00503BF5" w:rsidRDefault="00000000">
            <w:pPr>
              <w:spacing w:after="0"/>
              <w:ind w:left="13"/>
            </w:pPr>
            <w:r>
              <w:rPr>
                <w:rFonts w:ascii="Tahoma" w:eastAsia="Tahoma" w:hAnsi="Tahoma" w:cs="Tahoma"/>
                <w:sz w:val="18"/>
              </w:rPr>
              <w:t xml:space="preserve">p53 (ng/ml) </w:t>
            </w:r>
          </w:p>
          <w:p w14:paraId="19F8CABE" w14:textId="77777777" w:rsidR="00503BF5" w:rsidRDefault="00000000">
            <w:pPr>
              <w:spacing w:after="0"/>
              <w:ind w:left="13"/>
            </w:pPr>
            <w:r>
              <w:rPr>
                <w:rFonts w:ascii="Tahoma" w:eastAsia="Tahoma" w:hAnsi="Tahoma" w:cs="Tahoma"/>
                <w:sz w:val="18"/>
              </w:rPr>
              <w:t xml:space="preserve"> </w:t>
            </w:r>
          </w:p>
        </w:tc>
        <w:tc>
          <w:tcPr>
            <w:tcW w:w="1078" w:type="dxa"/>
            <w:tcBorders>
              <w:top w:val="nil"/>
              <w:left w:val="nil"/>
              <w:bottom w:val="nil"/>
              <w:right w:val="nil"/>
            </w:tcBorders>
          </w:tcPr>
          <w:p w14:paraId="7886A50D" w14:textId="77777777" w:rsidR="00503BF5" w:rsidRDefault="00000000">
            <w:pPr>
              <w:spacing w:after="0"/>
              <w:ind w:left="13"/>
            </w:pPr>
            <w:r>
              <w:rPr>
                <w:rFonts w:ascii="Tahoma" w:eastAsia="Tahoma" w:hAnsi="Tahoma" w:cs="Tahoma"/>
                <w:sz w:val="18"/>
              </w:rPr>
              <w:t xml:space="preserve">26.42 </w:t>
            </w:r>
          </w:p>
          <w:p w14:paraId="6076CF3E" w14:textId="77777777" w:rsidR="00503BF5" w:rsidRDefault="00000000">
            <w:pPr>
              <w:spacing w:after="0"/>
              <w:ind w:left="13"/>
            </w:pPr>
            <w:r>
              <w:rPr>
                <w:rFonts w:ascii="Tahoma" w:eastAsia="Tahoma" w:hAnsi="Tahoma" w:cs="Tahoma"/>
                <w:sz w:val="18"/>
              </w:rPr>
              <w:t xml:space="preserve">±0.56 </w:t>
            </w:r>
          </w:p>
        </w:tc>
        <w:tc>
          <w:tcPr>
            <w:tcW w:w="2522" w:type="dxa"/>
            <w:tcBorders>
              <w:top w:val="nil"/>
              <w:left w:val="nil"/>
              <w:bottom w:val="nil"/>
              <w:right w:val="nil"/>
            </w:tcBorders>
            <w:vAlign w:val="center"/>
          </w:tcPr>
          <w:p w14:paraId="48F9708A" w14:textId="77777777" w:rsidR="00503BF5" w:rsidRDefault="00000000">
            <w:pPr>
              <w:spacing w:after="0"/>
            </w:pPr>
            <w:r>
              <w:rPr>
                <w:rFonts w:ascii="Tahoma" w:eastAsia="Tahoma" w:hAnsi="Tahoma" w:cs="Tahoma"/>
                <w:sz w:val="18"/>
              </w:rPr>
              <w:t xml:space="preserve">37.68±1.04 </w:t>
            </w:r>
            <w:r>
              <w:rPr>
                <w:rFonts w:ascii="Tahoma" w:eastAsia="Tahoma" w:hAnsi="Tahoma" w:cs="Tahoma"/>
                <w:sz w:val="28"/>
                <w:vertAlign w:val="superscript"/>
              </w:rPr>
              <w:t>28.08</w:t>
            </w:r>
            <w:r>
              <w:rPr>
                <w:rFonts w:ascii="Tahoma" w:eastAsia="Tahoma" w:hAnsi="Tahoma" w:cs="Tahoma"/>
                <w:sz w:val="18"/>
              </w:rPr>
              <w:t>±0.28</w:t>
            </w:r>
            <w:r>
              <w:rPr>
                <w:rFonts w:ascii="Tahoma" w:eastAsia="Tahoma" w:hAnsi="Tahoma" w:cs="Tahoma"/>
                <w:sz w:val="28"/>
                <w:vertAlign w:val="superscript"/>
              </w:rPr>
              <w:t xml:space="preserve"> </w:t>
            </w:r>
            <w:r>
              <w:rPr>
                <w:rFonts w:ascii="Tahoma" w:eastAsia="Tahoma" w:hAnsi="Tahoma" w:cs="Tahoma"/>
                <w:sz w:val="18"/>
              </w:rPr>
              <w:t xml:space="preserve"> </w:t>
            </w:r>
          </w:p>
        </w:tc>
        <w:tc>
          <w:tcPr>
            <w:tcW w:w="1565" w:type="dxa"/>
            <w:tcBorders>
              <w:top w:val="nil"/>
              <w:left w:val="nil"/>
              <w:bottom w:val="nil"/>
              <w:right w:val="nil"/>
            </w:tcBorders>
            <w:vAlign w:val="center"/>
          </w:tcPr>
          <w:p w14:paraId="245F3101" w14:textId="77777777" w:rsidR="00503BF5" w:rsidRDefault="00000000">
            <w:pPr>
              <w:spacing w:after="0"/>
              <w:ind w:left="13"/>
            </w:pPr>
            <w:r>
              <w:rPr>
                <w:rFonts w:ascii="Tahoma" w:eastAsia="Tahoma" w:hAnsi="Tahoma" w:cs="Tahoma"/>
                <w:sz w:val="18"/>
              </w:rPr>
              <w:t xml:space="preserve">23.22±1.25 </w:t>
            </w:r>
          </w:p>
        </w:tc>
        <w:tc>
          <w:tcPr>
            <w:tcW w:w="1085" w:type="dxa"/>
            <w:tcBorders>
              <w:top w:val="nil"/>
              <w:left w:val="nil"/>
              <w:bottom w:val="nil"/>
              <w:right w:val="nil"/>
            </w:tcBorders>
          </w:tcPr>
          <w:p w14:paraId="72E7C927" w14:textId="77777777" w:rsidR="00503BF5" w:rsidRDefault="00000000">
            <w:pPr>
              <w:spacing w:after="0"/>
              <w:ind w:left="13"/>
            </w:pPr>
            <w:r>
              <w:rPr>
                <w:rFonts w:ascii="Tahoma" w:eastAsia="Tahoma" w:hAnsi="Tahoma" w:cs="Tahoma"/>
                <w:sz w:val="18"/>
              </w:rPr>
              <w:t xml:space="preserve">30.86 </w:t>
            </w:r>
          </w:p>
          <w:p w14:paraId="411CDC8C" w14:textId="77777777" w:rsidR="00503BF5" w:rsidRDefault="00000000">
            <w:pPr>
              <w:spacing w:after="0"/>
              <w:ind w:left="13"/>
            </w:pPr>
            <w:r>
              <w:rPr>
                <w:rFonts w:ascii="Tahoma" w:eastAsia="Tahoma" w:hAnsi="Tahoma" w:cs="Tahoma"/>
                <w:sz w:val="18"/>
              </w:rPr>
              <w:t xml:space="preserve">±0.01 </w:t>
            </w:r>
          </w:p>
        </w:tc>
        <w:tc>
          <w:tcPr>
            <w:tcW w:w="1096" w:type="dxa"/>
            <w:tcBorders>
              <w:top w:val="nil"/>
              <w:left w:val="nil"/>
              <w:bottom w:val="nil"/>
              <w:right w:val="nil"/>
            </w:tcBorders>
            <w:vAlign w:val="center"/>
          </w:tcPr>
          <w:p w14:paraId="0B45B89C" w14:textId="77777777" w:rsidR="00503BF5" w:rsidRDefault="00000000">
            <w:pPr>
              <w:spacing w:after="0"/>
              <w:ind w:left="13"/>
            </w:pPr>
            <w:r>
              <w:rPr>
                <w:rFonts w:ascii="Tahoma" w:eastAsia="Tahoma" w:hAnsi="Tahoma" w:cs="Tahoma"/>
                <w:sz w:val="18"/>
              </w:rPr>
              <w:t xml:space="preserve">34.09±1.56 </w:t>
            </w:r>
          </w:p>
        </w:tc>
      </w:tr>
      <w:tr w:rsidR="00503BF5" w14:paraId="438A0AD5" w14:textId="77777777">
        <w:trPr>
          <w:trHeight w:val="424"/>
        </w:trPr>
        <w:tc>
          <w:tcPr>
            <w:tcW w:w="1502" w:type="dxa"/>
            <w:tcBorders>
              <w:top w:val="nil"/>
              <w:left w:val="nil"/>
              <w:bottom w:val="nil"/>
              <w:right w:val="nil"/>
            </w:tcBorders>
          </w:tcPr>
          <w:p w14:paraId="6DB55439" w14:textId="77777777" w:rsidR="00503BF5" w:rsidRDefault="00000000">
            <w:pPr>
              <w:spacing w:after="0"/>
              <w:ind w:left="13" w:hanging="13"/>
            </w:pPr>
            <w:r>
              <w:rPr>
                <w:rFonts w:ascii="Tahoma" w:eastAsia="Tahoma" w:hAnsi="Tahoma" w:cs="Tahoma"/>
                <w:sz w:val="19"/>
              </w:rPr>
              <w:t>P</w:t>
            </w:r>
            <w:r>
              <w:rPr>
                <w:rFonts w:ascii="Tahoma" w:eastAsia="Tahoma" w:hAnsi="Tahoma" w:cs="Tahoma"/>
                <w:sz w:val="18"/>
              </w:rPr>
              <w:t xml:space="preserve"> – value Cytochrome </w:t>
            </w:r>
          </w:p>
        </w:tc>
        <w:tc>
          <w:tcPr>
            <w:tcW w:w="1078" w:type="dxa"/>
            <w:tcBorders>
              <w:top w:val="nil"/>
              <w:left w:val="nil"/>
              <w:bottom w:val="nil"/>
              <w:right w:val="nil"/>
            </w:tcBorders>
          </w:tcPr>
          <w:p w14:paraId="606D0132" w14:textId="77777777" w:rsidR="00503BF5" w:rsidRDefault="00000000">
            <w:pPr>
              <w:spacing w:after="0"/>
            </w:pPr>
            <w:r>
              <w:rPr>
                <w:rFonts w:ascii="Tahoma" w:eastAsia="Tahoma" w:hAnsi="Tahoma" w:cs="Tahoma"/>
                <w:sz w:val="19"/>
              </w:rPr>
              <w:t>P</w:t>
            </w:r>
            <w:r>
              <w:rPr>
                <w:rFonts w:ascii="Tahoma" w:eastAsia="Tahoma" w:hAnsi="Tahoma" w:cs="Tahoma"/>
                <w:sz w:val="18"/>
              </w:rPr>
              <w:t xml:space="preserve"> &lt; 0.01* </w:t>
            </w:r>
          </w:p>
        </w:tc>
        <w:tc>
          <w:tcPr>
            <w:tcW w:w="2522" w:type="dxa"/>
            <w:tcBorders>
              <w:top w:val="nil"/>
              <w:left w:val="nil"/>
              <w:bottom w:val="nil"/>
              <w:right w:val="nil"/>
            </w:tcBorders>
          </w:tcPr>
          <w:p w14:paraId="50D3C9FB" w14:textId="77777777" w:rsidR="00503BF5" w:rsidRDefault="00000000">
            <w:pPr>
              <w:tabs>
                <w:tab w:val="center" w:pos="1533"/>
              </w:tabs>
              <w:spacing w:after="0"/>
            </w:pPr>
            <w:r>
              <w:rPr>
                <w:rFonts w:ascii="Tahoma" w:eastAsia="Tahoma" w:hAnsi="Tahoma" w:cs="Tahoma"/>
                <w:sz w:val="18"/>
              </w:rPr>
              <w:t xml:space="preserve"> </w:t>
            </w:r>
            <w:r>
              <w:rPr>
                <w:rFonts w:ascii="Tahoma" w:eastAsia="Tahoma" w:hAnsi="Tahoma" w:cs="Tahoma"/>
                <w:sz w:val="18"/>
              </w:rPr>
              <w:tab/>
            </w:r>
            <w:r>
              <w:rPr>
                <w:rFonts w:ascii="Tahoma" w:eastAsia="Tahoma" w:hAnsi="Tahoma" w:cs="Tahoma"/>
                <w:sz w:val="19"/>
              </w:rPr>
              <w:t>P</w:t>
            </w:r>
            <w:r>
              <w:rPr>
                <w:rFonts w:ascii="Tahoma" w:eastAsia="Tahoma" w:hAnsi="Tahoma" w:cs="Tahoma"/>
                <w:sz w:val="18"/>
              </w:rPr>
              <w:t xml:space="preserve"> &lt; 0.01* </w:t>
            </w:r>
          </w:p>
        </w:tc>
        <w:tc>
          <w:tcPr>
            <w:tcW w:w="1565" w:type="dxa"/>
            <w:tcBorders>
              <w:top w:val="nil"/>
              <w:left w:val="nil"/>
              <w:bottom w:val="nil"/>
              <w:right w:val="nil"/>
            </w:tcBorders>
          </w:tcPr>
          <w:p w14:paraId="67F894D2" w14:textId="77777777" w:rsidR="00503BF5" w:rsidRDefault="00000000">
            <w:pPr>
              <w:spacing w:after="0"/>
            </w:pPr>
            <w:r>
              <w:rPr>
                <w:rFonts w:ascii="Tahoma" w:eastAsia="Tahoma" w:hAnsi="Tahoma" w:cs="Tahoma"/>
                <w:sz w:val="19"/>
              </w:rPr>
              <w:t>P</w:t>
            </w:r>
            <w:r>
              <w:rPr>
                <w:rFonts w:ascii="Tahoma" w:eastAsia="Tahoma" w:hAnsi="Tahoma" w:cs="Tahoma"/>
                <w:sz w:val="18"/>
              </w:rPr>
              <w:t xml:space="preserve"> &lt; 0.01* </w:t>
            </w:r>
          </w:p>
        </w:tc>
        <w:tc>
          <w:tcPr>
            <w:tcW w:w="1085" w:type="dxa"/>
            <w:tcBorders>
              <w:top w:val="nil"/>
              <w:left w:val="nil"/>
              <w:bottom w:val="nil"/>
              <w:right w:val="nil"/>
            </w:tcBorders>
          </w:tcPr>
          <w:p w14:paraId="4672390B" w14:textId="77777777" w:rsidR="00503BF5" w:rsidRDefault="00000000">
            <w:pPr>
              <w:spacing w:after="0"/>
            </w:pPr>
            <w:r>
              <w:rPr>
                <w:rFonts w:ascii="Tahoma" w:eastAsia="Tahoma" w:hAnsi="Tahoma" w:cs="Tahoma"/>
                <w:sz w:val="19"/>
              </w:rPr>
              <w:t>P</w:t>
            </w:r>
            <w:r>
              <w:rPr>
                <w:rFonts w:ascii="Tahoma" w:eastAsia="Tahoma" w:hAnsi="Tahoma" w:cs="Tahoma"/>
                <w:sz w:val="18"/>
              </w:rPr>
              <w:t xml:space="preserve"> &lt; 0.01* </w:t>
            </w:r>
          </w:p>
        </w:tc>
        <w:tc>
          <w:tcPr>
            <w:tcW w:w="1096" w:type="dxa"/>
            <w:tcBorders>
              <w:top w:val="nil"/>
              <w:left w:val="nil"/>
              <w:bottom w:val="nil"/>
              <w:right w:val="nil"/>
            </w:tcBorders>
          </w:tcPr>
          <w:p w14:paraId="27034565" w14:textId="77777777" w:rsidR="00503BF5" w:rsidRDefault="00000000">
            <w:pPr>
              <w:spacing w:after="0"/>
              <w:ind w:left="13"/>
            </w:pPr>
            <w:r>
              <w:rPr>
                <w:rFonts w:ascii="Tahoma" w:eastAsia="Tahoma" w:hAnsi="Tahoma" w:cs="Tahoma"/>
                <w:sz w:val="18"/>
              </w:rPr>
              <w:t xml:space="preserve">0.41 </w:t>
            </w:r>
          </w:p>
        </w:tc>
      </w:tr>
      <w:tr w:rsidR="00503BF5" w14:paraId="77ACCDF0" w14:textId="77777777">
        <w:trPr>
          <w:trHeight w:val="533"/>
        </w:trPr>
        <w:tc>
          <w:tcPr>
            <w:tcW w:w="1502" w:type="dxa"/>
            <w:tcBorders>
              <w:top w:val="nil"/>
              <w:left w:val="nil"/>
              <w:bottom w:val="nil"/>
              <w:right w:val="nil"/>
            </w:tcBorders>
          </w:tcPr>
          <w:p w14:paraId="21CE70BC" w14:textId="77777777" w:rsidR="00503BF5" w:rsidRDefault="00000000">
            <w:pPr>
              <w:spacing w:after="0"/>
              <w:ind w:left="13"/>
            </w:pPr>
            <w:r>
              <w:rPr>
                <w:rFonts w:ascii="Tahoma" w:eastAsia="Tahoma" w:hAnsi="Tahoma" w:cs="Tahoma"/>
                <w:sz w:val="18"/>
              </w:rPr>
              <w:t xml:space="preserve">p450 (ng/ml) </w:t>
            </w:r>
          </w:p>
          <w:p w14:paraId="07C7B098" w14:textId="77777777" w:rsidR="00503BF5" w:rsidRDefault="00000000">
            <w:pPr>
              <w:spacing w:after="0"/>
              <w:ind w:left="13"/>
            </w:pPr>
            <w:r>
              <w:rPr>
                <w:rFonts w:ascii="Tahoma" w:eastAsia="Tahoma" w:hAnsi="Tahoma" w:cs="Tahoma"/>
                <w:sz w:val="18"/>
              </w:rPr>
              <w:t xml:space="preserve"> </w:t>
            </w:r>
          </w:p>
        </w:tc>
        <w:tc>
          <w:tcPr>
            <w:tcW w:w="1078" w:type="dxa"/>
            <w:tcBorders>
              <w:top w:val="nil"/>
              <w:left w:val="nil"/>
              <w:bottom w:val="nil"/>
              <w:right w:val="nil"/>
            </w:tcBorders>
          </w:tcPr>
          <w:p w14:paraId="12CE77F6" w14:textId="77777777" w:rsidR="00503BF5" w:rsidRDefault="00000000">
            <w:pPr>
              <w:spacing w:after="0"/>
              <w:ind w:left="13"/>
            </w:pPr>
            <w:r>
              <w:rPr>
                <w:rFonts w:ascii="Tahoma" w:eastAsia="Tahoma" w:hAnsi="Tahoma" w:cs="Tahoma"/>
                <w:sz w:val="18"/>
              </w:rPr>
              <w:t xml:space="preserve">121.88 </w:t>
            </w:r>
          </w:p>
          <w:p w14:paraId="15DCC973" w14:textId="77777777" w:rsidR="00503BF5" w:rsidRDefault="00000000">
            <w:pPr>
              <w:spacing w:after="0"/>
              <w:ind w:left="13"/>
            </w:pPr>
            <w:r>
              <w:rPr>
                <w:rFonts w:ascii="Tahoma" w:eastAsia="Tahoma" w:hAnsi="Tahoma" w:cs="Tahoma"/>
                <w:sz w:val="18"/>
              </w:rPr>
              <w:t xml:space="preserve">±1.40 </w:t>
            </w:r>
          </w:p>
        </w:tc>
        <w:tc>
          <w:tcPr>
            <w:tcW w:w="2522" w:type="dxa"/>
            <w:tcBorders>
              <w:top w:val="nil"/>
              <w:left w:val="nil"/>
              <w:bottom w:val="nil"/>
              <w:right w:val="nil"/>
            </w:tcBorders>
          </w:tcPr>
          <w:p w14:paraId="5228F347" w14:textId="77777777" w:rsidR="00503BF5" w:rsidRDefault="00000000">
            <w:pPr>
              <w:spacing w:after="0"/>
            </w:pPr>
            <w:r>
              <w:rPr>
                <w:rFonts w:ascii="Tahoma" w:eastAsia="Tahoma" w:hAnsi="Tahoma" w:cs="Tahoma"/>
                <w:sz w:val="18"/>
              </w:rPr>
              <w:t xml:space="preserve">41.65±0.93 96.85 </w:t>
            </w:r>
          </w:p>
          <w:p w14:paraId="0809D4F8" w14:textId="77777777" w:rsidR="00503BF5" w:rsidRDefault="00000000">
            <w:pPr>
              <w:spacing w:after="0"/>
              <w:ind w:left="250"/>
              <w:jc w:val="center"/>
            </w:pPr>
            <w:r>
              <w:rPr>
                <w:rFonts w:ascii="Tahoma" w:eastAsia="Tahoma" w:hAnsi="Tahoma" w:cs="Tahoma"/>
                <w:sz w:val="18"/>
              </w:rPr>
              <w:t xml:space="preserve">±1.73 </w:t>
            </w:r>
          </w:p>
        </w:tc>
        <w:tc>
          <w:tcPr>
            <w:tcW w:w="1565" w:type="dxa"/>
            <w:tcBorders>
              <w:top w:val="nil"/>
              <w:left w:val="nil"/>
              <w:bottom w:val="nil"/>
              <w:right w:val="nil"/>
            </w:tcBorders>
          </w:tcPr>
          <w:p w14:paraId="7C3BF054" w14:textId="77777777" w:rsidR="00503BF5" w:rsidRDefault="00000000">
            <w:pPr>
              <w:spacing w:after="0"/>
              <w:ind w:left="13"/>
            </w:pPr>
            <w:r>
              <w:rPr>
                <w:rFonts w:ascii="Tahoma" w:eastAsia="Tahoma" w:hAnsi="Tahoma" w:cs="Tahoma"/>
                <w:sz w:val="18"/>
              </w:rPr>
              <w:t xml:space="preserve">118.28 </w:t>
            </w:r>
          </w:p>
          <w:p w14:paraId="227FB63C" w14:textId="77777777" w:rsidR="00503BF5" w:rsidRDefault="00000000">
            <w:pPr>
              <w:spacing w:after="0"/>
              <w:ind w:left="13"/>
            </w:pPr>
            <w:r>
              <w:rPr>
                <w:rFonts w:ascii="Tahoma" w:eastAsia="Tahoma" w:hAnsi="Tahoma" w:cs="Tahoma"/>
                <w:sz w:val="18"/>
              </w:rPr>
              <w:t xml:space="preserve">±2.20 </w:t>
            </w:r>
          </w:p>
        </w:tc>
        <w:tc>
          <w:tcPr>
            <w:tcW w:w="1085" w:type="dxa"/>
            <w:tcBorders>
              <w:top w:val="nil"/>
              <w:left w:val="nil"/>
              <w:bottom w:val="nil"/>
              <w:right w:val="nil"/>
            </w:tcBorders>
          </w:tcPr>
          <w:p w14:paraId="187EEF0C" w14:textId="77777777" w:rsidR="00503BF5" w:rsidRDefault="00000000">
            <w:pPr>
              <w:spacing w:after="0"/>
              <w:ind w:left="13"/>
            </w:pPr>
            <w:r>
              <w:rPr>
                <w:rFonts w:ascii="Tahoma" w:eastAsia="Tahoma" w:hAnsi="Tahoma" w:cs="Tahoma"/>
                <w:sz w:val="18"/>
              </w:rPr>
              <w:t xml:space="preserve">80.32 </w:t>
            </w:r>
          </w:p>
          <w:p w14:paraId="58A54B44" w14:textId="77777777" w:rsidR="00503BF5" w:rsidRDefault="00000000">
            <w:pPr>
              <w:spacing w:after="0"/>
              <w:ind w:left="13"/>
            </w:pPr>
            <w:r>
              <w:rPr>
                <w:rFonts w:ascii="Tahoma" w:eastAsia="Tahoma" w:hAnsi="Tahoma" w:cs="Tahoma"/>
                <w:sz w:val="18"/>
              </w:rPr>
              <w:t xml:space="preserve">±3.20 </w:t>
            </w:r>
          </w:p>
        </w:tc>
        <w:tc>
          <w:tcPr>
            <w:tcW w:w="1096" w:type="dxa"/>
            <w:tcBorders>
              <w:top w:val="nil"/>
              <w:left w:val="nil"/>
              <w:bottom w:val="nil"/>
              <w:right w:val="nil"/>
            </w:tcBorders>
          </w:tcPr>
          <w:p w14:paraId="58455A7A" w14:textId="77777777" w:rsidR="00503BF5" w:rsidRDefault="00000000">
            <w:pPr>
              <w:spacing w:after="0"/>
              <w:ind w:left="13"/>
            </w:pPr>
            <w:r>
              <w:rPr>
                <w:rFonts w:ascii="Tahoma" w:eastAsia="Tahoma" w:hAnsi="Tahoma" w:cs="Tahoma"/>
                <w:sz w:val="18"/>
              </w:rPr>
              <w:t xml:space="preserve">78.52±3.00 </w:t>
            </w:r>
          </w:p>
        </w:tc>
      </w:tr>
      <w:tr w:rsidR="00503BF5" w14:paraId="52F60925" w14:textId="77777777">
        <w:trPr>
          <w:trHeight w:val="524"/>
        </w:trPr>
        <w:tc>
          <w:tcPr>
            <w:tcW w:w="1502" w:type="dxa"/>
            <w:tcBorders>
              <w:top w:val="nil"/>
              <w:left w:val="nil"/>
              <w:bottom w:val="nil"/>
              <w:right w:val="nil"/>
            </w:tcBorders>
          </w:tcPr>
          <w:p w14:paraId="3B65654D" w14:textId="77777777" w:rsidR="00503BF5" w:rsidRDefault="00000000">
            <w:pPr>
              <w:spacing w:after="0"/>
            </w:pPr>
            <w:r>
              <w:rPr>
                <w:rFonts w:ascii="Tahoma" w:eastAsia="Tahoma" w:hAnsi="Tahoma" w:cs="Tahoma"/>
                <w:sz w:val="19"/>
              </w:rPr>
              <w:lastRenderedPageBreak/>
              <w:t>P</w:t>
            </w:r>
            <w:r>
              <w:rPr>
                <w:rFonts w:ascii="Tahoma" w:eastAsia="Tahoma" w:hAnsi="Tahoma" w:cs="Tahoma"/>
                <w:sz w:val="18"/>
              </w:rPr>
              <w:t xml:space="preserve"> – value </w:t>
            </w:r>
          </w:p>
        </w:tc>
        <w:tc>
          <w:tcPr>
            <w:tcW w:w="1078" w:type="dxa"/>
            <w:tcBorders>
              <w:top w:val="nil"/>
              <w:left w:val="nil"/>
              <w:bottom w:val="nil"/>
              <w:right w:val="nil"/>
            </w:tcBorders>
          </w:tcPr>
          <w:p w14:paraId="3BEC1137" w14:textId="77777777" w:rsidR="00503BF5" w:rsidRDefault="00000000">
            <w:pPr>
              <w:tabs>
                <w:tab w:val="center" w:pos="796"/>
              </w:tabs>
              <w:spacing w:after="0"/>
            </w:pPr>
            <w:r>
              <w:rPr>
                <w:rFonts w:ascii="Tahoma" w:eastAsia="Tahoma" w:hAnsi="Tahoma" w:cs="Tahoma"/>
                <w:sz w:val="19"/>
              </w:rPr>
              <w:t>P</w:t>
            </w:r>
            <w:r>
              <w:rPr>
                <w:rFonts w:ascii="Tahoma" w:eastAsia="Tahoma" w:hAnsi="Tahoma" w:cs="Tahoma"/>
                <w:sz w:val="18"/>
              </w:rPr>
              <w:t xml:space="preserve"> </w:t>
            </w:r>
            <w:r>
              <w:rPr>
                <w:rFonts w:ascii="Tahoma" w:eastAsia="Tahoma" w:hAnsi="Tahoma" w:cs="Tahoma"/>
                <w:sz w:val="18"/>
              </w:rPr>
              <w:tab/>
              <w:t xml:space="preserve">&lt; </w:t>
            </w:r>
          </w:p>
          <w:p w14:paraId="6A5D4771" w14:textId="77777777" w:rsidR="00503BF5" w:rsidRDefault="00000000">
            <w:pPr>
              <w:spacing w:after="0"/>
              <w:ind w:left="13"/>
            </w:pPr>
            <w:r>
              <w:rPr>
                <w:rFonts w:ascii="Tahoma" w:eastAsia="Tahoma" w:hAnsi="Tahoma" w:cs="Tahoma"/>
                <w:sz w:val="18"/>
              </w:rPr>
              <w:t xml:space="preserve">0.01** </w:t>
            </w:r>
          </w:p>
        </w:tc>
        <w:tc>
          <w:tcPr>
            <w:tcW w:w="2522" w:type="dxa"/>
            <w:tcBorders>
              <w:top w:val="nil"/>
              <w:left w:val="nil"/>
              <w:bottom w:val="nil"/>
              <w:right w:val="nil"/>
            </w:tcBorders>
          </w:tcPr>
          <w:p w14:paraId="178A9970" w14:textId="77777777" w:rsidR="00503BF5" w:rsidRDefault="00000000">
            <w:pPr>
              <w:tabs>
                <w:tab w:val="center" w:pos="1582"/>
              </w:tabs>
              <w:spacing w:after="0"/>
            </w:pPr>
            <w:r>
              <w:rPr>
                <w:rFonts w:ascii="Tahoma" w:eastAsia="Tahoma" w:hAnsi="Tahoma" w:cs="Tahoma"/>
                <w:sz w:val="18"/>
              </w:rPr>
              <w:t xml:space="preserve"> </w:t>
            </w:r>
            <w:r>
              <w:rPr>
                <w:rFonts w:ascii="Tahoma" w:eastAsia="Tahoma" w:hAnsi="Tahoma" w:cs="Tahoma"/>
                <w:sz w:val="18"/>
              </w:rPr>
              <w:tab/>
            </w:r>
            <w:r>
              <w:rPr>
                <w:rFonts w:ascii="Tahoma" w:eastAsia="Tahoma" w:hAnsi="Tahoma" w:cs="Tahoma"/>
                <w:sz w:val="19"/>
              </w:rPr>
              <w:t>P</w:t>
            </w:r>
            <w:r>
              <w:rPr>
                <w:rFonts w:ascii="Tahoma" w:eastAsia="Tahoma" w:hAnsi="Tahoma" w:cs="Tahoma"/>
                <w:sz w:val="18"/>
              </w:rPr>
              <w:t xml:space="preserve"> &lt; 0.01** </w:t>
            </w:r>
          </w:p>
        </w:tc>
        <w:tc>
          <w:tcPr>
            <w:tcW w:w="1565" w:type="dxa"/>
            <w:tcBorders>
              <w:top w:val="nil"/>
              <w:left w:val="nil"/>
              <w:bottom w:val="nil"/>
              <w:right w:val="nil"/>
            </w:tcBorders>
          </w:tcPr>
          <w:p w14:paraId="3B2D19EE" w14:textId="77777777" w:rsidR="00503BF5" w:rsidRDefault="00000000">
            <w:pPr>
              <w:spacing w:after="0"/>
            </w:pPr>
            <w:r>
              <w:rPr>
                <w:rFonts w:ascii="Tahoma" w:eastAsia="Tahoma" w:hAnsi="Tahoma" w:cs="Tahoma"/>
                <w:sz w:val="19"/>
              </w:rPr>
              <w:t>P</w:t>
            </w:r>
            <w:r>
              <w:rPr>
                <w:rFonts w:ascii="Tahoma" w:eastAsia="Tahoma" w:hAnsi="Tahoma" w:cs="Tahoma"/>
                <w:sz w:val="18"/>
              </w:rPr>
              <w:t xml:space="preserve"> &lt; 0.01** </w:t>
            </w:r>
          </w:p>
        </w:tc>
        <w:tc>
          <w:tcPr>
            <w:tcW w:w="1085" w:type="dxa"/>
            <w:tcBorders>
              <w:top w:val="nil"/>
              <w:left w:val="nil"/>
              <w:bottom w:val="nil"/>
              <w:right w:val="nil"/>
            </w:tcBorders>
          </w:tcPr>
          <w:p w14:paraId="4C489ACC" w14:textId="77777777" w:rsidR="00503BF5" w:rsidRDefault="00000000">
            <w:pPr>
              <w:spacing w:after="0"/>
            </w:pPr>
            <w:r>
              <w:rPr>
                <w:rFonts w:ascii="Tahoma" w:eastAsia="Tahoma" w:hAnsi="Tahoma" w:cs="Tahoma"/>
                <w:sz w:val="19"/>
              </w:rPr>
              <w:t>P</w:t>
            </w:r>
            <w:r>
              <w:rPr>
                <w:rFonts w:ascii="Tahoma" w:eastAsia="Tahoma" w:hAnsi="Tahoma" w:cs="Tahoma"/>
                <w:sz w:val="18"/>
              </w:rPr>
              <w:t xml:space="preserve"> &lt; 0.01** </w:t>
            </w:r>
          </w:p>
        </w:tc>
        <w:tc>
          <w:tcPr>
            <w:tcW w:w="1096" w:type="dxa"/>
            <w:tcBorders>
              <w:top w:val="nil"/>
              <w:left w:val="nil"/>
              <w:bottom w:val="nil"/>
              <w:right w:val="nil"/>
            </w:tcBorders>
          </w:tcPr>
          <w:p w14:paraId="18676E10" w14:textId="77777777" w:rsidR="00503BF5" w:rsidRDefault="00000000">
            <w:pPr>
              <w:spacing w:after="0"/>
            </w:pPr>
            <w:r>
              <w:rPr>
                <w:rFonts w:ascii="Tahoma" w:eastAsia="Tahoma" w:hAnsi="Tahoma" w:cs="Tahoma"/>
                <w:sz w:val="19"/>
              </w:rPr>
              <w:t>P</w:t>
            </w:r>
            <w:r>
              <w:rPr>
                <w:rFonts w:ascii="Tahoma" w:eastAsia="Tahoma" w:hAnsi="Tahoma" w:cs="Tahoma"/>
                <w:sz w:val="18"/>
              </w:rPr>
              <w:t xml:space="preserve"> &lt; 0.01** </w:t>
            </w:r>
          </w:p>
        </w:tc>
      </w:tr>
    </w:tbl>
    <w:p w14:paraId="43C9A629" w14:textId="77777777" w:rsidR="00503BF5" w:rsidRDefault="00000000">
      <w:pPr>
        <w:spacing w:after="4" w:line="247" w:lineRule="auto"/>
        <w:ind w:left="24" w:right="41" w:hanging="10"/>
        <w:jc w:val="both"/>
      </w:pPr>
      <w:r>
        <w:rPr>
          <w:rFonts w:ascii="Tahoma" w:eastAsia="Tahoma" w:hAnsi="Tahoma" w:cs="Tahoma"/>
          <w:sz w:val="18"/>
        </w:rPr>
        <w:t xml:space="preserve">Table 1: Concentrations of Dopamine, Glutamate and MBP in skin of rats. </w:t>
      </w:r>
    </w:p>
    <w:tbl>
      <w:tblPr>
        <w:tblStyle w:val="TableGrid"/>
        <w:tblW w:w="9641" w:type="dxa"/>
        <w:tblInd w:w="-93" w:type="dxa"/>
        <w:tblCellMar>
          <w:top w:w="0" w:type="dxa"/>
          <w:left w:w="0" w:type="dxa"/>
          <w:bottom w:w="0" w:type="dxa"/>
          <w:right w:w="0" w:type="dxa"/>
        </w:tblCellMar>
        <w:tblLook w:val="04A0" w:firstRow="1" w:lastRow="0" w:firstColumn="1" w:lastColumn="0" w:noHBand="0" w:noVBand="1"/>
      </w:tblPr>
      <w:tblGrid>
        <w:gridCol w:w="1109"/>
        <w:gridCol w:w="591"/>
        <w:gridCol w:w="1238"/>
        <w:gridCol w:w="865"/>
        <w:gridCol w:w="1331"/>
        <w:gridCol w:w="1789"/>
        <w:gridCol w:w="1387"/>
        <w:gridCol w:w="1331"/>
      </w:tblGrid>
      <w:tr w:rsidR="00503BF5" w14:paraId="45157217" w14:textId="77777777">
        <w:trPr>
          <w:trHeight w:val="1313"/>
        </w:trPr>
        <w:tc>
          <w:tcPr>
            <w:tcW w:w="1725" w:type="dxa"/>
            <w:gridSpan w:val="2"/>
            <w:tcBorders>
              <w:top w:val="single" w:sz="4" w:space="0" w:color="000000"/>
              <w:left w:val="nil"/>
              <w:bottom w:val="single" w:sz="4" w:space="0" w:color="000000"/>
              <w:right w:val="nil"/>
            </w:tcBorders>
          </w:tcPr>
          <w:p w14:paraId="29F844F1" w14:textId="77777777" w:rsidR="00503BF5" w:rsidRDefault="00000000">
            <w:pPr>
              <w:spacing w:after="0"/>
              <w:ind w:left="122" w:right="173"/>
            </w:pPr>
            <w:r>
              <w:rPr>
                <w:rFonts w:ascii="Tahoma" w:eastAsia="Tahoma" w:hAnsi="Tahoma" w:cs="Tahoma"/>
                <w:b/>
                <w:sz w:val="18"/>
              </w:rPr>
              <w:t xml:space="preserve">Drug/Extract → </w:t>
            </w:r>
          </w:p>
        </w:tc>
        <w:tc>
          <w:tcPr>
            <w:tcW w:w="1273" w:type="dxa"/>
            <w:tcBorders>
              <w:top w:val="single" w:sz="4" w:space="0" w:color="000000"/>
              <w:left w:val="nil"/>
              <w:bottom w:val="single" w:sz="4" w:space="0" w:color="000000"/>
              <w:right w:val="nil"/>
            </w:tcBorders>
          </w:tcPr>
          <w:p w14:paraId="3479A76B" w14:textId="77777777" w:rsidR="00503BF5" w:rsidRDefault="00000000">
            <w:pPr>
              <w:spacing w:after="0"/>
              <w:ind w:left="13"/>
            </w:pPr>
            <w:r>
              <w:rPr>
                <w:rFonts w:ascii="Tahoma" w:eastAsia="Tahoma" w:hAnsi="Tahoma" w:cs="Tahoma"/>
                <w:b/>
                <w:sz w:val="18"/>
              </w:rPr>
              <w:t xml:space="preserve">Normal </w:t>
            </w:r>
          </w:p>
          <w:p w14:paraId="3A1893DB" w14:textId="77777777" w:rsidR="00503BF5" w:rsidRDefault="00000000">
            <w:pPr>
              <w:spacing w:after="0"/>
              <w:ind w:left="13"/>
            </w:pPr>
            <w:r>
              <w:rPr>
                <w:rFonts w:ascii="Tahoma" w:eastAsia="Tahoma" w:hAnsi="Tahoma" w:cs="Tahoma"/>
                <w:b/>
                <w:sz w:val="18"/>
              </w:rPr>
              <w:t xml:space="preserve">Saline only </w:t>
            </w:r>
          </w:p>
          <w:p w14:paraId="5BED062F" w14:textId="77777777" w:rsidR="00503BF5" w:rsidRDefault="00000000">
            <w:pPr>
              <w:spacing w:after="0"/>
              <w:ind w:left="13"/>
            </w:pPr>
            <w:r>
              <w:rPr>
                <w:rFonts w:ascii="Tahoma" w:eastAsia="Tahoma" w:hAnsi="Tahoma" w:cs="Tahoma"/>
                <w:b/>
                <w:sz w:val="18"/>
              </w:rPr>
              <w:t xml:space="preserve">Group 1 </w:t>
            </w:r>
          </w:p>
        </w:tc>
        <w:tc>
          <w:tcPr>
            <w:tcW w:w="887" w:type="dxa"/>
            <w:vMerge w:val="restart"/>
            <w:tcBorders>
              <w:top w:val="single" w:sz="4" w:space="0" w:color="000000"/>
              <w:left w:val="nil"/>
              <w:bottom w:val="nil"/>
              <w:right w:val="nil"/>
            </w:tcBorders>
          </w:tcPr>
          <w:p w14:paraId="2F1319CF" w14:textId="77777777" w:rsidR="00503BF5" w:rsidRDefault="00000000">
            <w:pPr>
              <w:spacing w:after="3" w:line="236" w:lineRule="auto"/>
            </w:pPr>
            <w:r>
              <w:rPr>
                <w:rFonts w:ascii="Tahoma" w:eastAsia="Tahoma" w:hAnsi="Tahoma" w:cs="Tahoma"/>
                <w:b/>
                <w:sz w:val="18"/>
              </w:rPr>
              <w:t>CdCl</w:t>
            </w:r>
            <w:r>
              <w:rPr>
                <w:rFonts w:ascii="Tahoma" w:eastAsia="Tahoma" w:hAnsi="Tahoma" w:cs="Tahoma"/>
                <w:b/>
                <w:sz w:val="18"/>
                <w:vertAlign w:val="subscript"/>
              </w:rPr>
              <w:t>2</w:t>
            </w:r>
            <w:r>
              <w:rPr>
                <w:rFonts w:ascii="Tahoma" w:eastAsia="Tahoma" w:hAnsi="Tahoma" w:cs="Tahoma"/>
                <w:b/>
                <w:sz w:val="18"/>
              </w:rPr>
              <w:t xml:space="preserve"> only </w:t>
            </w:r>
          </w:p>
          <w:p w14:paraId="0AD1E0C9" w14:textId="77777777" w:rsidR="00503BF5" w:rsidRDefault="00000000">
            <w:pPr>
              <w:spacing w:after="0"/>
            </w:pPr>
            <w:r>
              <w:rPr>
                <w:rFonts w:ascii="Tahoma" w:eastAsia="Tahoma" w:hAnsi="Tahoma" w:cs="Tahoma"/>
                <w:b/>
                <w:sz w:val="18"/>
              </w:rPr>
              <w:t xml:space="preserve">Group </w:t>
            </w:r>
          </w:p>
          <w:p w14:paraId="30A9368B" w14:textId="77777777" w:rsidR="00503BF5" w:rsidRDefault="00000000">
            <w:pPr>
              <w:spacing w:after="0"/>
            </w:pPr>
            <w:r>
              <w:rPr>
                <w:rFonts w:ascii="Tahoma" w:eastAsia="Tahoma" w:hAnsi="Tahoma" w:cs="Tahoma"/>
                <w:b/>
                <w:sz w:val="18"/>
              </w:rPr>
              <w:t xml:space="preserve">2 </w:t>
            </w:r>
          </w:p>
        </w:tc>
        <w:tc>
          <w:tcPr>
            <w:tcW w:w="1171" w:type="dxa"/>
            <w:tcBorders>
              <w:top w:val="single" w:sz="4" w:space="0" w:color="000000"/>
              <w:left w:val="nil"/>
              <w:bottom w:val="single" w:sz="4" w:space="0" w:color="000000"/>
              <w:right w:val="nil"/>
            </w:tcBorders>
          </w:tcPr>
          <w:p w14:paraId="669E3CD3" w14:textId="77777777" w:rsidR="00503BF5" w:rsidRDefault="00000000">
            <w:pPr>
              <w:spacing w:after="3" w:line="236" w:lineRule="auto"/>
              <w:ind w:left="13"/>
            </w:pPr>
            <w:r>
              <w:rPr>
                <w:rFonts w:ascii="Tahoma" w:eastAsia="Tahoma" w:hAnsi="Tahoma" w:cs="Tahoma"/>
                <w:b/>
                <w:sz w:val="18"/>
              </w:rPr>
              <w:t>CdCl</w:t>
            </w:r>
            <w:r>
              <w:rPr>
                <w:rFonts w:ascii="Tahoma" w:eastAsia="Tahoma" w:hAnsi="Tahoma" w:cs="Tahoma"/>
                <w:b/>
                <w:sz w:val="18"/>
                <w:vertAlign w:val="subscript"/>
              </w:rPr>
              <w:t>2</w:t>
            </w:r>
            <w:r>
              <w:rPr>
                <w:rFonts w:ascii="Tahoma" w:eastAsia="Tahoma" w:hAnsi="Tahoma" w:cs="Tahoma"/>
                <w:b/>
                <w:sz w:val="18"/>
              </w:rPr>
              <w:t xml:space="preserve">exposure </w:t>
            </w:r>
          </w:p>
          <w:p w14:paraId="5F904BAF" w14:textId="77777777" w:rsidR="00503BF5" w:rsidRDefault="00000000">
            <w:pPr>
              <w:tabs>
                <w:tab w:val="center" w:pos="702"/>
              </w:tabs>
              <w:spacing w:after="0"/>
            </w:pPr>
            <w:r>
              <w:rPr>
                <w:rFonts w:ascii="Tahoma" w:eastAsia="Tahoma" w:hAnsi="Tahoma" w:cs="Tahoma"/>
                <w:b/>
                <w:sz w:val="18"/>
              </w:rPr>
              <w:t xml:space="preserve">+ </w:t>
            </w:r>
            <w:r>
              <w:rPr>
                <w:rFonts w:ascii="Tahoma" w:eastAsia="Tahoma" w:hAnsi="Tahoma" w:cs="Tahoma"/>
                <w:b/>
                <w:sz w:val="18"/>
              </w:rPr>
              <w:tab/>
              <w:t xml:space="preserve">MO11 </w:t>
            </w:r>
          </w:p>
          <w:p w14:paraId="3DB45B08" w14:textId="77777777" w:rsidR="00503BF5" w:rsidRDefault="00000000">
            <w:pPr>
              <w:spacing w:after="0"/>
              <w:ind w:left="13" w:right="25"/>
            </w:pPr>
            <w:proofErr w:type="spellStart"/>
            <w:r>
              <w:rPr>
                <w:rFonts w:ascii="Tahoma" w:eastAsia="Tahoma" w:hAnsi="Tahoma" w:cs="Tahoma"/>
                <w:b/>
                <w:sz w:val="18"/>
              </w:rPr>
              <w:t>posttreated</w:t>
            </w:r>
            <w:proofErr w:type="spellEnd"/>
            <w:r>
              <w:rPr>
                <w:rFonts w:ascii="Tahoma" w:eastAsia="Tahoma" w:hAnsi="Tahoma" w:cs="Tahoma"/>
                <w:b/>
                <w:sz w:val="18"/>
              </w:rPr>
              <w:t xml:space="preserve"> Group 3 </w:t>
            </w:r>
          </w:p>
        </w:tc>
        <w:tc>
          <w:tcPr>
            <w:tcW w:w="1889" w:type="dxa"/>
            <w:tcBorders>
              <w:top w:val="single" w:sz="4" w:space="0" w:color="000000"/>
              <w:left w:val="nil"/>
              <w:bottom w:val="single" w:sz="4" w:space="0" w:color="000000"/>
              <w:right w:val="nil"/>
            </w:tcBorders>
          </w:tcPr>
          <w:p w14:paraId="4B150F4F" w14:textId="77777777" w:rsidR="00503BF5" w:rsidRDefault="00000000">
            <w:pPr>
              <w:spacing w:after="0"/>
              <w:ind w:left="13"/>
              <w:jc w:val="both"/>
            </w:pPr>
            <w:r>
              <w:rPr>
                <w:rFonts w:ascii="Tahoma" w:eastAsia="Tahoma" w:hAnsi="Tahoma" w:cs="Tahoma"/>
                <w:b/>
                <w:sz w:val="18"/>
              </w:rPr>
              <w:t>CdCl</w:t>
            </w:r>
            <w:r>
              <w:rPr>
                <w:rFonts w:ascii="Tahoma" w:eastAsia="Tahoma" w:hAnsi="Tahoma" w:cs="Tahoma"/>
                <w:b/>
                <w:sz w:val="18"/>
                <w:vertAlign w:val="subscript"/>
              </w:rPr>
              <w:t>2</w:t>
            </w:r>
            <w:r>
              <w:rPr>
                <w:rFonts w:ascii="Tahoma" w:eastAsia="Tahoma" w:hAnsi="Tahoma" w:cs="Tahoma"/>
                <w:b/>
                <w:sz w:val="18"/>
              </w:rPr>
              <w:t xml:space="preserve">-exposure +   </w:t>
            </w:r>
          </w:p>
          <w:p w14:paraId="01F91588" w14:textId="77777777" w:rsidR="00503BF5" w:rsidRDefault="00000000">
            <w:pPr>
              <w:tabs>
                <w:tab w:val="center" w:pos="864"/>
                <w:tab w:val="center" w:pos="1436"/>
              </w:tabs>
              <w:spacing w:after="0"/>
            </w:pPr>
            <w:r>
              <w:rPr>
                <w:rFonts w:ascii="Tahoma" w:eastAsia="Tahoma" w:hAnsi="Tahoma" w:cs="Tahoma"/>
                <w:b/>
                <w:sz w:val="18"/>
              </w:rPr>
              <w:t xml:space="preserve">MO11 </w:t>
            </w:r>
            <w:r>
              <w:rPr>
                <w:rFonts w:ascii="Tahoma" w:eastAsia="Tahoma" w:hAnsi="Tahoma" w:cs="Tahoma"/>
                <w:b/>
                <w:sz w:val="18"/>
              </w:rPr>
              <w:tab/>
              <w:t xml:space="preserve">+ </w:t>
            </w:r>
            <w:r>
              <w:rPr>
                <w:rFonts w:ascii="Tahoma" w:eastAsia="Tahoma" w:hAnsi="Tahoma" w:cs="Tahoma"/>
                <w:b/>
                <w:sz w:val="18"/>
              </w:rPr>
              <w:tab/>
              <w:t xml:space="preserve">MS06 </w:t>
            </w:r>
          </w:p>
          <w:p w14:paraId="4BBBAEFD" w14:textId="77777777" w:rsidR="00503BF5" w:rsidRDefault="00000000">
            <w:pPr>
              <w:spacing w:after="0"/>
              <w:ind w:left="13"/>
            </w:pPr>
            <w:r>
              <w:rPr>
                <w:rFonts w:ascii="Tahoma" w:eastAsia="Tahoma" w:hAnsi="Tahoma" w:cs="Tahoma"/>
                <w:b/>
                <w:sz w:val="18"/>
              </w:rPr>
              <w:t xml:space="preserve">post-treated </w:t>
            </w:r>
          </w:p>
          <w:p w14:paraId="7A34FCAC" w14:textId="77777777" w:rsidR="00503BF5" w:rsidRDefault="00000000">
            <w:pPr>
              <w:spacing w:after="0"/>
              <w:ind w:left="13"/>
            </w:pPr>
            <w:r>
              <w:rPr>
                <w:rFonts w:ascii="Tahoma" w:eastAsia="Tahoma" w:hAnsi="Tahoma" w:cs="Tahoma"/>
                <w:b/>
                <w:sz w:val="18"/>
              </w:rPr>
              <w:t xml:space="preserve">Group 4 </w:t>
            </w:r>
          </w:p>
        </w:tc>
        <w:tc>
          <w:tcPr>
            <w:tcW w:w="1440" w:type="dxa"/>
            <w:tcBorders>
              <w:top w:val="single" w:sz="4" w:space="0" w:color="000000"/>
              <w:left w:val="nil"/>
              <w:bottom w:val="single" w:sz="4" w:space="0" w:color="000000"/>
              <w:right w:val="nil"/>
            </w:tcBorders>
          </w:tcPr>
          <w:p w14:paraId="5DCE3E61" w14:textId="77777777" w:rsidR="00503BF5" w:rsidRDefault="00000000">
            <w:pPr>
              <w:spacing w:after="0"/>
              <w:ind w:left="13"/>
            </w:pPr>
            <w:r>
              <w:rPr>
                <w:rFonts w:ascii="Tahoma" w:eastAsia="Tahoma" w:hAnsi="Tahoma" w:cs="Tahoma"/>
                <w:b/>
                <w:sz w:val="18"/>
              </w:rPr>
              <w:t xml:space="preserve">Olive Oil only Group 5 </w:t>
            </w:r>
          </w:p>
        </w:tc>
        <w:tc>
          <w:tcPr>
            <w:tcW w:w="1256" w:type="dxa"/>
            <w:tcBorders>
              <w:top w:val="single" w:sz="4" w:space="0" w:color="000000"/>
              <w:left w:val="nil"/>
              <w:bottom w:val="single" w:sz="4" w:space="0" w:color="000000"/>
              <w:right w:val="nil"/>
            </w:tcBorders>
          </w:tcPr>
          <w:p w14:paraId="4C3BFEA8" w14:textId="77777777" w:rsidR="00503BF5" w:rsidRDefault="00000000">
            <w:pPr>
              <w:spacing w:after="2" w:line="237" w:lineRule="auto"/>
              <w:ind w:left="13"/>
            </w:pPr>
            <w:r>
              <w:rPr>
                <w:rFonts w:ascii="Tahoma" w:eastAsia="Tahoma" w:hAnsi="Tahoma" w:cs="Tahoma"/>
                <w:b/>
                <w:sz w:val="18"/>
              </w:rPr>
              <w:t>CdCl</w:t>
            </w:r>
            <w:r>
              <w:rPr>
                <w:rFonts w:ascii="Tahoma" w:eastAsia="Tahoma" w:hAnsi="Tahoma" w:cs="Tahoma"/>
                <w:b/>
                <w:sz w:val="18"/>
                <w:vertAlign w:val="subscript"/>
              </w:rPr>
              <w:t>2</w:t>
            </w:r>
            <w:r>
              <w:rPr>
                <w:rFonts w:ascii="Tahoma" w:eastAsia="Tahoma" w:hAnsi="Tahoma" w:cs="Tahoma"/>
                <w:b/>
                <w:sz w:val="18"/>
              </w:rPr>
              <w:t xml:space="preserve">exposure +   Doxorubicin post-treated </w:t>
            </w:r>
          </w:p>
          <w:p w14:paraId="34A550B1" w14:textId="77777777" w:rsidR="00503BF5" w:rsidRDefault="00000000">
            <w:pPr>
              <w:spacing w:after="0"/>
              <w:ind w:left="13"/>
            </w:pPr>
            <w:r>
              <w:rPr>
                <w:rFonts w:ascii="Tahoma" w:eastAsia="Tahoma" w:hAnsi="Tahoma" w:cs="Tahoma"/>
                <w:b/>
                <w:sz w:val="18"/>
              </w:rPr>
              <w:t xml:space="preserve">Group 6 </w:t>
            </w:r>
          </w:p>
        </w:tc>
      </w:tr>
      <w:tr w:rsidR="00503BF5" w14:paraId="5659B08C" w14:textId="77777777">
        <w:trPr>
          <w:trHeight w:val="441"/>
        </w:trPr>
        <w:tc>
          <w:tcPr>
            <w:tcW w:w="1725" w:type="dxa"/>
            <w:gridSpan w:val="2"/>
            <w:tcBorders>
              <w:top w:val="single" w:sz="4" w:space="0" w:color="000000"/>
              <w:left w:val="nil"/>
              <w:bottom w:val="nil"/>
              <w:right w:val="nil"/>
            </w:tcBorders>
          </w:tcPr>
          <w:p w14:paraId="62C6A363" w14:textId="77777777" w:rsidR="00503BF5" w:rsidRDefault="00000000">
            <w:pPr>
              <w:spacing w:after="0"/>
              <w:ind w:left="122" w:right="148"/>
            </w:pPr>
            <w:r>
              <w:rPr>
                <w:rFonts w:ascii="Tahoma" w:eastAsia="Tahoma" w:hAnsi="Tahoma" w:cs="Tahoma"/>
                <w:sz w:val="18"/>
              </w:rPr>
              <w:t>Dopamine (</w:t>
            </w:r>
            <w:proofErr w:type="spellStart"/>
            <w:r>
              <w:rPr>
                <w:rFonts w:ascii="Tahoma" w:eastAsia="Tahoma" w:hAnsi="Tahoma" w:cs="Tahoma"/>
                <w:sz w:val="18"/>
              </w:rPr>
              <w:t>pg</w:t>
            </w:r>
            <w:proofErr w:type="spellEnd"/>
            <w:r>
              <w:rPr>
                <w:rFonts w:ascii="Tahoma" w:eastAsia="Tahoma" w:hAnsi="Tahoma" w:cs="Tahoma"/>
                <w:sz w:val="18"/>
              </w:rPr>
              <w:t xml:space="preserve">/ml) </w:t>
            </w:r>
          </w:p>
        </w:tc>
        <w:tc>
          <w:tcPr>
            <w:tcW w:w="1273" w:type="dxa"/>
            <w:tcBorders>
              <w:top w:val="single" w:sz="4" w:space="0" w:color="000000"/>
              <w:left w:val="nil"/>
              <w:bottom w:val="nil"/>
              <w:right w:val="nil"/>
            </w:tcBorders>
          </w:tcPr>
          <w:p w14:paraId="7976EE4B" w14:textId="77777777" w:rsidR="00503BF5" w:rsidRDefault="00503BF5"/>
        </w:tc>
        <w:tc>
          <w:tcPr>
            <w:tcW w:w="0" w:type="auto"/>
            <w:vMerge/>
            <w:tcBorders>
              <w:top w:val="nil"/>
              <w:left w:val="nil"/>
              <w:bottom w:val="nil"/>
              <w:right w:val="nil"/>
            </w:tcBorders>
          </w:tcPr>
          <w:p w14:paraId="62A0B193" w14:textId="77777777" w:rsidR="00503BF5" w:rsidRDefault="00503BF5"/>
        </w:tc>
        <w:tc>
          <w:tcPr>
            <w:tcW w:w="1171" w:type="dxa"/>
            <w:tcBorders>
              <w:top w:val="single" w:sz="4" w:space="0" w:color="000000"/>
              <w:left w:val="nil"/>
              <w:bottom w:val="nil"/>
              <w:right w:val="nil"/>
            </w:tcBorders>
            <w:vAlign w:val="center"/>
          </w:tcPr>
          <w:p w14:paraId="49C937D5" w14:textId="77777777" w:rsidR="00503BF5" w:rsidRDefault="00000000">
            <w:pPr>
              <w:spacing w:after="0"/>
              <w:ind w:left="13"/>
            </w:pPr>
            <w:r>
              <w:rPr>
                <w:rFonts w:ascii="Tahoma" w:eastAsia="Tahoma" w:hAnsi="Tahoma" w:cs="Tahoma"/>
                <w:sz w:val="18"/>
              </w:rPr>
              <w:t xml:space="preserve">11.44±0.21 </w:t>
            </w:r>
          </w:p>
        </w:tc>
        <w:tc>
          <w:tcPr>
            <w:tcW w:w="1889" w:type="dxa"/>
            <w:tcBorders>
              <w:top w:val="single" w:sz="4" w:space="0" w:color="000000"/>
              <w:left w:val="nil"/>
              <w:bottom w:val="nil"/>
              <w:right w:val="nil"/>
            </w:tcBorders>
            <w:vAlign w:val="center"/>
          </w:tcPr>
          <w:p w14:paraId="476FC1A4" w14:textId="77777777" w:rsidR="00503BF5" w:rsidRDefault="00000000">
            <w:pPr>
              <w:spacing w:after="0"/>
              <w:ind w:left="-3319" w:right="-2384"/>
            </w:pPr>
            <w:r>
              <w:rPr>
                <w:noProof/>
              </w:rPr>
              <w:drawing>
                <wp:inline distT="0" distB="0" distL="0" distR="0" wp14:anchorId="7B160E32" wp14:editId="182B9AE3">
                  <wp:extent cx="1295400" cy="265176"/>
                  <wp:effectExtent l="0" t="0" r="0" b="0"/>
                  <wp:docPr id="267520" name="Picture 267520"/>
                  <wp:cNvGraphicFramePr/>
                  <a:graphic xmlns:a="http://schemas.openxmlformats.org/drawingml/2006/main">
                    <a:graphicData uri="http://schemas.openxmlformats.org/drawingml/2006/picture">
                      <pic:pic xmlns:pic="http://schemas.openxmlformats.org/drawingml/2006/picture">
                        <pic:nvPicPr>
                          <pic:cNvPr id="267520" name="Picture 267520"/>
                          <pic:cNvPicPr/>
                        </pic:nvPicPr>
                        <pic:blipFill>
                          <a:blip r:embed="rId23"/>
                          <a:stretch>
                            <a:fillRect/>
                          </a:stretch>
                        </pic:blipFill>
                        <pic:spPr>
                          <a:xfrm>
                            <a:off x="0" y="0"/>
                            <a:ext cx="1295400" cy="265176"/>
                          </a:xfrm>
                          <a:prstGeom prst="rect">
                            <a:avLst/>
                          </a:prstGeom>
                        </pic:spPr>
                      </pic:pic>
                    </a:graphicData>
                  </a:graphic>
                </wp:inline>
              </w:drawing>
            </w:r>
            <w:r>
              <w:rPr>
                <w:rFonts w:ascii="Tahoma" w:eastAsia="Tahoma" w:hAnsi="Tahoma" w:cs="Tahoma"/>
                <w:sz w:val="18"/>
              </w:rPr>
              <w:t xml:space="preserve">12.68±0.16 </w:t>
            </w:r>
          </w:p>
        </w:tc>
        <w:tc>
          <w:tcPr>
            <w:tcW w:w="1440" w:type="dxa"/>
            <w:tcBorders>
              <w:top w:val="single" w:sz="4" w:space="0" w:color="000000"/>
              <w:left w:val="nil"/>
              <w:bottom w:val="nil"/>
              <w:right w:val="nil"/>
            </w:tcBorders>
            <w:vAlign w:val="center"/>
          </w:tcPr>
          <w:p w14:paraId="2564938F" w14:textId="77777777" w:rsidR="00503BF5" w:rsidRDefault="00000000">
            <w:pPr>
              <w:spacing w:after="0"/>
              <w:ind w:left="13"/>
            </w:pPr>
            <w:r>
              <w:rPr>
                <w:rFonts w:ascii="Tahoma" w:eastAsia="Tahoma" w:hAnsi="Tahoma" w:cs="Tahoma"/>
                <w:sz w:val="18"/>
              </w:rPr>
              <w:t xml:space="preserve">10.95±0.38 </w:t>
            </w:r>
          </w:p>
        </w:tc>
        <w:tc>
          <w:tcPr>
            <w:tcW w:w="1256" w:type="dxa"/>
            <w:tcBorders>
              <w:top w:val="single" w:sz="4" w:space="0" w:color="000000"/>
              <w:left w:val="nil"/>
              <w:bottom w:val="nil"/>
              <w:right w:val="nil"/>
            </w:tcBorders>
            <w:vAlign w:val="center"/>
          </w:tcPr>
          <w:p w14:paraId="1E7DACC4" w14:textId="77777777" w:rsidR="00503BF5" w:rsidRDefault="00000000">
            <w:pPr>
              <w:spacing w:after="0"/>
              <w:ind w:left="13"/>
            </w:pPr>
            <w:r>
              <w:rPr>
                <w:rFonts w:ascii="Tahoma" w:eastAsia="Tahoma" w:hAnsi="Tahoma" w:cs="Tahoma"/>
                <w:sz w:val="18"/>
              </w:rPr>
              <w:t xml:space="preserve">10.94±0.27 </w:t>
            </w:r>
          </w:p>
        </w:tc>
      </w:tr>
      <w:tr w:rsidR="00503BF5" w14:paraId="7D440C78" w14:textId="77777777">
        <w:trPr>
          <w:trHeight w:val="217"/>
        </w:trPr>
        <w:tc>
          <w:tcPr>
            <w:tcW w:w="1725" w:type="dxa"/>
            <w:gridSpan w:val="2"/>
            <w:tcBorders>
              <w:top w:val="nil"/>
              <w:left w:val="nil"/>
              <w:bottom w:val="nil"/>
              <w:right w:val="nil"/>
            </w:tcBorders>
          </w:tcPr>
          <w:p w14:paraId="49D6C06D" w14:textId="77777777" w:rsidR="00503BF5" w:rsidRDefault="00000000">
            <w:pPr>
              <w:spacing w:after="0"/>
              <w:ind w:left="110"/>
            </w:pPr>
            <w:r>
              <w:rPr>
                <w:rFonts w:ascii="Tahoma" w:eastAsia="Tahoma" w:hAnsi="Tahoma" w:cs="Tahoma"/>
                <w:sz w:val="19"/>
              </w:rPr>
              <w:t>P</w:t>
            </w:r>
            <w:r>
              <w:rPr>
                <w:rFonts w:ascii="Tahoma" w:eastAsia="Tahoma" w:hAnsi="Tahoma" w:cs="Tahoma"/>
                <w:sz w:val="18"/>
              </w:rPr>
              <w:t xml:space="preserve"> – value </w:t>
            </w:r>
          </w:p>
        </w:tc>
        <w:tc>
          <w:tcPr>
            <w:tcW w:w="1273" w:type="dxa"/>
            <w:tcBorders>
              <w:top w:val="nil"/>
              <w:left w:val="nil"/>
              <w:bottom w:val="nil"/>
              <w:right w:val="nil"/>
            </w:tcBorders>
          </w:tcPr>
          <w:p w14:paraId="4EA10012" w14:textId="77777777" w:rsidR="00503BF5" w:rsidRDefault="00000000">
            <w:pPr>
              <w:spacing w:after="0"/>
            </w:pPr>
            <w:r>
              <w:rPr>
                <w:rFonts w:ascii="Tahoma" w:eastAsia="Tahoma" w:hAnsi="Tahoma" w:cs="Tahoma"/>
                <w:sz w:val="19"/>
              </w:rPr>
              <w:t>P</w:t>
            </w:r>
            <w:r>
              <w:rPr>
                <w:rFonts w:ascii="Tahoma" w:eastAsia="Tahoma" w:hAnsi="Tahoma" w:cs="Tahoma"/>
                <w:sz w:val="18"/>
              </w:rPr>
              <w:t xml:space="preserve"> &lt; 0.01** </w:t>
            </w:r>
          </w:p>
        </w:tc>
        <w:tc>
          <w:tcPr>
            <w:tcW w:w="887" w:type="dxa"/>
            <w:tcBorders>
              <w:top w:val="nil"/>
              <w:left w:val="nil"/>
              <w:bottom w:val="nil"/>
              <w:right w:val="nil"/>
            </w:tcBorders>
          </w:tcPr>
          <w:p w14:paraId="118C90A7" w14:textId="77777777" w:rsidR="00503BF5" w:rsidRDefault="00000000">
            <w:pPr>
              <w:spacing w:after="0"/>
            </w:pPr>
            <w:r>
              <w:rPr>
                <w:rFonts w:ascii="Tahoma" w:eastAsia="Tahoma" w:hAnsi="Tahoma" w:cs="Tahoma"/>
                <w:sz w:val="18"/>
              </w:rPr>
              <w:t xml:space="preserve"> </w:t>
            </w:r>
          </w:p>
        </w:tc>
        <w:tc>
          <w:tcPr>
            <w:tcW w:w="1171" w:type="dxa"/>
            <w:tcBorders>
              <w:top w:val="nil"/>
              <w:left w:val="nil"/>
              <w:bottom w:val="nil"/>
              <w:right w:val="nil"/>
            </w:tcBorders>
          </w:tcPr>
          <w:p w14:paraId="58960F8A" w14:textId="77777777" w:rsidR="00503BF5" w:rsidRDefault="00000000">
            <w:pPr>
              <w:spacing w:after="0"/>
            </w:pPr>
            <w:r>
              <w:rPr>
                <w:rFonts w:ascii="Tahoma" w:eastAsia="Tahoma" w:hAnsi="Tahoma" w:cs="Tahoma"/>
                <w:sz w:val="19"/>
              </w:rPr>
              <w:t>P</w:t>
            </w:r>
            <w:r>
              <w:rPr>
                <w:rFonts w:ascii="Tahoma" w:eastAsia="Tahoma" w:hAnsi="Tahoma" w:cs="Tahoma"/>
                <w:sz w:val="18"/>
              </w:rPr>
              <w:t xml:space="preserve"> &lt; 0.01** </w:t>
            </w:r>
          </w:p>
        </w:tc>
        <w:tc>
          <w:tcPr>
            <w:tcW w:w="1889" w:type="dxa"/>
            <w:tcBorders>
              <w:top w:val="nil"/>
              <w:left w:val="nil"/>
              <w:bottom w:val="nil"/>
              <w:right w:val="nil"/>
            </w:tcBorders>
          </w:tcPr>
          <w:p w14:paraId="0FDEF5CE" w14:textId="77777777" w:rsidR="00503BF5" w:rsidRDefault="00000000">
            <w:pPr>
              <w:spacing w:after="0"/>
            </w:pPr>
            <w:r>
              <w:rPr>
                <w:rFonts w:ascii="Tahoma" w:eastAsia="Tahoma" w:hAnsi="Tahoma" w:cs="Tahoma"/>
                <w:sz w:val="19"/>
              </w:rPr>
              <w:t>P</w:t>
            </w:r>
            <w:r>
              <w:rPr>
                <w:rFonts w:ascii="Tahoma" w:eastAsia="Tahoma" w:hAnsi="Tahoma" w:cs="Tahoma"/>
                <w:sz w:val="18"/>
              </w:rPr>
              <w:t xml:space="preserve"> &lt; 0.01** </w:t>
            </w:r>
          </w:p>
        </w:tc>
        <w:tc>
          <w:tcPr>
            <w:tcW w:w="1440" w:type="dxa"/>
            <w:tcBorders>
              <w:top w:val="nil"/>
              <w:left w:val="nil"/>
              <w:bottom w:val="nil"/>
              <w:right w:val="nil"/>
            </w:tcBorders>
          </w:tcPr>
          <w:p w14:paraId="77889D0D" w14:textId="77777777" w:rsidR="00503BF5" w:rsidRDefault="00000000">
            <w:pPr>
              <w:spacing w:after="0"/>
            </w:pPr>
            <w:r>
              <w:rPr>
                <w:rFonts w:ascii="Tahoma" w:eastAsia="Tahoma" w:hAnsi="Tahoma" w:cs="Tahoma"/>
                <w:sz w:val="19"/>
              </w:rPr>
              <w:t>P</w:t>
            </w:r>
            <w:r>
              <w:rPr>
                <w:rFonts w:ascii="Tahoma" w:eastAsia="Tahoma" w:hAnsi="Tahoma" w:cs="Tahoma"/>
                <w:sz w:val="18"/>
              </w:rPr>
              <w:t xml:space="preserve"> &lt; 0.01** </w:t>
            </w:r>
          </w:p>
        </w:tc>
        <w:tc>
          <w:tcPr>
            <w:tcW w:w="1256" w:type="dxa"/>
            <w:tcBorders>
              <w:top w:val="nil"/>
              <w:left w:val="nil"/>
              <w:bottom w:val="nil"/>
              <w:right w:val="nil"/>
            </w:tcBorders>
          </w:tcPr>
          <w:p w14:paraId="4EFDE4EC" w14:textId="77777777" w:rsidR="00503BF5" w:rsidRDefault="00000000">
            <w:pPr>
              <w:spacing w:after="0"/>
            </w:pPr>
            <w:r>
              <w:rPr>
                <w:rFonts w:ascii="Tahoma" w:eastAsia="Tahoma" w:hAnsi="Tahoma" w:cs="Tahoma"/>
                <w:sz w:val="19"/>
              </w:rPr>
              <w:t>P</w:t>
            </w:r>
            <w:r>
              <w:rPr>
                <w:rFonts w:ascii="Tahoma" w:eastAsia="Tahoma" w:hAnsi="Tahoma" w:cs="Tahoma"/>
                <w:sz w:val="18"/>
              </w:rPr>
              <w:t xml:space="preserve"> &lt; 0.01** </w:t>
            </w:r>
          </w:p>
        </w:tc>
      </w:tr>
      <w:tr w:rsidR="00503BF5" w14:paraId="4FF28ACC" w14:textId="77777777">
        <w:trPr>
          <w:trHeight w:val="434"/>
        </w:trPr>
        <w:tc>
          <w:tcPr>
            <w:tcW w:w="1116" w:type="dxa"/>
            <w:tcBorders>
              <w:top w:val="nil"/>
              <w:left w:val="nil"/>
              <w:bottom w:val="nil"/>
              <w:right w:val="nil"/>
            </w:tcBorders>
          </w:tcPr>
          <w:p w14:paraId="369F5686" w14:textId="77777777" w:rsidR="00503BF5" w:rsidRDefault="00000000">
            <w:pPr>
              <w:spacing w:after="0"/>
              <w:ind w:left="122"/>
            </w:pPr>
            <w:r>
              <w:rPr>
                <w:rFonts w:ascii="Tahoma" w:eastAsia="Tahoma" w:hAnsi="Tahoma" w:cs="Tahoma"/>
                <w:sz w:val="18"/>
              </w:rPr>
              <w:t xml:space="preserve">Glutamate (ng/ml) </w:t>
            </w:r>
          </w:p>
        </w:tc>
        <w:tc>
          <w:tcPr>
            <w:tcW w:w="609" w:type="dxa"/>
            <w:tcBorders>
              <w:top w:val="nil"/>
              <w:left w:val="nil"/>
              <w:bottom w:val="nil"/>
              <w:right w:val="nil"/>
            </w:tcBorders>
          </w:tcPr>
          <w:p w14:paraId="19C72122" w14:textId="77777777" w:rsidR="00503BF5" w:rsidRDefault="00503BF5"/>
        </w:tc>
        <w:tc>
          <w:tcPr>
            <w:tcW w:w="1273" w:type="dxa"/>
            <w:tcBorders>
              <w:top w:val="nil"/>
              <w:left w:val="nil"/>
              <w:bottom w:val="nil"/>
              <w:right w:val="nil"/>
            </w:tcBorders>
            <w:vAlign w:val="center"/>
          </w:tcPr>
          <w:p w14:paraId="074ECFA6" w14:textId="77777777" w:rsidR="00503BF5" w:rsidRDefault="00000000">
            <w:pPr>
              <w:spacing w:after="0"/>
              <w:ind w:left="13"/>
            </w:pPr>
            <w:r>
              <w:rPr>
                <w:rFonts w:ascii="Tahoma" w:eastAsia="Tahoma" w:hAnsi="Tahoma" w:cs="Tahoma"/>
                <w:sz w:val="18"/>
              </w:rPr>
              <w:t xml:space="preserve">41.59±3.03 </w:t>
            </w:r>
          </w:p>
        </w:tc>
        <w:tc>
          <w:tcPr>
            <w:tcW w:w="887" w:type="dxa"/>
            <w:tcBorders>
              <w:top w:val="nil"/>
              <w:left w:val="nil"/>
              <w:bottom w:val="nil"/>
              <w:right w:val="nil"/>
            </w:tcBorders>
          </w:tcPr>
          <w:p w14:paraId="7580D2EA" w14:textId="77777777" w:rsidR="00503BF5" w:rsidRDefault="00000000">
            <w:pPr>
              <w:spacing w:after="0"/>
            </w:pPr>
            <w:r>
              <w:rPr>
                <w:rFonts w:ascii="Tahoma" w:eastAsia="Tahoma" w:hAnsi="Tahoma" w:cs="Tahoma"/>
                <w:sz w:val="18"/>
              </w:rPr>
              <w:t>16.28±1</w:t>
            </w:r>
          </w:p>
          <w:p w14:paraId="6A286360" w14:textId="77777777" w:rsidR="00503BF5" w:rsidRDefault="00000000">
            <w:pPr>
              <w:spacing w:after="0"/>
            </w:pPr>
            <w:r>
              <w:rPr>
                <w:rFonts w:ascii="Tahoma" w:eastAsia="Tahoma" w:hAnsi="Tahoma" w:cs="Tahoma"/>
                <w:sz w:val="18"/>
              </w:rPr>
              <w:t xml:space="preserve">.22 </w:t>
            </w:r>
          </w:p>
        </w:tc>
        <w:tc>
          <w:tcPr>
            <w:tcW w:w="1171" w:type="dxa"/>
            <w:tcBorders>
              <w:top w:val="nil"/>
              <w:left w:val="nil"/>
              <w:bottom w:val="nil"/>
              <w:right w:val="nil"/>
            </w:tcBorders>
            <w:vAlign w:val="center"/>
          </w:tcPr>
          <w:p w14:paraId="2A794A32" w14:textId="77777777" w:rsidR="00503BF5" w:rsidRDefault="00000000">
            <w:pPr>
              <w:spacing w:after="0"/>
              <w:ind w:left="13"/>
            </w:pPr>
            <w:r>
              <w:rPr>
                <w:rFonts w:ascii="Tahoma" w:eastAsia="Tahoma" w:hAnsi="Tahoma" w:cs="Tahoma"/>
                <w:sz w:val="18"/>
              </w:rPr>
              <w:t xml:space="preserve">22.81±1.26 </w:t>
            </w:r>
          </w:p>
        </w:tc>
        <w:tc>
          <w:tcPr>
            <w:tcW w:w="1889" w:type="dxa"/>
            <w:tcBorders>
              <w:top w:val="nil"/>
              <w:left w:val="nil"/>
              <w:bottom w:val="nil"/>
              <w:right w:val="nil"/>
            </w:tcBorders>
            <w:vAlign w:val="center"/>
          </w:tcPr>
          <w:p w14:paraId="0A201E5C" w14:textId="77777777" w:rsidR="00503BF5" w:rsidRDefault="00000000">
            <w:pPr>
              <w:spacing w:after="0"/>
              <w:ind w:left="13"/>
            </w:pPr>
            <w:r>
              <w:rPr>
                <w:rFonts w:ascii="Tahoma" w:eastAsia="Tahoma" w:hAnsi="Tahoma" w:cs="Tahoma"/>
                <w:sz w:val="18"/>
              </w:rPr>
              <w:t xml:space="preserve">33.35±0.28 </w:t>
            </w:r>
          </w:p>
        </w:tc>
        <w:tc>
          <w:tcPr>
            <w:tcW w:w="1440" w:type="dxa"/>
            <w:tcBorders>
              <w:top w:val="nil"/>
              <w:left w:val="nil"/>
              <w:bottom w:val="nil"/>
              <w:right w:val="nil"/>
            </w:tcBorders>
            <w:vAlign w:val="center"/>
          </w:tcPr>
          <w:p w14:paraId="0D3959C3" w14:textId="77777777" w:rsidR="00503BF5" w:rsidRDefault="00000000">
            <w:pPr>
              <w:spacing w:after="0"/>
              <w:ind w:left="13"/>
            </w:pPr>
            <w:r>
              <w:rPr>
                <w:rFonts w:ascii="Tahoma" w:eastAsia="Tahoma" w:hAnsi="Tahoma" w:cs="Tahoma"/>
                <w:sz w:val="18"/>
              </w:rPr>
              <w:t xml:space="preserve">23.60±0.32 </w:t>
            </w:r>
          </w:p>
        </w:tc>
        <w:tc>
          <w:tcPr>
            <w:tcW w:w="1256" w:type="dxa"/>
            <w:tcBorders>
              <w:top w:val="nil"/>
              <w:left w:val="nil"/>
              <w:bottom w:val="nil"/>
              <w:right w:val="nil"/>
            </w:tcBorders>
            <w:vAlign w:val="center"/>
          </w:tcPr>
          <w:p w14:paraId="6C353300" w14:textId="77777777" w:rsidR="00503BF5" w:rsidRDefault="00000000">
            <w:pPr>
              <w:spacing w:after="0"/>
              <w:ind w:left="13"/>
            </w:pPr>
            <w:r>
              <w:rPr>
                <w:rFonts w:ascii="Tahoma" w:eastAsia="Tahoma" w:hAnsi="Tahoma" w:cs="Tahoma"/>
                <w:sz w:val="18"/>
              </w:rPr>
              <w:t xml:space="preserve">23.55±1.87 </w:t>
            </w:r>
          </w:p>
        </w:tc>
      </w:tr>
      <w:tr w:rsidR="00503BF5" w14:paraId="53A075AF" w14:textId="77777777">
        <w:trPr>
          <w:trHeight w:val="217"/>
        </w:trPr>
        <w:tc>
          <w:tcPr>
            <w:tcW w:w="1116" w:type="dxa"/>
            <w:tcBorders>
              <w:top w:val="nil"/>
              <w:left w:val="nil"/>
              <w:bottom w:val="nil"/>
              <w:right w:val="nil"/>
            </w:tcBorders>
          </w:tcPr>
          <w:p w14:paraId="26C3A16E" w14:textId="77777777" w:rsidR="00503BF5" w:rsidRDefault="00000000">
            <w:pPr>
              <w:spacing w:after="0"/>
              <w:ind w:left="110"/>
            </w:pPr>
            <w:r>
              <w:rPr>
                <w:rFonts w:ascii="Tahoma" w:eastAsia="Tahoma" w:hAnsi="Tahoma" w:cs="Tahoma"/>
                <w:sz w:val="19"/>
              </w:rPr>
              <w:t>P</w:t>
            </w:r>
            <w:r>
              <w:rPr>
                <w:rFonts w:ascii="Tahoma" w:eastAsia="Tahoma" w:hAnsi="Tahoma" w:cs="Tahoma"/>
                <w:sz w:val="18"/>
              </w:rPr>
              <w:t xml:space="preserve"> – value </w:t>
            </w:r>
          </w:p>
        </w:tc>
        <w:tc>
          <w:tcPr>
            <w:tcW w:w="609" w:type="dxa"/>
            <w:tcBorders>
              <w:top w:val="nil"/>
              <w:left w:val="nil"/>
              <w:bottom w:val="nil"/>
              <w:right w:val="nil"/>
            </w:tcBorders>
          </w:tcPr>
          <w:p w14:paraId="3A14D353" w14:textId="77777777" w:rsidR="00503BF5" w:rsidRDefault="00503BF5"/>
        </w:tc>
        <w:tc>
          <w:tcPr>
            <w:tcW w:w="1273" w:type="dxa"/>
            <w:tcBorders>
              <w:top w:val="nil"/>
              <w:left w:val="nil"/>
              <w:bottom w:val="nil"/>
              <w:right w:val="nil"/>
            </w:tcBorders>
          </w:tcPr>
          <w:p w14:paraId="4BFBF33D" w14:textId="77777777" w:rsidR="00503BF5" w:rsidRDefault="00000000">
            <w:pPr>
              <w:spacing w:after="0"/>
            </w:pPr>
            <w:r>
              <w:rPr>
                <w:rFonts w:ascii="Tahoma" w:eastAsia="Tahoma" w:hAnsi="Tahoma" w:cs="Tahoma"/>
                <w:sz w:val="19"/>
              </w:rPr>
              <w:t>P</w:t>
            </w:r>
            <w:r>
              <w:rPr>
                <w:rFonts w:ascii="Tahoma" w:eastAsia="Tahoma" w:hAnsi="Tahoma" w:cs="Tahoma"/>
                <w:sz w:val="18"/>
              </w:rPr>
              <w:t xml:space="preserve"> &lt; 0.01** </w:t>
            </w:r>
          </w:p>
        </w:tc>
        <w:tc>
          <w:tcPr>
            <w:tcW w:w="887" w:type="dxa"/>
            <w:tcBorders>
              <w:top w:val="nil"/>
              <w:left w:val="nil"/>
              <w:bottom w:val="nil"/>
              <w:right w:val="nil"/>
            </w:tcBorders>
          </w:tcPr>
          <w:p w14:paraId="1BAF4E11" w14:textId="77777777" w:rsidR="00503BF5" w:rsidRDefault="00000000">
            <w:pPr>
              <w:spacing w:after="0"/>
            </w:pPr>
            <w:r>
              <w:rPr>
                <w:rFonts w:ascii="Tahoma" w:eastAsia="Tahoma" w:hAnsi="Tahoma" w:cs="Tahoma"/>
                <w:sz w:val="18"/>
              </w:rPr>
              <w:t xml:space="preserve"> </w:t>
            </w:r>
          </w:p>
        </w:tc>
        <w:tc>
          <w:tcPr>
            <w:tcW w:w="1171" w:type="dxa"/>
            <w:tcBorders>
              <w:top w:val="nil"/>
              <w:left w:val="nil"/>
              <w:bottom w:val="nil"/>
              <w:right w:val="nil"/>
            </w:tcBorders>
          </w:tcPr>
          <w:p w14:paraId="2F52B306" w14:textId="77777777" w:rsidR="00503BF5" w:rsidRDefault="00000000">
            <w:pPr>
              <w:spacing w:after="0"/>
              <w:ind w:left="13"/>
            </w:pPr>
            <w:r>
              <w:rPr>
                <w:rFonts w:ascii="Tahoma" w:eastAsia="Tahoma" w:hAnsi="Tahoma" w:cs="Tahoma"/>
                <w:sz w:val="18"/>
              </w:rPr>
              <w:t xml:space="preserve">0.29 </w:t>
            </w:r>
          </w:p>
        </w:tc>
        <w:tc>
          <w:tcPr>
            <w:tcW w:w="1889" w:type="dxa"/>
            <w:tcBorders>
              <w:top w:val="nil"/>
              <w:left w:val="nil"/>
              <w:bottom w:val="nil"/>
              <w:right w:val="nil"/>
            </w:tcBorders>
          </w:tcPr>
          <w:p w14:paraId="12AAC6A6" w14:textId="77777777" w:rsidR="00503BF5" w:rsidRDefault="00000000">
            <w:pPr>
              <w:spacing w:after="0"/>
            </w:pPr>
            <w:r>
              <w:rPr>
                <w:rFonts w:ascii="Tahoma" w:eastAsia="Tahoma" w:hAnsi="Tahoma" w:cs="Tahoma"/>
                <w:sz w:val="19"/>
              </w:rPr>
              <w:t>P</w:t>
            </w:r>
            <w:r>
              <w:rPr>
                <w:rFonts w:ascii="Tahoma" w:eastAsia="Tahoma" w:hAnsi="Tahoma" w:cs="Tahoma"/>
                <w:sz w:val="18"/>
              </w:rPr>
              <w:t xml:space="preserve"> &lt; 0.01** </w:t>
            </w:r>
          </w:p>
        </w:tc>
        <w:tc>
          <w:tcPr>
            <w:tcW w:w="1440" w:type="dxa"/>
            <w:tcBorders>
              <w:top w:val="nil"/>
              <w:left w:val="nil"/>
              <w:bottom w:val="nil"/>
              <w:right w:val="nil"/>
            </w:tcBorders>
          </w:tcPr>
          <w:p w14:paraId="3C937D23" w14:textId="77777777" w:rsidR="00503BF5" w:rsidRDefault="00000000">
            <w:pPr>
              <w:spacing w:after="0"/>
              <w:ind w:left="13"/>
            </w:pPr>
            <w:r>
              <w:rPr>
                <w:rFonts w:ascii="Tahoma" w:eastAsia="Tahoma" w:hAnsi="Tahoma" w:cs="Tahoma"/>
                <w:sz w:val="18"/>
              </w:rPr>
              <w:t xml:space="preserve">0.19 </w:t>
            </w:r>
          </w:p>
        </w:tc>
        <w:tc>
          <w:tcPr>
            <w:tcW w:w="1256" w:type="dxa"/>
            <w:tcBorders>
              <w:top w:val="nil"/>
              <w:left w:val="nil"/>
              <w:bottom w:val="nil"/>
              <w:right w:val="nil"/>
            </w:tcBorders>
          </w:tcPr>
          <w:p w14:paraId="01346F5A" w14:textId="77777777" w:rsidR="00503BF5" w:rsidRDefault="00000000">
            <w:pPr>
              <w:spacing w:after="0"/>
              <w:ind w:left="13"/>
            </w:pPr>
            <w:r>
              <w:rPr>
                <w:rFonts w:ascii="Tahoma" w:eastAsia="Tahoma" w:hAnsi="Tahoma" w:cs="Tahoma"/>
                <w:sz w:val="18"/>
              </w:rPr>
              <w:t xml:space="preserve">0.13 </w:t>
            </w:r>
          </w:p>
        </w:tc>
      </w:tr>
      <w:tr w:rsidR="00503BF5" w14:paraId="154A6486" w14:textId="77777777">
        <w:trPr>
          <w:trHeight w:val="653"/>
        </w:trPr>
        <w:tc>
          <w:tcPr>
            <w:tcW w:w="1116" w:type="dxa"/>
            <w:tcBorders>
              <w:top w:val="nil"/>
              <w:left w:val="nil"/>
              <w:bottom w:val="nil"/>
              <w:right w:val="nil"/>
            </w:tcBorders>
          </w:tcPr>
          <w:p w14:paraId="4DCF97EF" w14:textId="77777777" w:rsidR="00503BF5" w:rsidRDefault="00000000">
            <w:pPr>
              <w:spacing w:after="0"/>
              <w:ind w:left="122"/>
            </w:pPr>
            <w:r>
              <w:rPr>
                <w:rFonts w:ascii="Tahoma" w:eastAsia="Tahoma" w:hAnsi="Tahoma" w:cs="Tahoma"/>
                <w:sz w:val="18"/>
              </w:rPr>
              <w:t xml:space="preserve">Myelin </w:t>
            </w:r>
          </w:p>
          <w:p w14:paraId="30049D91" w14:textId="77777777" w:rsidR="00503BF5" w:rsidRDefault="00000000">
            <w:pPr>
              <w:spacing w:after="0"/>
              <w:ind w:left="122"/>
            </w:pPr>
            <w:r>
              <w:rPr>
                <w:rFonts w:ascii="Tahoma" w:eastAsia="Tahoma" w:hAnsi="Tahoma" w:cs="Tahoma"/>
                <w:sz w:val="18"/>
              </w:rPr>
              <w:t xml:space="preserve">Protein  </w:t>
            </w:r>
          </w:p>
          <w:p w14:paraId="3C1D932D" w14:textId="77777777" w:rsidR="00503BF5" w:rsidRDefault="00000000">
            <w:pPr>
              <w:spacing w:after="0"/>
              <w:ind w:left="122"/>
            </w:pPr>
            <w:r>
              <w:rPr>
                <w:rFonts w:ascii="Tahoma" w:eastAsia="Tahoma" w:hAnsi="Tahoma" w:cs="Tahoma"/>
                <w:sz w:val="18"/>
              </w:rPr>
              <w:t xml:space="preserve">(ng/ml) </w:t>
            </w:r>
          </w:p>
        </w:tc>
        <w:tc>
          <w:tcPr>
            <w:tcW w:w="609" w:type="dxa"/>
            <w:tcBorders>
              <w:top w:val="nil"/>
              <w:left w:val="nil"/>
              <w:bottom w:val="nil"/>
              <w:right w:val="nil"/>
            </w:tcBorders>
          </w:tcPr>
          <w:p w14:paraId="55A3F479" w14:textId="77777777" w:rsidR="00503BF5" w:rsidRDefault="00000000">
            <w:pPr>
              <w:spacing w:after="0"/>
            </w:pPr>
            <w:r>
              <w:rPr>
                <w:rFonts w:ascii="Tahoma" w:eastAsia="Tahoma" w:hAnsi="Tahoma" w:cs="Tahoma"/>
                <w:sz w:val="18"/>
              </w:rPr>
              <w:t xml:space="preserve">Basic </w:t>
            </w:r>
          </w:p>
        </w:tc>
        <w:tc>
          <w:tcPr>
            <w:tcW w:w="1273" w:type="dxa"/>
            <w:tcBorders>
              <w:top w:val="nil"/>
              <w:left w:val="nil"/>
              <w:bottom w:val="nil"/>
              <w:right w:val="nil"/>
            </w:tcBorders>
            <w:vAlign w:val="center"/>
          </w:tcPr>
          <w:p w14:paraId="0DE6989B" w14:textId="77777777" w:rsidR="00503BF5" w:rsidRDefault="00000000">
            <w:pPr>
              <w:spacing w:after="0"/>
              <w:ind w:left="13"/>
            </w:pPr>
            <w:r>
              <w:rPr>
                <w:rFonts w:ascii="Tahoma" w:eastAsia="Tahoma" w:hAnsi="Tahoma" w:cs="Tahoma"/>
                <w:sz w:val="18"/>
              </w:rPr>
              <w:t xml:space="preserve">4.65±0.02 </w:t>
            </w:r>
          </w:p>
        </w:tc>
        <w:tc>
          <w:tcPr>
            <w:tcW w:w="887" w:type="dxa"/>
            <w:tcBorders>
              <w:top w:val="nil"/>
              <w:left w:val="nil"/>
              <w:bottom w:val="nil"/>
              <w:right w:val="nil"/>
            </w:tcBorders>
            <w:vAlign w:val="center"/>
          </w:tcPr>
          <w:p w14:paraId="62793332" w14:textId="77777777" w:rsidR="00503BF5" w:rsidRDefault="00000000">
            <w:pPr>
              <w:spacing w:after="0"/>
            </w:pPr>
            <w:r>
              <w:rPr>
                <w:rFonts w:ascii="Tahoma" w:eastAsia="Tahoma" w:hAnsi="Tahoma" w:cs="Tahoma"/>
                <w:sz w:val="18"/>
              </w:rPr>
              <w:t>5.45±0.</w:t>
            </w:r>
          </w:p>
          <w:p w14:paraId="5EADEA8A" w14:textId="77777777" w:rsidR="00503BF5" w:rsidRDefault="00000000">
            <w:pPr>
              <w:spacing w:after="0"/>
            </w:pPr>
            <w:r>
              <w:rPr>
                <w:rFonts w:ascii="Tahoma" w:eastAsia="Tahoma" w:hAnsi="Tahoma" w:cs="Tahoma"/>
                <w:sz w:val="18"/>
              </w:rPr>
              <w:t xml:space="preserve">07 </w:t>
            </w:r>
          </w:p>
        </w:tc>
        <w:tc>
          <w:tcPr>
            <w:tcW w:w="1171" w:type="dxa"/>
            <w:tcBorders>
              <w:top w:val="nil"/>
              <w:left w:val="nil"/>
              <w:bottom w:val="nil"/>
              <w:right w:val="nil"/>
            </w:tcBorders>
            <w:vAlign w:val="center"/>
          </w:tcPr>
          <w:p w14:paraId="510BA71E" w14:textId="77777777" w:rsidR="00503BF5" w:rsidRDefault="00000000">
            <w:pPr>
              <w:spacing w:after="0"/>
              <w:ind w:left="13"/>
            </w:pPr>
            <w:r>
              <w:rPr>
                <w:rFonts w:ascii="Tahoma" w:eastAsia="Tahoma" w:hAnsi="Tahoma" w:cs="Tahoma"/>
                <w:sz w:val="18"/>
              </w:rPr>
              <w:t xml:space="preserve">4.47±0.01 </w:t>
            </w:r>
          </w:p>
        </w:tc>
        <w:tc>
          <w:tcPr>
            <w:tcW w:w="1889" w:type="dxa"/>
            <w:tcBorders>
              <w:top w:val="nil"/>
              <w:left w:val="nil"/>
              <w:bottom w:val="nil"/>
              <w:right w:val="nil"/>
            </w:tcBorders>
            <w:vAlign w:val="center"/>
          </w:tcPr>
          <w:p w14:paraId="471714D2" w14:textId="77777777" w:rsidR="00503BF5" w:rsidRDefault="00000000">
            <w:pPr>
              <w:spacing w:after="0"/>
              <w:ind w:left="13"/>
            </w:pPr>
            <w:r>
              <w:rPr>
                <w:rFonts w:ascii="Tahoma" w:eastAsia="Tahoma" w:hAnsi="Tahoma" w:cs="Tahoma"/>
                <w:sz w:val="18"/>
              </w:rPr>
              <w:t xml:space="preserve">3.44±0.34 </w:t>
            </w:r>
          </w:p>
        </w:tc>
        <w:tc>
          <w:tcPr>
            <w:tcW w:w="1440" w:type="dxa"/>
            <w:tcBorders>
              <w:top w:val="nil"/>
              <w:left w:val="nil"/>
              <w:bottom w:val="nil"/>
              <w:right w:val="nil"/>
            </w:tcBorders>
            <w:vAlign w:val="center"/>
          </w:tcPr>
          <w:p w14:paraId="5B869DD8" w14:textId="77777777" w:rsidR="00503BF5" w:rsidRDefault="00000000">
            <w:pPr>
              <w:spacing w:after="0"/>
              <w:ind w:left="13"/>
            </w:pPr>
            <w:r>
              <w:rPr>
                <w:rFonts w:ascii="Tahoma" w:eastAsia="Tahoma" w:hAnsi="Tahoma" w:cs="Tahoma"/>
                <w:sz w:val="18"/>
              </w:rPr>
              <w:t xml:space="preserve">5.09±0.02 </w:t>
            </w:r>
          </w:p>
        </w:tc>
        <w:tc>
          <w:tcPr>
            <w:tcW w:w="1256" w:type="dxa"/>
            <w:tcBorders>
              <w:top w:val="nil"/>
              <w:left w:val="nil"/>
              <w:bottom w:val="nil"/>
              <w:right w:val="nil"/>
            </w:tcBorders>
            <w:vAlign w:val="center"/>
          </w:tcPr>
          <w:p w14:paraId="56625457" w14:textId="77777777" w:rsidR="00503BF5" w:rsidRDefault="00000000">
            <w:pPr>
              <w:spacing w:after="0"/>
              <w:ind w:left="13"/>
            </w:pPr>
            <w:r>
              <w:rPr>
                <w:rFonts w:ascii="Tahoma" w:eastAsia="Tahoma" w:hAnsi="Tahoma" w:cs="Tahoma"/>
                <w:sz w:val="18"/>
              </w:rPr>
              <w:t xml:space="preserve">5.05±0.03 </w:t>
            </w:r>
          </w:p>
        </w:tc>
      </w:tr>
      <w:tr w:rsidR="00503BF5" w14:paraId="10553495" w14:textId="77777777">
        <w:trPr>
          <w:trHeight w:val="221"/>
        </w:trPr>
        <w:tc>
          <w:tcPr>
            <w:tcW w:w="1116" w:type="dxa"/>
            <w:tcBorders>
              <w:top w:val="nil"/>
              <w:left w:val="nil"/>
              <w:bottom w:val="single" w:sz="4" w:space="0" w:color="000000"/>
              <w:right w:val="nil"/>
            </w:tcBorders>
          </w:tcPr>
          <w:p w14:paraId="61FF3721" w14:textId="77777777" w:rsidR="00503BF5" w:rsidRDefault="00000000">
            <w:pPr>
              <w:spacing w:after="0"/>
              <w:ind w:left="110"/>
            </w:pPr>
            <w:r>
              <w:rPr>
                <w:rFonts w:ascii="Tahoma" w:eastAsia="Tahoma" w:hAnsi="Tahoma" w:cs="Tahoma"/>
                <w:sz w:val="19"/>
              </w:rPr>
              <w:t>P</w:t>
            </w:r>
            <w:r>
              <w:rPr>
                <w:rFonts w:ascii="Tahoma" w:eastAsia="Tahoma" w:hAnsi="Tahoma" w:cs="Tahoma"/>
                <w:sz w:val="18"/>
              </w:rPr>
              <w:t xml:space="preserve"> – value </w:t>
            </w:r>
          </w:p>
        </w:tc>
        <w:tc>
          <w:tcPr>
            <w:tcW w:w="609" w:type="dxa"/>
            <w:tcBorders>
              <w:top w:val="nil"/>
              <w:left w:val="nil"/>
              <w:bottom w:val="single" w:sz="4" w:space="0" w:color="000000"/>
              <w:right w:val="nil"/>
            </w:tcBorders>
          </w:tcPr>
          <w:p w14:paraId="16F2CDA6" w14:textId="77777777" w:rsidR="00503BF5" w:rsidRDefault="00503BF5"/>
        </w:tc>
        <w:tc>
          <w:tcPr>
            <w:tcW w:w="1273" w:type="dxa"/>
            <w:tcBorders>
              <w:top w:val="nil"/>
              <w:left w:val="nil"/>
              <w:bottom w:val="single" w:sz="4" w:space="0" w:color="000000"/>
              <w:right w:val="nil"/>
            </w:tcBorders>
          </w:tcPr>
          <w:p w14:paraId="7BC818EA" w14:textId="77777777" w:rsidR="00503BF5" w:rsidRDefault="00000000">
            <w:pPr>
              <w:spacing w:after="0"/>
              <w:ind w:left="13"/>
            </w:pPr>
            <w:r>
              <w:rPr>
                <w:rFonts w:ascii="Tahoma" w:eastAsia="Tahoma" w:hAnsi="Tahoma" w:cs="Tahoma"/>
                <w:sz w:val="18"/>
              </w:rPr>
              <w:t xml:space="preserve">0.05 </w:t>
            </w:r>
          </w:p>
        </w:tc>
        <w:tc>
          <w:tcPr>
            <w:tcW w:w="887" w:type="dxa"/>
            <w:tcBorders>
              <w:top w:val="nil"/>
              <w:left w:val="nil"/>
              <w:bottom w:val="single" w:sz="4" w:space="0" w:color="000000"/>
              <w:right w:val="nil"/>
            </w:tcBorders>
          </w:tcPr>
          <w:p w14:paraId="4670D161" w14:textId="77777777" w:rsidR="00503BF5" w:rsidRDefault="00000000">
            <w:pPr>
              <w:spacing w:after="0"/>
            </w:pPr>
            <w:r>
              <w:rPr>
                <w:rFonts w:ascii="Tahoma" w:eastAsia="Tahoma" w:hAnsi="Tahoma" w:cs="Tahoma"/>
                <w:sz w:val="18"/>
              </w:rPr>
              <w:t xml:space="preserve"> </w:t>
            </w:r>
          </w:p>
        </w:tc>
        <w:tc>
          <w:tcPr>
            <w:tcW w:w="1171" w:type="dxa"/>
            <w:tcBorders>
              <w:top w:val="nil"/>
              <w:left w:val="nil"/>
              <w:bottom w:val="single" w:sz="4" w:space="0" w:color="000000"/>
              <w:right w:val="nil"/>
            </w:tcBorders>
          </w:tcPr>
          <w:p w14:paraId="711D4031" w14:textId="77777777" w:rsidR="00503BF5" w:rsidRDefault="00000000">
            <w:pPr>
              <w:spacing w:after="0"/>
            </w:pPr>
            <w:r>
              <w:rPr>
                <w:rFonts w:ascii="Tahoma" w:eastAsia="Tahoma" w:hAnsi="Tahoma" w:cs="Tahoma"/>
                <w:sz w:val="19"/>
              </w:rPr>
              <w:t>P</w:t>
            </w:r>
            <w:r>
              <w:rPr>
                <w:rFonts w:ascii="Tahoma" w:eastAsia="Tahoma" w:hAnsi="Tahoma" w:cs="Tahoma"/>
                <w:sz w:val="18"/>
              </w:rPr>
              <w:t xml:space="preserve"> &lt; 0.01* </w:t>
            </w:r>
          </w:p>
        </w:tc>
        <w:tc>
          <w:tcPr>
            <w:tcW w:w="1889" w:type="dxa"/>
            <w:tcBorders>
              <w:top w:val="nil"/>
              <w:left w:val="nil"/>
              <w:bottom w:val="single" w:sz="4" w:space="0" w:color="000000"/>
              <w:right w:val="nil"/>
            </w:tcBorders>
          </w:tcPr>
          <w:p w14:paraId="0A347C5C" w14:textId="77777777" w:rsidR="00503BF5" w:rsidRDefault="00000000">
            <w:pPr>
              <w:spacing w:after="0"/>
            </w:pPr>
            <w:r>
              <w:rPr>
                <w:rFonts w:ascii="Tahoma" w:eastAsia="Tahoma" w:hAnsi="Tahoma" w:cs="Tahoma"/>
                <w:sz w:val="19"/>
              </w:rPr>
              <w:t>P</w:t>
            </w:r>
            <w:r>
              <w:rPr>
                <w:rFonts w:ascii="Tahoma" w:eastAsia="Tahoma" w:hAnsi="Tahoma" w:cs="Tahoma"/>
                <w:sz w:val="18"/>
              </w:rPr>
              <w:t xml:space="preserve"> &lt; 0.01* </w:t>
            </w:r>
          </w:p>
        </w:tc>
        <w:tc>
          <w:tcPr>
            <w:tcW w:w="1440" w:type="dxa"/>
            <w:tcBorders>
              <w:top w:val="nil"/>
              <w:left w:val="nil"/>
              <w:bottom w:val="single" w:sz="4" w:space="0" w:color="000000"/>
              <w:right w:val="nil"/>
            </w:tcBorders>
          </w:tcPr>
          <w:p w14:paraId="1A937FE9" w14:textId="77777777" w:rsidR="00503BF5" w:rsidRDefault="00000000">
            <w:pPr>
              <w:spacing w:after="0"/>
              <w:ind w:left="13"/>
            </w:pPr>
            <w:r>
              <w:rPr>
                <w:rFonts w:ascii="Tahoma" w:eastAsia="Tahoma" w:hAnsi="Tahoma" w:cs="Tahoma"/>
                <w:sz w:val="18"/>
              </w:rPr>
              <w:t xml:space="preserve">0.47 </w:t>
            </w:r>
          </w:p>
        </w:tc>
        <w:tc>
          <w:tcPr>
            <w:tcW w:w="1256" w:type="dxa"/>
            <w:tcBorders>
              <w:top w:val="nil"/>
              <w:left w:val="nil"/>
              <w:bottom w:val="single" w:sz="4" w:space="0" w:color="000000"/>
              <w:right w:val="nil"/>
            </w:tcBorders>
          </w:tcPr>
          <w:p w14:paraId="279EC0BF" w14:textId="77777777" w:rsidR="00503BF5" w:rsidRDefault="00000000">
            <w:pPr>
              <w:spacing w:after="0"/>
              <w:ind w:left="13"/>
            </w:pPr>
            <w:r>
              <w:rPr>
                <w:rFonts w:ascii="Tahoma" w:eastAsia="Tahoma" w:hAnsi="Tahoma" w:cs="Tahoma"/>
                <w:sz w:val="18"/>
              </w:rPr>
              <w:t xml:space="preserve">0.28 </w:t>
            </w:r>
          </w:p>
        </w:tc>
      </w:tr>
    </w:tbl>
    <w:p w14:paraId="2FCEFFC3" w14:textId="77777777" w:rsidR="00503BF5" w:rsidRDefault="00000000">
      <w:pPr>
        <w:spacing w:after="85" w:line="247" w:lineRule="auto"/>
        <w:ind w:left="24" w:right="41" w:hanging="10"/>
        <w:jc w:val="both"/>
      </w:pPr>
      <w:r>
        <w:rPr>
          <w:rFonts w:ascii="Tahoma" w:eastAsia="Tahoma" w:hAnsi="Tahoma" w:cs="Tahoma"/>
          <w:sz w:val="19"/>
        </w:rPr>
        <w:t>P</w:t>
      </w:r>
      <w:r>
        <w:rPr>
          <w:rFonts w:ascii="Tahoma" w:eastAsia="Tahoma" w:hAnsi="Tahoma" w:cs="Tahoma"/>
          <w:sz w:val="18"/>
        </w:rPr>
        <w:t xml:space="preserve"> - value at </w:t>
      </w:r>
      <w:r>
        <w:rPr>
          <w:rFonts w:ascii="Tahoma" w:eastAsia="Tahoma" w:hAnsi="Tahoma" w:cs="Tahoma"/>
          <w:sz w:val="19"/>
        </w:rPr>
        <w:t>P</w:t>
      </w:r>
      <w:r>
        <w:rPr>
          <w:rFonts w:ascii="Tahoma" w:eastAsia="Tahoma" w:hAnsi="Tahoma" w:cs="Tahoma"/>
          <w:sz w:val="18"/>
        </w:rPr>
        <w:t xml:space="preserve"> ≤ 0.05: Group 2 versus Groups 1 and 3 – 6; ** = significant increase; * = significant decrease. </w:t>
      </w:r>
    </w:p>
    <w:p w14:paraId="3336A831" w14:textId="77777777" w:rsidR="00503BF5" w:rsidRDefault="00000000">
      <w:pPr>
        <w:spacing w:after="4" w:line="247" w:lineRule="auto"/>
        <w:ind w:left="24" w:right="41" w:hanging="10"/>
        <w:jc w:val="both"/>
      </w:pPr>
      <w:r>
        <w:rPr>
          <w:rFonts w:ascii="Tahoma" w:eastAsia="Tahoma" w:hAnsi="Tahoma" w:cs="Tahoma"/>
          <w:sz w:val="18"/>
        </w:rPr>
        <w:t>Table 2:</w:t>
      </w:r>
      <w:r>
        <w:rPr>
          <w:rFonts w:ascii="Tahoma" w:eastAsia="Tahoma" w:hAnsi="Tahoma" w:cs="Tahoma"/>
          <w:b/>
          <w:sz w:val="18"/>
        </w:rPr>
        <w:t xml:space="preserve"> </w:t>
      </w:r>
      <w:r>
        <w:rPr>
          <w:rFonts w:ascii="Tahoma" w:eastAsia="Tahoma" w:hAnsi="Tahoma" w:cs="Tahoma"/>
          <w:sz w:val="18"/>
        </w:rPr>
        <w:t xml:space="preserve">Concentrations of Caspase-3, Ki67, p53, Cytochrome p450 and </w:t>
      </w:r>
      <w:proofErr w:type="spellStart"/>
      <w:r>
        <w:rPr>
          <w:rFonts w:ascii="Tahoma" w:eastAsia="Tahoma" w:hAnsi="Tahoma" w:cs="Tahoma"/>
          <w:sz w:val="18"/>
        </w:rPr>
        <w:t>sVEGFR</w:t>
      </w:r>
      <w:proofErr w:type="spellEnd"/>
      <w:r>
        <w:rPr>
          <w:rFonts w:ascii="Tahoma" w:eastAsia="Tahoma" w:hAnsi="Tahoma" w:cs="Tahoma"/>
          <w:sz w:val="18"/>
        </w:rPr>
        <w:t xml:space="preserve"> in skin of rats. </w:t>
      </w:r>
    </w:p>
    <w:p w14:paraId="52DF3D29" w14:textId="77777777" w:rsidR="00503BF5" w:rsidRDefault="00000000">
      <w:pPr>
        <w:spacing w:after="6"/>
        <w:ind w:left="-79" w:right="-108"/>
      </w:pPr>
      <w:r>
        <w:rPr>
          <w:noProof/>
        </w:rPr>
        <mc:AlternateContent>
          <mc:Choice Requires="wpg">
            <w:drawing>
              <wp:inline distT="0" distB="0" distL="0" distR="0" wp14:anchorId="5BE1C0B8" wp14:editId="7EAB2CE7">
                <wp:extent cx="6001512" cy="6096"/>
                <wp:effectExtent l="0" t="0" r="0" b="0"/>
                <wp:docPr id="236793" name="Group 236793"/>
                <wp:cNvGraphicFramePr/>
                <a:graphic xmlns:a="http://schemas.openxmlformats.org/drawingml/2006/main">
                  <a:graphicData uri="http://schemas.microsoft.com/office/word/2010/wordprocessingGroup">
                    <wpg:wgp>
                      <wpg:cNvGrpSpPr/>
                      <wpg:grpSpPr>
                        <a:xfrm>
                          <a:off x="0" y="0"/>
                          <a:ext cx="6001512" cy="6096"/>
                          <a:chOff x="0" y="0"/>
                          <a:chExt cx="6001512" cy="6096"/>
                        </a:xfrm>
                      </wpg:grpSpPr>
                      <wps:wsp>
                        <wps:cNvPr id="276789" name="Shape 276789"/>
                        <wps:cNvSpPr/>
                        <wps:spPr>
                          <a:xfrm>
                            <a:off x="0" y="0"/>
                            <a:ext cx="954024" cy="9144"/>
                          </a:xfrm>
                          <a:custGeom>
                            <a:avLst/>
                            <a:gdLst/>
                            <a:ahLst/>
                            <a:cxnLst/>
                            <a:rect l="0" t="0" r="0" b="0"/>
                            <a:pathLst>
                              <a:path w="954024" h="9144">
                                <a:moveTo>
                                  <a:pt x="0" y="0"/>
                                </a:moveTo>
                                <a:lnTo>
                                  <a:pt x="954024" y="0"/>
                                </a:lnTo>
                                <a:lnTo>
                                  <a:pt x="95402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6790" name="Shape 276790"/>
                        <wps:cNvSpPr/>
                        <wps:spPr>
                          <a:xfrm>
                            <a:off x="95402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6791" name="Shape 276791"/>
                        <wps:cNvSpPr/>
                        <wps:spPr>
                          <a:xfrm>
                            <a:off x="960120" y="0"/>
                            <a:ext cx="670560" cy="9144"/>
                          </a:xfrm>
                          <a:custGeom>
                            <a:avLst/>
                            <a:gdLst/>
                            <a:ahLst/>
                            <a:cxnLst/>
                            <a:rect l="0" t="0" r="0" b="0"/>
                            <a:pathLst>
                              <a:path w="670560" h="9144">
                                <a:moveTo>
                                  <a:pt x="0" y="0"/>
                                </a:moveTo>
                                <a:lnTo>
                                  <a:pt x="670560" y="0"/>
                                </a:lnTo>
                                <a:lnTo>
                                  <a:pt x="67056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6792" name="Shape 276792"/>
                        <wps:cNvSpPr/>
                        <wps:spPr>
                          <a:xfrm>
                            <a:off x="163068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6793" name="Shape 276793"/>
                        <wps:cNvSpPr/>
                        <wps:spPr>
                          <a:xfrm>
                            <a:off x="1636776" y="0"/>
                            <a:ext cx="720852" cy="9144"/>
                          </a:xfrm>
                          <a:custGeom>
                            <a:avLst/>
                            <a:gdLst/>
                            <a:ahLst/>
                            <a:cxnLst/>
                            <a:rect l="0" t="0" r="0" b="0"/>
                            <a:pathLst>
                              <a:path w="720852" h="9144">
                                <a:moveTo>
                                  <a:pt x="0" y="0"/>
                                </a:moveTo>
                                <a:lnTo>
                                  <a:pt x="720852" y="0"/>
                                </a:lnTo>
                                <a:lnTo>
                                  <a:pt x="72085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6794" name="Shape 276794"/>
                        <wps:cNvSpPr/>
                        <wps:spPr>
                          <a:xfrm>
                            <a:off x="2357628"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6795" name="Shape 276795"/>
                        <wps:cNvSpPr/>
                        <wps:spPr>
                          <a:xfrm>
                            <a:off x="2363724" y="0"/>
                            <a:ext cx="876300" cy="9144"/>
                          </a:xfrm>
                          <a:custGeom>
                            <a:avLst/>
                            <a:gdLst/>
                            <a:ahLst/>
                            <a:cxnLst/>
                            <a:rect l="0" t="0" r="0" b="0"/>
                            <a:pathLst>
                              <a:path w="876300" h="9144">
                                <a:moveTo>
                                  <a:pt x="0" y="0"/>
                                </a:moveTo>
                                <a:lnTo>
                                  <a:pt x="876300" y="0"/>
                                </a:lnTo>
                                <a:lnTo>
                                  <a:pt x="87630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6796" name="Shape 276796"/>
                        <wps:cNvSpPr/>
                        <wps:spPr>
                          <a:xfrm>
                            <a:off x="324002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6797" name="Shape 276797"/>
                        <wps:cNvSpPr/>
                        <wps:spPr>
                          <a:xfrm>
                            <a:off x="3246120" y="0"/>
                            <a:ext cx="987552" cy="9144"/>
                          </a:xfrm>
                          <a:custGeom>
                            <a:avLst/>
                            <a:gdLst/>
                            <a:ahLst/>
                            <a:cxnLst/>
                            <a:rect l="0" t="0" r="0" b="0"/>
                            <a:pathLst>
                              <a:path w="987552" h="9144">
                                <a:moveTo>
                                  <a:pt x="0" y="0"/>
                                </a:moveTo>
                                <a:lnTo>
                                  <a:pt x="987552" y="0"/>
                                </a:lnTo>
                                <a:lnTo>
                                  <a:pt x="98755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6798" name="Shape 276798"/>
                        <wps:cNvSpPr/>
                        <wps:spPr>
                          <a:xfrm>
                            <a:off x="4233672"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6799" name="Shape 276799"/>
                        <wps:cNvSpPr/>
                        <wps:spPr>
                          <a:xfrm>
                            <a:off x="4239768" y="0"/>
                            <a:ext cx="682752" cy="9144"/>
                          </a:xfrm>
                          <a:custGeom>
                            <a:avLst/>
                            <a:gdLst/>
                            <a:ahLst/>
                            <a:cxnLst/>
                            <a:rect l="0" t="0" r="0" b="0"/>
                            <a:pathLst>
                              <a:path w="682752" h="9144">
                                <a:moveTo>
                                  <a:pt x="0" y="0"/>
                                </a:moveTo>
                                <a:lnTo>
                                  <a:pt x="682752" y="0"/>
                                </a:lnTo>
                                <a:lnTo>
                                  <a:pt x="68275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6800" name="Shape 276800"/>
                        <wps:cNvSpPr/>
                        <wps:spPr>
                          <a:xfrm>
                            <a:off x="492252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6801" name="Shape 276801"/>
                        <wps:cNvSpPr/>
                        <wps:spPr>
                          <a:xfrm>
                            <a:off x="4928616" y="0"/>
                            <a:ext cx="1072896" cy="9144"/>
                          </a:xfrm>
                          <a:custGeom>
                            <a:avLst/>
                            <a:gdLst/>
                            <a:ahLst/>
                            <a:cxnLst/>
                            <a:rect l="0" t="0" r="0" b="0"/>
                            <a:pathLst>
                              <a:path w="1072896" h="9144">
                                <a:moveTo>
                                  <a:pt x="0" y="0"/>
                                </a:moveTo>
                                <a:lnTo>
                                  <a:pt x="1072896" y="0"/>
                                </a:lnTo>
                                <a:lnTo>
                                  <a:pt x="107289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236793" style="width:472.56pt;height:0.480011pt;mso-position-horizontal-relative:char;mso-position-vertical-relative:line" coordsize="60015,60">
                <v:shape id="Shape 276802" style="position:absolute;width:9540;height:91;left:0;top:0;" coordsize="954024,9144" path="m0,0l954024,0l954024,9144l0,9144l0,0">
                  <v:stroke weight="0pt" endcap="flat" joinstyle="miter" miterlimit="10" on="false" color="#000000" opacity="0"/>
                  <v:fill on="true" color="#000000"/>
                </v:shape>
                <v:shape id="Shape 276803" style="position:absolute;width:91;height:91;left:9540;top:0;" coordsize="9144,9144" path="m0,0l9144,0l9144,9144l0,9144l0,0">
                  <v:stroke weight="0pt" endcap="flat" joinstyle="miter" miterlimit="10" on="false" color="#000000" opacity="0"/>
                  <v:fill on="true" color="#000000"/>
                </v:shape>
                <v:shape id="Shape 276804" style="position:absolute;width:6705;height:91;left:9601;top:0;" coordsize="670560,9144" path="m0,0l670560,0l670560,9144l0,9144l0,0">
                  <v:stroke weight="0pt" endcap="flat" joinstyle="miter" miterlimit="10" on="false" color="#000000" opacity="0"/>
                  <v:fill on="true" color="#000000"/>
                </v:shape>
                <v:shape id="Shape 276805" style="position:absolute;width:91;height:91;left:16306;top:0;" coordsize="9144,9144" path="m0,0l9144,0l9144,9144l0,9144l0,0">
                  <v:stroke weight="0pt" endcap="flat" joinstyle="miter" miterlimit="10" on="false" color="#000000" opacity="0"/>
                  <v:fill on="true" color="#000000"/>
                </v:shape>
                <v:shape id="Shape 276806" style="position:absolute;width:7208;height:91;left:16367;top:0;" coordsize="720852,9144" path="m0,0l720852,0l720852,9144l0,9144l0,0">
                  <v:stroke weight="0pt" endcap="flat" joinstyle="miter" miterlimit="10" on="false" color="#000000" opacity="0"/>
                  <v:fill on="true" color="#000000"/>
                </v:shape>
                <v:shape id="Shape 276807" style="position:absolute;width:91;height:91;left:23576;top:0;" coordsize="9144,9144" path="m0,0l9144,0l9144,9144l0,9144l0,0">
                  <v:stroke weight="0pt" endcap="flat" joinstyle="miter" miterlimit="10" on="false" color="#000000" opacity="0"/>
                  <v:fill on="true" color="#000000"/>
                </v:shape>
                <v:shape id="Shape 276808" style="position:absolute;width:8763;height:91;left:23637;top:0;" coordsize="876300,9144" path="m0,0l876300,0l876300,9144l0,9144l0,0">
                  <v:stroke weight="0pt" endcap="flat" joinstyle="miter" miterlimit="10" on="false" color="#000000" opacity="0"/>
                  <v:fill on="true" color="#000000"/>
                </v:shape>
                <v:shape id="Shape 276809" style="position:absolute;width:91;height:91;left:32400;top:0;" coordsize="9144,9144" path="m0,0l9144,0l9144,9144l0,9144l0,0">
                  <v:stroke weight="0pt" endcap="flat" joinstyle="miter" miterlimit="10" on="false" color="#000000" opacity="0"/>
                  <v:fill on="true" color="#000000"/>
                </v:shape>
                <v:shape id="Shape 276810" style="position:absolute;width:9875;height:91;left:32461;top:0;" coordsize="987552,9144" path="m0,0l987552,0l987552,9144l0,9144l0,0">
                  <v:stroke weight="0pt" endcap="flat" joinstyle="miter" miterlimit="10" on="false" color="#000000" opacity="0"/>
                  <v:fill on="true" color="#000000"/>
                </v:shape>
                <v:shape id="Shape 276811" style="position:absolute;width:91;height:91;left:42336;top:0;" coordsize="9144,9144" path="m0,0l9144,0l9144,9144l0,9144l0,0">
                  <v:stroke weight="0pt" endcap="flat" joinstyle="miter" miterlimit="10" on="false" color="#000000" opacity="0"/>
                  <v:fill on="true" color="#000000"/>
                </v:shape>
                <v:shape id="Shape 276812" style="position:absolute;width:6827;height:91;left:42397;top:0;" coordsize="682752,9144" path="m0,0l682752,0l682752,9144l0,9144l0,0">
                  <v:stroke weight="0pt" endcap="flat" joinstyle="miter" miterlimit="10" on="false" color="#000000" opacity="0"/>
                  <v:fill on="true" color="#000000"/>
                </v:shape>
                <v:shape id="Shape 276813" style="position:absolute;width:91;height:91;left:49225;top:0;" coordsize="9144,9144" path="m0,0l9144,0l9144,9144l0,9144l0,0">
                  <v:stroke weight="0pt" endcap="flat" joinstyle="miter" miterlimit="10" on="false" color="#000000" opacity="0"/>
                  <v:fill on="true" color="#000000"/>
                </v:shape>
                <v:shape id="Shape 276814" style="position:absolute;width:10728;height:91;left:49286;top:0;" coordsize="1072896,9144" path="m0,0l1072896,0l1072896,9144l0,9144l0,0">
                  <v:stroke weight="0pt" endcap="flat" joinstyle="miter" miterlimit="10" on="false" color="#000000" opacity="0"/>
                  <v:fill on="true" color="#000000"/>
                </v:shape>
              </v:group>
            </w:pict>
          </mc:Fallback>
        </mc:AlternateContent>
      </w:r>
    </w:p>
    <w:p w14:paraId="593A342C" w14:textId="77777777" w:rsidR="00503BF5" w:rsidRDefault="00000000">
      <w:pPr>
        <w:tabs>
          <w:tab w:val="center" w:pos="1864"/>
          <w:tab w:val="center" w:pos="3058"/>
          <w:tab w:val="center" w:pos="4023"/>
          <w:tab w:val="center" w:pos="5413"/>
          <w:tab w:val="center" w:pos="7132"/>
          <w:tab w:val="right" w:pos="9265"/>
        </w:tabs>
        <w:spacing w:after="4" w:line="248" w:lineRule="auto"/>
      </w:pPr>
      <w:r>
        <w:rPr>
          <w:rFonts w:ascii="Tahoma" w:eastAsia="Tahoma" w:hAnsi="Tahoma" w:cs="Tahoma"/>
          <w:b/>
          <w:sz w:val="18"/>
        </w:rPr>
        <w:t xml:space="preserve">Drug/Extract </w:t>
      </w:r>
      <w:r>
        <w:rPr>
          <w:rFonts w:ascii="Tahoma" w:eastAsia="Tahoma" w:hAnsi="Tahoma" w:cs="Tahoma"/>
          <w:b/>
          <w:sz w:val="18"/>
        </w:rPr>
        <w:tab/>
        <w:t xml:space="preserve">Normal </w:t>
      </w:r>
      <w:r>
        <w:rPr>
          <w:rFonts w:ascii="Tahoma" w:eastAsia="Tahoma" w:hAnsi="Tahoma" w:cs="Tahoma"/>
          <w:b/>
          <w:sz w:val="18"/>
        </w:rPr>
        <w:tab/>
        <w:t>CdCl</w:t>
      </w:r>
      <w:r>
        <w:rPr>
          <w:rFonts w:ascii="Tahoma" w:eastAsia="Tahoma" w:hAnsi="Tahoma" w:cs="Tahoma"/>
          <w:b/>
          <w:sz w:val="18"/>
          <w:vertAlign w:val="subscript"/>
        </w:rPr>
        <w:t>2</w:t>
      </w:r>
      <w:r>
        <w:rPr>
          <w:rFonts w:ascii="Tahoma" w:eastAsia="Tahoma" w:hAnsi="Tahoma" w:cs="Tahoma"/>
          <w:b/>
          <w:sz w:val="18"/>
        </w:rPr>
        <w:t xml:space="preserve"> only </w:t>
      </w:r>
      <w:r>
        <w:rPr>
          <w:rFonts w:ascii="Tahoma" w:eastAsia="Tahoma" w:hAnsi="Tahoma" w:cs="Tahoma"/>
          <w:b/>
          <w:sz w:val="18"/>
        </w:rPr>
        <w:tab/>
        <w:t>CdCl</w:t>
      </w:r>
      <w:r>
        <w:rPr>
          <w:rFonts w:ascii="Tahoma" w:eastAsia="Tahoma" w:hAnsi="Tahoma" w:cs="Tahoma"/>
          <w:b/>
          <w:sz w:val="18"/>
          <w:vertAlign w:val="subscript"/>
        </w:rPr>
        <w:t>2</w:t>
      </w:r>
      <w:r>
        <w:rPr>
          <w:rFonts w:ascii="Tahoma" w:eastAsia="Tahoma" w:hAnsi="Tahoma" w:cs="Tahoma"/>
          <w:b/>
          <w:sz w:val="18"/>
        </w:rPr>
        <w:t>-</w:t>
      </w:r>
      <w:r>
        <w:rPr>
          <w:rFonts w:ascii="Tahoma" w:eastAsia="Tahoma" w:hAnsi="Tahoma" w:cs="Tahoma"/>
          <w:b/>
          <w:sz w:val="18"/>
        </w:rPr>
        <w:tab/>
        <w:t>CdCl</w:t>
      </w:r>
      <w:r>
        <w:rPr>
          <w:rFonts w:ascii="Tahoma" w:eastAsia="Tahoma" w:hAnsi="Tahoma" w:cs="Tahoma"/>
          <w:b/>
          <w:sz w:val="18"/>
          <w:vertAlign w:val="subscript"/>
        </w:rPr>
        <w:t>2</w:t>
      </w:r>
      <w:r>
        <w:rPr>
          <w:rFonts w:ascii="Tahoma" w:eastAsia="Tahoma" w:hAnsi="Tahoma" w:cs="Tahoma"/>
          <w:b/>
          <w:sz w:val="18"/>
        </w:rPr>
        <w:t>-</w:t>
      </w:r>
      <w:r>
        <w:rPr>
          <w:rFonts w:ascii="Tahoma" w:eastAsia="Tahoma" w:hAnsi="Tahoma" w:cs="Tahoma"/>
          <w:b/>
          <w:sz w:val="18"/>
        </w:rPr>
        <w:tab/>
        <w:t xml:space="preserve">Olive Oil </w:t>
      </w:r>
      <w:r>
        <w:rPr>
          <w:rFonts w:ascii="Tahoma" w:eastAsia="Tahoma" w:hAnsi="Tahoma" w:cs="Tahoma"/>
          <w:b/>
          <w:sz w:val="18"/>
        </w:rPr>
        <w:tab/>
        <w:t>CdCl</w:t>
      </w:r>
      <w:r>
        <w:rPr>
          <w:rFonts w:ascii="Tahoma" w:eastAsia="Tahoma" w:hAnsi="Tahoma" w:cs="Tahoma"/>
          <w:b/>
          <w:sz w:val="18"/>
          <w:vertAlign w:val="subscript"/>
        </w:rPr>
        <w:t>2</w:t>
      </w:r>
      <w:r>
        <w:rPr>
          <w:rFonts w:ascii="Tahoma" w:eastAsia="Tahoma" w:hAnsi="Tahoma" w:cs="Tahoma"/>
          <w:b/>
          <w:sz w:val="18"/>
        </w:rPr>
        <w:t xml:space="preserve">-exposure </w:t>
      </w:r>
    </w:p>
    <w:p w14:paraId="28F05381" w14:textId="77777777" w:rsidR="00503BF5" w:rsidRDefault="00000000">
      <w:pPr>
        <w:spacing w:after="4" w:line="248" w:lineRule="auto"/>
        <w:ind w:left="1516" w:hanging="1502"/>
      </w:pPr>
      <w:r>
        <w:rPr>
          <w:rFonts w:ascii="Tahoma" w:eastAsia="Tahoma" w:hAnsi="Tahoma" w:cs="Tahoma"/>
          <w:b/>
          <w:sz w:val="18"/>
        </w:rPr>
        <w:t xml:space="preserve">→ Saline Group 2 exposure + exposure +   only +    Doxorubicin only MO11 post- MO11 + MS06 Group 5 post-treated </w:t>
      </w:r>
    </w:p>
    <w:p w14:paraId="26C03556" w14:textId="77777777" w:rsidR="00503BF5" w:rsidRDefault="00000000">
      <w:pPr>
        <w:tabs>
          <w:tab w:val="center" w:pos="1892"/>
          <w:tab w:val="center" w:pos="4075"/>
          <w:tab w:val="center" w:pos="5698"/>
          <w:tab w:val="center" w:pos="8141"/>
        </w:tabs>
        <w:spacing w:after="4" w:line="248" w:lineRule="auto"/>
      </w:pPr>
      <w:r>
        <w:tab/>
      </w:r>
      <w:r>
        <w:rPr>
          <w:rFonts w:ascii="Tahoma" w:eastAsia="Tahoma" w:hAnsi="Tahoma" w:cs="Tahoma"/>
          <w:b/>
          <w:sz w:val="18"/>
        </w:rPr>
        <w:t xml:space="preserve">Group 1 </w:t>
      </w:r>
      <w:r>
        <w:rPr>
          <w:rFonts w:ascii="Tahoma" w:eastAsia="Tahoma" w:hAnsi="Tahoma" w:cs="Tahoma"/>
          <w:b/>
          <w:sz w:val="18"/>
        </w:rPr>
        <w:tab/>
        <w:t xml:space="preserve">treated </w:t>
      </w:r>
      <w:r>
        <w:rPr>
          <w:rFonts w:ascii="Tahoma" w:eastAsia="Tahoma" w:hAnsi="Tahoma" w:cs="Tahoma"/>
          <w:b/>
          <w:sz w:val="18"/>
        </w:rPr>
        <w:tab/>
        <w:t xml:space="preserve">post-treated </w:t>
      </w:r>
      <w:r>
        <w:rPr>
          <w:rFonts w:ascii="Tahoma" w:eastAsia="Tahoma" w:hAnsi="Tahoma" w:cs="Tahoma"/>
          <w:b/>
          <w:sz w:val="18"/>
        </w:rPr>
        <w:tab/>
        <w:t xml:space="preserve">Group 6 </w:t>
      </w:r>
    </w:p>
    <w:p w14:paraId="36CAE3EF" w14:textId="77777777" w:rsidR="00503BF5" w:rsidRDefault="00000000">
      <w:pPr>
        <w:tabs>
          <w:tab w:val="center" w:pos="4102"/>
          <w:tab w:val="center" w:pos="5492"/>
        </w:tabs>
        <w:spacing w:after="0"/>
      </w:pPr>
      <w:r>
        <w:tab/>
      </w:r>
      <w:r>
        <w:rPr>
          <w:rFonts w:ascii="Tahoma" w:eastAsia="Tahoma" w:hAnsi="Tahoma" w:cs="Tahoma"/>
          <w:b/>
          <w:sz w:val="18"/>
        </w:rPr>
        <w:t xml:space="preserve">Group 3 </w:t>
      </w:r>
      <w:r>
        <w:rPr>
          <w:rFonts w:ascii="Tahoma" w:eastAsia="Tahoma" w:hAnsi="Tahoma" w:cs="Tahoma"/>
          <w:b/>
          <w:sz w:val="18"/>
        </w:rPr>
        <w:tab/>
        <w:t xml:space="preserve">Group 4 </w:t>
      </w:r>
    </w:p>
    <w:p w14:paraId="20970A70" w14:textId="77777777" w:rsidR="00503BF5" w:rsidRDefault="00000000">
      <w:pPr>
        <w:spacing w:after="0"/>
        <w:ind w:left="-79" w:right="-108"/>
      </w:pPr>
      <w:r>
        <w:rPr>
          <w:noProof/>
        </w:rPr>
        <mc:AlternateContent>
          <mc:Choice Requires="wpg">
            <w:drawing>
              <wp:inline distT="0" distB="0" distL="0" distR="0" wp14:anchorId="07E6A6DD" wp14:editId="369C1306">
                <wp:extent cx="6001512" cy="6096"/>
                <wp:effectExtent l="0" t="0" r="0" b="0"/>
                <wp:docPr id="236794" name="Group 236794"/>
                <wp:cNvGraphicFramePr/>
                <a:graphic xmlns:a="http://schemas.openxmlformats.org/drawingml/2006/main">
                  <a:graphicData uri="http://schemas.microsoft.com/office/word/2010/wordprocessingGroup">
                    <wpg:wgp>
                      <wpg:cNvGrpSpPr/>
                      <wpg:grpSpPr>
                        <a:xfrm>
                          <a:off x="0" y="0"/>
                          <a:ext cx="6001512" cy="6096"/>
                          <a:chOff x="0" y="0"/>
                          <a:chExt cx="6001512" cy="6096"/>
                        </a:xfrm>
                      </wpg:grpSpPr>
                      <wps:wsp>
                        <wps:cNvPr id="276815" name="Shape 276815"/>
                        <wps:cNvSpPr/>
                        <wps:spPr>
                          <a:xfrm>
                            <a:off x="0" y="0"/>
                            <a:ext cx="954024" cy="9144"/>
                          </a:xfrm>
                          <a:custGeom>
                            <a:avLst/>
                            <a:gdLst/>
                            <a:ahLst/>
                            <a:cxnLst/>
                            <a:rect l="0" t="0" r="0" b="0"/>
                            <a:pathLst>
                              <a:path w="954024" h="9144">
                                <a:moveTo>
                                  <a:pt x="0" y="0"/>
                                </a:moveTo>
                                <a:lnTo>
                                  <a:pt x="954024" y="0"/>
                                </a:lnTo>
                                <a:lnTo>
                                  <a:pt x="95402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6816" name="Shape 276816"/>
                        <wps:cNvSpPr/>
                        <wps:spPr>
                          <a:xfrm>
                            <a:off x="95402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6817" name="Shape 276817"/>
                        <wps:cNvSpPr/>
                        <wps:spPr>
                          <a:xfrm>
                            <a:off x="960120" y="0"/>
                            <a:ext cx="670560" cy="9144"/>
                          </a:xfrm>
                          <a:custGeom>
                            <a:avLst/>
                            <a:gdLst/>
                            <a:ahLst/>
                            <a:cxnLst/>
                            <a:rect l="0" t="0" r="0" b="0"/>
                            <a:pathLst>
                              <a:path w="670560" h="9144">
                                <a:moveTo>
                                  <a:pt x="0" y="0"/>
                                </a:moveTo>
                                <a:lnTo>
                                  <a:pt x="670560" y="0"/>
                                </a:lnTo>
                                <a:lnTo>
                                  <a:pt x="67056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6818" name="Shape 276818"/>
                        <wps:cNvSpPr/>
                        <wps:spPr>
                          <a:xfrm>
                            <a:off x="163068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6819" name="Shape 276819"/>
                        <wps:cNvSpPr/>
                        <wps:spPr>
                          <a:xfrm>
                            <a:off x="1636776" y="0"/>
                            <a:ext cx="720852" cy="9144"/>
                          </a:xfrm>
                          <a:custGeom>
                            <a:avLst/>
                            <a:gdLst/>
                            <a:ahLst/>
                            <a:cxnLst/>
                            <a:rect l="0" t="0" r="0" b="0"/>
                            <a:pathLst>
                              <a:path w="720852" h="9144">
                                <a:moveTo>
                                  <a:pt x="0" y="0"/>
                                </a:moveTo>
                                <a:lnTo>
                                  <a:pt x="720852" y="0"/>
                                </a:lnTo>
                                <a:lnTo>
                                  <a:pt x="72085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6820" name="Shape 276820"/>
                        <wps:cNvSpPr/>
                        <wps:spPr>
                          <a:xfrm>
                            <a:off x="2357628"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6821" name="Shape 276821"/>
                        <wps:cNvSpPr/>
                        <wps:spPr>
                          <a:xfrm>
                            <a:off x="2363724" y="0"/>
                            <a:ext cx="876300" cy="9144"/>
                          </a:xfrm>
                          <a:custGeom>
                            <a:avLst/>
                            <a:gdLst/>
                            <a:ahLst/>
                            <a:cxnLst/>
                            <a:rect l="0" t="0" r="0" b="0"/>
                            <a:pathLst>
                              <a:path w="876300" h="9144">
                                <a:moveTo>
                                  <a:pt x="0" y="0"/>
                                </a:moveTo>
                                <a:lnTo>
                                  <a:pt x="876300" y="0"/>
                                </a:lnTo>
                                <a:lnTo>
                                  <a:pt x="87630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6822" name="Shape 276822"/>
                        <wps:cNvSpPr/>
                        <wps:spPr>
                          <a:xfrm>
                            <a:off x="324002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6823" name="Shape 276823"/>
                        <wps:cNvSpPr/>
                        <wps:spPr>
                          <a:xfrm>
                            <a:off x="3246120" y="0"/>
                            <a:ext cx="987552" cy="9144"/>
                          </a:xfrm>
                          <a:custGeom>
                            <a:avLst/>
                            <a:gdLst/>
                            <a:ahLst/>
                            <a:cxnLst/>
                            <a:rect l="0" t="0" r="0" b="0"/>
                            <a:pathLst>
                              <a:path w="987552" h="9144">
                                <a:moveTo>
                                  <a:pt x="0" y="0"/>
                                </a:moveTo>
                                <a:lnTo>
                                  <a:pt x="987552" y="0"/>
                                </a:lnTo>
                                <a:lnTo>
                                  <a:pt x="98755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6824" name="Shape 276824"/>
                        <wps:cNvSpPr/>
                        <wps:spPr>
                          <a:xfrm>
                            <a:off x="4233672"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6825" name="Shape 276825"/>
                        <wps:cNvSpPr/>
                        <wps:spPr>
                          <a:xfrm>
                            <a:off x="4239768" y="0"/>
                            <a:ext cx="682752" cy="9144"/>
                          </a:xfrm>
                          <a:custGeom>
                            <a:avLst/>
                            <a:gdLst/>
                            <a:ahLst/>
                            <a:cxnLst/>
                            <a:rect l="0" t="0" r="0" b="0"/>
                            <a:pathLst>
                              <a:path w="682752" h="9144">
                                <a:moveTo>
                                  <a:pt x="0" y="0"/>
                                </a:moveTo>
                                <a:lnTo>
                                  <a:pt x="682752" y="0"/>
                                </a:lnTo>
                                <a:lnTo>
                                  <a:pt x="68275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6826" name="Shape 276826"/>
                        <wps:cNvSpPr/>
                        <wps:spPr>
                          <a:xfrm>
                            <a:off x="492252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6827" name="Shape 276827"/>
                        <wps:cNvSpPr/>
                        <wps:spPr>
                          <a:xfrm>
                            <a:off x="4928616" y="0"/>
                            <a:ext cx="1072896" cy="9144"/>
                          </a:xfrm>
                          <a:custGeom>
                            <a:avLst/>
                            <a:gdLst/>
                            <a:ahLst/>
                            <a:cxnLst/>
                            <a:rect l="0" t="0" r="0" b="0"/>
                            <a:pathLst>
                              <a:path w="1072896" h="9144">
                                <a:moveTo>
                                  <a:pt x="0" y="0"/>
                                </a:moveTo>
                                <a:lnTo>
                                  <a:pt x="1072896" y="0"/>
                                </a:lnTo>
                                <a:lnTo>
                                  <a:pt x="107289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236794" style="width:472.56pt;height:0.47998pt;mso-position-horizontal-relative:char;mso-position-vertical-relative:line" coordsize="60015,60">
                <v:shape id="Shape 276828" style="position:absolute;width:9540;height:91;left:0;top:0;" coordsize="954024,9144" path="m0,0l954024,0l954024,9144l0,9144l0,0">
                  <v:stroke weight="0pt" endcap="flat" joinstyle="miter" miterlimit="10" on="false" color="#000000" opacity="0"/>
                  <v:fill on="true" color="#000000"/>
                </v:shape>
                <v:shape id="Shape 276829" style="position:absolute;width:91;height:91;left:9540;top:0;" coordsize="9144,9144" path="m0,0l9144,0l9144,9144l0,9144l0,0">
                  <v:stroke weight="0pt" endcap="flat" joinstyle="miter" miterlimit="10" on="false" color="#000000" opacity="0"/>
                  <v:fill on="true" color="#000000"/>
                </v:shape>
                <v:shape id="Shape 276830" style="position:absolute;width:6705;height:91;left:9601;top:0;" coordsize="670560,9144" path="m0,0l670560,0l670560,9144l0,9144l0,0">
                  <v:stroke weight="0pt" endcap="flat" joinstyle="miter" miterlimit="10" on="false" color="#000000" opacity="0"/>
                  <v:fill on="true" color="#000000"/>
                </v:shape>
                <v:shape id="Shape 276831" style="position:absolute;width:91;height:91;left:16306;top:0;" coordsize="9144,9144" path="m0,0l9144,0l9144,9144l0,9144l0,0">
                  <v:stroke weight="0pt" endcap="flat" joinstyle="miter" miterlimit="10" on="false" color="#000000" opacity="0"/>
                  <v:fill on="true" color="#000000"/>
                </v:shape>
                <v:shape id="Shape 276832" style="position:absolute;width:7208;height:91;left:16367;top:0;" coordsize="720852,9144" path="m0,0l720852,0l720852,9144l0,9144l0,0">
                  <v:stroke weight="0pt" endcap="flat" joinstyle="miter" miterlimit="10" on="false" color="#000000" opacity="0"/>
                  <v:fill on="true" color="#000000"/>
                </v:shape>
                <v:shape id="Shape 276833" style="position:absolute;width:91;height:91;left:23576;top:0;" coordsize="9144,9144" path="m0,0l9144,0l9144,9144l0,9144l0,0">
                  <v:stroke weight="0pt" endcap="flat" joinstyle="miter" miterlimit="10" on="false" color="#000000" opacity="0"/>
                  <v:fill on="true" color="#000000"/>
                </v:shape>
                <v:shape id="Shape 276834" style="position:absolute;width:8763;height:91;left:23637;top:0;" coordsize="876300,9144" path="m0,0l876300,0l876300,9144l0,9144l0,0">
                  <v:stroke weight="0pt" endcap="flat" joinstyle="miter" miterlimit="10" on="false" color="#000000" opacity="0"/>
                  <v:fill on="true" color="#000000"/>
                </v:shape>
                <v:shape id="Shape 276835" style="position:absolute;width:91;height:91;left:32400;top:0;" coordsize="9144,9144" path="m0,0l9144,0l9144,9144l0,9144l0,0">
                  <v:stroke weight="0pt" endcap="flat" joinstyle="miter" miterlimit="10" on="false" color="#000000" opacity="0"/>
                  <v:fill on="true" color="#000000"/>
                </v:shape>
                <v:shape id="Shape 276836" style="position:absolute;width:9875;height:91;left:32461;top:0;" coordsize="987552,9144" path="m0,0l987552,0l987552,9144l0,9144l0,0">
                  <v:stroke weight="0pt" endcap="flat" joinstyle="miter" miterlimit="10" on="false" color="#000000" opacity="0"/>
                  <v:fill on="true" color="#000000"/>
                </v:shape>
                <v:shape id="Shape 276837" style="position:absolute;width:91;height:91;left:42336;top:0;" coordsize="9144,9144" path="m0,0l9144,0l9144,9144l0,9144l0,0">
                  <v:stroke weight="0pt" endcap="flat" joinstyle="miter" miterlimit="10" on="false" color="#000000" opacity="0"/>
                  <v:fill on="true" color="#000000"/>
                </v:shape>
                <v:shape id="Shape 276838" style="position:absolute;width:6827;height:91;left:42397;top:0;" coordsize="682752,9144" path="m0,0l682752,0l682752,9144l0,9144l0,0">
                  <v:stroke weight="0pt" endcap="flat" joinstyle="miter" miterlimit="10" on="false" color="#000000" opacity="0"/>
                  <v:fill on="true" color="#000000"/>
                </v:shape>
                <v:shape id="Shape 276839" style="position:absolute;width:91;height:91;left:49225;top:0;" coordsize="9144,9144" path="m0,0l9144,0l9144,9144l0,9144l0,0">
                  <v:stroke weight="0pt" endcap="flat" joinstyle="miter" miterlimit="10" on="false" color="#000000" opacity="0"/>
                  <v:fill on="true" color="#000000"/>
                </v:shape>
                <v:shape id="Shape 276840" style="position:absolute;width:10728;height:91;left:49286;top:0;" coordsize="1072896,9144" path="m0,0l1072896,0l1072896,9144l0,9144l0,0">
                  <v:stroke weight="0pt" endcap="flat" joinstyle="miter" miterlimit="10" on="false" color="#000000" opacity="0"/>
                  <v:fill on="true" color="#000000"/>
                </v:shape>
              </v:group>
            </w:pict>
          </mc:Fallback>
        </mc:AlternateContent>
      </w:r>
    </w:p>
    <w:p w14:paraId="5D783085" w14:textId="77777777" w:rsidR="00503BF5" w:rsidRDefault="00000000">
      <w:pPr>
        <w:tabs>
          <w:tab w:val="center" w:pos="2888"/>
          <w:tab w:val="center" w:pos="4016"/>
          <w:tab w:val="center" w:pos="5405"/>
          <w:tab w:val="center" w:pos="6970"/>
          <w:tab w:val="center" w:pos="8296"/>
        </w:tabs>
        <w:spacing w:after="253" w:line="247" w:lineRule="auto"/>
      </w:pPr>
      <w:proofErr w:type="spellStart"/>
      <w:r>
        <w:rPr>
          <w:rFonts w:ascii="Tahoma" w:eastAsia="Tahoma" w:hAnsi="Tahoma" w:cs="Tahoma"/>
          <w:sz w:val="18"/>
        </w:rPr>
        <w:t>sVEGFR</w:t>
      </w:r>
      <w:proofErr w:type="spellEnd"/>
      <w:r>
        <w:rPr>
          <w:rFonts w:ascii="Tahoma" w:eastAsia="Tahoma" w:hAnsi="Tahoma" w:cs="Tahoma"/>
          <w:sz w:val="18"/>
        </w:rPr>
        <w:t xml:space="preserve"> (ng/ml</w:t>
      </w:r>
      <w:proofErr w:type="gramStart"/>
      <w:r>
        <w:rPr>
          <w:rFonts w:ascii="Tahoma" w:eastAsia="Tahoma" w:hAnsi="Tahoma" w:cs="Tahoma"/>
          <w:sz w:val="18"/>
        </w:rPr>
        <w:t>)  362</w:t>
      </w:r>
      <w:proofErr w:type="gramEnd"/>
      <w:r>
        <w:rPr>
          <w:rFonts w:ascii="Tahoma" w:eastAsia="Tahoma" w:hAnsi="Tahoma" w:cs="Tahoma"/>
          <w:sz w:val="18"/>
        </w:rPr>
        <w:t xml:space="preserve">.92±1.25  </w:t>
      </w:r>
      <w:r>
        <w:rPr>
          <w:rFonts w:ascii="Tahoma" w:eastAsia="Tahoma" w:hAnsi="Tahoma" w:cs="Tahoma"/>
          <w:sz w:val="18"/>
        </w:rPr>
        <w:tab/>
        <w:t xml:space="preserve">578.33±17.50  </w:t>
      </w:r>
      <w:r>
        <w:rPr>
          <w:rFonts w:ascii="Tahoma" w:eastAsia="Tahoma" w:hAnsi="Tahoma" w:cs="Tahoma"/>
          <w:sz w:val="18"/>
        </w:rPr>
        <w:tab/>
        <w:t xml:space="preserve">302.50±1.67  </w:t>
      </w:r>
      <w:r>
        <w:rPr>
          <w:rFonts w:ascii="Tahoma" w:eastAsia="Tahoma" w:hAnsi="Tahoma" w:cs="Tahoma"/>
          <w:sz w:val="18"/>
        </w:rPr>
        <w:tab/>
        <w:t xml:space="preserve">288.89±2.22  </w:t>
      </w:r>
      <w:r>
        <w:rPr>
          <w:rFonts w:ascii="Tahoma" w:eastAsia="Tahoma" w:hAnsi="Tahoma" w:cs="Tahoma"/>
          <w:sz w:val="18"/>
        </w:rPr>
        <w:tab/>
        <w:t xml:space="preserve">418.33±5.83  </w:t>
      </w:r>
      <w:r>
        <w:rPr>
          <w:rFonts w:ascii="Tahoma" w:eastAsia="Tahoma" w:hAnsi="Tahoma" w:cs="Tahoma"/>
          <w:sz w:val="18"/>
        </w:rPr>
        <w:tab/>
        <w:t xml:space="preserve">498.33±7.50 </w:t>
      </w:r>
    </w:p>
    <w:p w14:paraId="66EA433E" w14:textId="77777777" w:rsidR="00503BF5" w:rsidRDefault="00000000">
      <w:pPr>
        <w:tabs>
          <w:tab w:val="center" w:pos="1920"/>
          <w:tab w:val="center" w:pos="2598"/>
          <w:tab w:val="center" w:pos="4131"/>
          <w:tab w:val="center" w:pos="5520"/>
          <w:tab w:val="center" w:pos="7627"/>
        </w:tabs>
        <w:spacing w:after="4" w:line="247" w:lineRule="auto"/>
      </w:pPr>
      <w:r>
        <w:rPr>
          <w:noProof/>
        </w:rPr>
        <mc:AlternateContent>
          <mc:Choice Requires="wpg">
            <w:drawing>
              <wp:anchor distT="0" distB="0" distL="114300" distR="114300" simplePos="0" relativeHeight="251675648" behindDoc="0" locked="0" layoutInCell="1" allowOverlap="1" wp14:anchorId="1C92A380" wp14:editId="40972291">
                <wp:simplePos x="0" y="0"/>
                <wp:positionH relativeFrom="margin">
                  <wp:posOffset>-58994</wp:posOffset>
                </wp:positionH>
                <wp:positionV relativeFrom="paragraph">
                  <wp:posOffset>137204</wp:posOffset>
                </wp:positionV>
                <wp:extent cx="6010656" cy="6096"/>
                <wp:effectExtent l="0" t="0" r="0" b="0"/>
                <wp:wrapTopAndBottom/>
                <wp:docPr id="233264" name="Group 233264"/>
                <wp:cNvGraphicFramePr/>
                <a:graphic xmlns:a="http://schemas.openxmlformats.org/drawingml/2006/main">
                  <a:graphicData uri="http://schemas.microsoft.com/office/word/2010/wordprocessingGroup">
                    <wpg:wgp>
                      <wpg:cNvGrpSpPr/>
                      <wpg:grpSpPr>
                        <a:xfrm>
                          <a:off x="0" y="0"/>
                          <a:ext cx="6010656" cy="6096"/>
                          <a:chOff x="0" y="0"/>
                          <a:chExt cx="6010656" cy="6096"/>
                        </a:xfrm>
                      </wpg:grpSpPr>
                      <wps:wsp>
                        <wps:cNvPr id="276841" name="Shape 276841"/>
                        <wps:cNvSpPr/>
                        <wps:spPr>
                          <a:xfrm>
                            <a:off x="0" y="0"/>
                            <a:ext cx="963168" cy="9144"/>
                          </a:xfrm>
                          <a:custGeom>
                            <a:avLst/>
                            <a:gdLst/>
                            <a:ahLst/>
                            <a:cxnLst/>
                            <a:rect l="0" t="0" r="0" b="0"/>
                            <a:pathLst>
                              <a:path w="963168" h="9144">
                                <a:moveTo>
                                  <a:pt x="0" y="0"/>
                                </a:moveTo>
                                <a:lnTo>
                                  <a:pt x="963168" y="0"/>
                                </a:lnTo>
                                <a:lnTo>
                                  <a:pt x="96316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6842" name="Shape 276842"/>
                        <wps:cNvSpPr/>
                        <wps:spPr>
                          <a:xfrm>
                            <a:off x="95402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6843" name="Shape 276843"/>
                        <wps:cNvSpPr/>
                        <wps:spPr>
                          <a:xfrm>
                            <a:off x="960120" y="0"/>
                            <a:ext cx="679704" cy="9144"/>
                          </a:xfrm>
                          <a:custGeom>
                            <a:avLst/>
                            <a:gdLst/>
                            <a:ahLst/>
                            <a:cxnLst/>
                            <a:rect l="0" t="0" r="0" b="0"/>
                            <a:pathLst>
                              <a:path w="679704" h="9144">
                                <a:moveTo>
                                  <a:pt x="0" y="0"/>
                                </a:moveTo>
                                <a:lnTo>
                                  <a:pt x="679704" y="0"/>
                                </a:lnTo>
                                <a:lnTo>
                                  <a:pt x="67970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6844" name="Shape 276844"/>
                        <wps:cNvSpPr/>
                        <wps:spPr>
                          <a:xfrm>
                            <a:off x="163068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6845" name="Shape 276845"/>
                        <wps:cNvSpPr/>
                        <wps:spPr>
                          <a:xfrm>
                            <a:off x="1636776" y="0"/>
                            <a:ext cx="729996" cy="9144"/>
                          </a:xfrm>
                          <a:custGeom>
                            <a:avLst/>
                            <a:gdLst/>
                            <a:ahLst/>
                            <a:cxnLst/>
                            <a:rect l="0" t="0" r="0" b="0"/>
                            <a:pathLst>
                              <a:path w="729996" h="9144">
                                <a:moveTo>
                                  <a:pt x="0" y="0"/>
                                </a:moveTo>
                                <a:lnTo>
                                  <a:pt x="729996" y="0"/>
                                </a:lnTo>
                                <a:lnTo>
                                  <a:pt x="72999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6846" name="Shape 276846"/>
                        <wps:cNvSpPr/>
                        <wps:spPr>
                          <a:xfrm>
                            <a:off x="2357628"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6847" name="Shape 276847"/>
                        <wps:cNvSpPr/>
                        <wps:spPr>
                          <a:xfrm>
                            <a:off x="2363724" y="0"/>
                            <a:ext cx="885444" cy="9144"/>
                          </a:xfrm>
                          <a:custGeom>
                            <a:avLst/>
                            <a:gdLst/>
                            <a:ahLst/>
                            <a:cxnLst/>
                            <a:rect l="0" t="0" r="0" b="0"/>
                            <a:pathLst>
                              <a:path w="885444" h="9144">
                                <a:moveTo>
                                  <a:pt x="0" y="0"/>
                                </a:moveTo>
                                <a:lnTo>
                                  <a:pt x="885444" y="0"/>
                                </a:lnTo>
                                <a:lnTo>
                                  <a:pt x="8854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6848" name="Shape 276848"/>
                        <wps:cNvSpPr/>
                        <wps:spPr>
                          <a:xfrm>
                            <a:off x="324002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6849" name="Shape 276849"/>
                        <wps:cNvSpPr/>
                        <wps:spPr>
                          <a:xfrm>
                            <a:off x="3246120" y="0"/>
                            <a:ext cx="996696" cy="9144"/>
                          </a:xfrm>
                          <a:custGeom>
                            <a:avLst/>
                            <a:gdLst/>
                            <a:ahLst/>
                            <a:cxnLst/>
                            <a:rect l="0" t="0" r="0" b="0"/>
                            <a:pathLst>
                              <a:path w="996696" h="9144">
                                <a:moveTo>
                                  <a:pt x="0" y="0"/>
                                </a:moveTo>
                                <a:lnTo>
                                  <a:pt x="996696" y="0"/>
                                </a:lnTo>
                                <a:lnTo>
                                  <a:pt x="99669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6850" name="Shape 276850"/>
                        <wps:cNvSpPr/>
                        <wps:spPr>
                          <a:xfrm>
                            <a:off x="4233672"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6851" name="Shape 276851"/>
                        <wps:cNvSpPr/>
                        <wps:spPr>
                          <a:xfrm>
                            <a:off x="4239768" y="0"/>
                            <a:ext cx="691896" cy="9144"/>
                          </a:xfrm>
                          <a:custGeom>
                            <a:avLst/>
                            <a:gdLst/>
                            <a:ahLst/>
                            <a:cxnLst/>
                            <a:rect l="0" t="0" r="0" b="0"/>
                            <a:pathLst>
                              <a:path w="691896" h="9144">
                                <a:moveTo>
                                  <a:pt x="0" y="0"/>
                                </a:moveTo>
                                <a:lnTo>
                                  <a:pt x="691896" y="0"/>
                                </a:lnTo>
                                <a:lnTo>
                                  <a:pt x="69189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6852" name="Shape 276852"/>
                        <wps:cNvSpPr/>
                        <wps:spPr>
                          <a:xfrm>
                            <a:off x="492252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6853" name="Shape 276853"/>
                        <wps:cNvSpPr/>
                        <wps:spPr>
                          <a:xfrm>
                            <a:off x="4928616" y="0"/>
                            <a:ext cx="1082040" cy="9144"/>
                          </a:xfrm>
                          <a:custGeom>
                            <a:avLst/>
                            <a:gdLst/>
                            <a:ahLst/>
                            <a:cxnLst/>
                            <a:rect l="0" t="0" r="0" b="0"/>
                            <a:pathLst>
                              <a:path w="1082040" h="9144">
                                <a:moveTo>
                                  <a:pt x="0" y="0"/>
                                </a:moveTo>
                                <a:lnTo>
                                  <a:pt x="1082040" y="0"/>
                                </a:lnTo>
                                <a:lnTo>
                                  <a:pt x="108204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233264" style="width:473.28pt;height:0.47998pt;position:absolute;mso-position-horizontal-relative:margin;mso-position-horizontal:absolute;margin-left:-4.64525pt;mso-position-vertical-relative:text;margin-top:10.8035pt;" coordsize="60106,60">
                <v:shape id="Shape 276854" style="position:absolute;width:9631;height:91;left:0;top:0;" coordsize="963168,9144" path="m0,0l963168,0l963168,9144l0,9144l0,0">
                  <v:stroke weight="0pt" endcap="flat" joinstyle="miter" miterlimit="10" on="false" color="#000000" opacity="0"/>
                  <v:fill on="true" color="#000000"/>
                </v:shape>
                <v:shape id="Shape 276855" style="position:absolute;width:91;height:91;left:9540;top:0;" coordsize="9144,9144" path="m0,0l9144,0l9144,9144l0,9144l0,0">
                  <v:stroke weight="0pt" endcap="flat" joinstyle="miter" miterlimit="10" on="false" color="#000000" opacity="0"/>
                  <v:fill on="true" color="#000000"/>
                </v:shape>
                <v:shape id="Shape 276856" style="position:absolute;width:6797;height:91;left:9601;top:0;" coordsize="679704,9144" path="m0,0l679704,0l679704,9144l0,9144l0,0">
                  <v:stroke weight="0pt" endcap="flat" joinstyle="miter" miterlimit="10" on="false" color="#000000" opacity="0"/>
                  <v:fill on="true" color="#000000"/>
                </v:shape>
                <v:shape id="Shape 276857" style="position:absolute;width:91;height:91;left:16306;top:0;" coordsize="9144,9144" path="m0,0l9144,0l9144,9144l0,9144l0,0">
                  <v:stroke weight="0pt" endcap="flat" joinstyle="miter" miterlimit="10" on="false" color="#000000" opacity="0"/>
                  <v:fill on="true" color="#000000"/>
                </v:shape>
                <v:shape id="Shape 276858" style="position:absolute;width:7299;height:91;left:16367;top:0;" coordsize="729996,9144" path="m0,0l729996,0l729996,9144l0,9144l0,0">
                  <v:stroke weight="0pt" endcap="flat" joinstyle="miter" miterlimit="10" on="false" color="#000000" opacity="0"/>
                  <v:fill on="true" color="#000000"/>
                </v:shape>
                <v:shape id="Shape 276859" style="position:absolute;width:91;height:91;left:23576;top:0;" coordsize="9144,9144" path="m0,0l9144,0l9144,9144l0,9144l0,0">
                  <v:stroke weight="0pt" endcap="flat" joinstyle="miter" miterlimit="10" on="false" color="#000000" opacity="0"/>
                  <v:fill on="true" color="#000000"/>
                </v:shape>
                <v:shape id="Shape 276860" style="position:absolute;width:8854;height:91;left:23637;top:0;" coordsize="885444,9144" path="m0,0l885444,0l885444,9144l0,9144l0,0">
                  <v:stroke weight="0pt" endcap="flat" joinstyle="miter" miterlimit="10" on="false" color="#000000" opacity="0"/>
                  <v:fill on="true" color="#000000"/>
                </v:shape>
                <v:shape id="Shape 276861" style="position:absolute;width:91;height:91;left:32400;top:0;" coordsize="9144,9144" path="m0,0l9144,0l9144,9144l0,9144l0,0">
                  <v:stroke weight="0pt" endcap="flat" joinstyle="miter" miterlimit="10" on="false" color="#000000" opacity="0"/>
                  <v:fill on="true" color="#000000"/>
                </v:shape>
                <v:shape id="Shape 276862" style="position:absolute;width:9966;height:91;left:32461;top:0;" coordsize="996696,9144" path="m0,0l996696,0l996696,9144l0,9144l0,0">
                  <v:stroke weight="0pt" endcap="flat" joinstyle="miter" miterlimit="10" on="false" color="#000000" opacity="0"/>
                  <v:fill on="true" color="#000000"/>
                </v:shape>
                <v:shape id="Shape 276863" style="position:absolute;width:91;height:91;left:42336;top:0;" coordsize="9144,9144" path="m0,0l9144,0l9144,9144l0,9144l0,0">
                  <v:stroke weight="0pt" endcap="flat" joinstyle="miter" miterlimit="10" on="false" color="#000000" opacity="0"/>
                  <v:fill on="true" color="#000000"/>
                </v:shape>
                <v:shape id="Shape 276864" style="position:absolute;width:6918;height:91;left:42397;top:0;" coordsize="691896,9144" path="m0,0l691896,0l691896,9144l0,9144l0,0">
                  <v:stroke weight="0pt" endcap="flat" joinstyle="miter" miterlimit="10" on="false" color="#000000" opacity="0"/>
                  <v:fill on="true" color="#000000"/>
                </v:shape>
                <v:shape id="Shape 276865" style="position:absolute;width:91;height:91;left:49225;top:0;" coordsize="9144,9144" path="m0,0l9144,0l9144,9144l0,9144l0,0">
                  <v:stroke weight="0pt" endcap="flat" joinstyle="miter" miterlimit="10" on="false" color="#000000" opacity="0"/>
                  <v:fill on="true" color="#000000"/>
                </v:shape>
                <v:shape id="Shape 276866" style="position:absolute;width:10820;height:91;left:49286;top:0;" coordsize="1082040,9144" path="m0,0l1082040,0l1082040,9144l0,9144l0,0">
                  <v:stroke weight="0pt" endcap="flat" joinstyle="miter" miterlimit="10" on="false" color="#000000" opacity="0"/>
                  <v:fill on="true" color="#000000"/>
                </v:shape>
                <w10:wrap type="topAndBottom"/>
              </v:group>
            </w:pict>
          </mc:Fallback>
        </mc:AlternateContent>
      </w:r>
      <w:r>
        <w:rPr>
          <w:rFonts w:ascii="Tahoma" w:eastAsia="Tahoma" w:hAnsi="Tahoma" w:cs="Tahoma"/>
          <w:sz w:val="19"/>
        </w:rPr>
        <w:t>P</w:t>
      </w:r>
      <w:r>
        <w:rPr>
          <w:rFonts w:ascii="Tahoma" w:eastAsia="Tahoma" w:hAnsi="Tahoma" w:cs="Tahoma"/>
          <w:sz w:val="18"/>
        </w:rPr>
        <w:t xml:space="preserve"> – value </w:t>
      </w:r>
      <w:r>
        <w:rPr>
          <w:rFonts w:ascii="Tahoma" w:eastAsia="Tahoma" w:hAnsi="Tahoma" w:cs="Tahoma"/>
          <w:sz w:val="18"/>
        </w:rPr>
        <w:tab/>
      </w:r>
      <w:r>
        <w:rPr>
          <w:rFonts w:ascii="Tahoma" w:eastAsia="Tahoma" w:hAnsi="Tahoma" w:cs="Tahoma"/>
          <w:sz w:val="19"/>
        </w:rPr>
        <w:t>P</w:t>
      </w:r>
      <w:r>
        <w:rPr>
          <w:rFonts w:ascii="Tahoma" w:eastAsia="Tahoma" w:hAnsi="Tahoma" w:cs="Tahoma"/>
          <w:sz w:val="18"/>
        </w:rPr>
        <w:t xml:space="preserve"> &lt; 0.01* </w:t>
      </w:r>
      <w:r>
        <w:rPr>
          <w:rFonts w:ascii="Tahoma" w:eastAsia="Tahoma" w:hAnsi="Tahoma" w:cs="Tahoma"/>
          <w:sz w:val="18"/>
        </w:rPr>
        <w:tab/>
        <w:t xml:space="preserve"> </w:t>
      </w:r>
      <w:r>
        <w:rPr>
          <w:rFonts w:ascii="Tahoma" w:eastAsia="Tahoma" w:hAnsi="Tahoma" w:cs="Tahoma"/>
          <w:sz w:val="18"/>
        </w:rPr>
        <w:tab/>
      </w:r>
      <w:r>
        <w:rPr>
          <w:rFonts w:ascii="Tahoma" w:eastAsia="Tahoma" w:hAnsi="Tahoma" w:cs="Tahoma"/>
          <w:sz w:val="19"/>
        </w:rPr>
        <w:t>P</w:t>
      </w:r>
      <w:r>
        <w:rPr>
          <w:rFonts w:ascii="Tahoma" w:eastAsia="Tahoma" w:hAnsi="Tahoma" w:cs="Tahoma"/>
          <w:sz w:val="18"/>
        </w:rPr>
        <w:t xml:space="preserve"> &lt; 0.01* </w:t>
      </w:r>
      <w:r>
        <w:rPr>
          <w:rFonts w:ascii="Tahoma" w:eastAsia="Tahoma" w:hAnsi="Tahoma" w:cs="Tahoma"/>
          <w:sz w:val="18"/>
        </w:rPr>
        <w:tab/>
      </w:r>
      <w:r>
        <w:rPr>
          <w:rFonts w:ascii="Tahoma" w:eastAsia="Tahoma" w:hAnsi="Tahoma" w:cs="Tahoma"/>
          <w:sz w:val="19"/>
        </w:rPr>
        <w:t>P</w:t>
      </w:r>
      <w:r>
        <w:rPr>
          <w:rFonts w:ascii="Tahoma" w:eastAsia="Tahoma" w:hAnsi="Tahoma" w:cs="Tahoma"/>
          <w:sz w:val="18"/>
        </w:rPr>
        <w:t xml:space="preserve"> &lt; 0.01* </w:t>
      </w:r>
      <w:r>
        <w:rPr>
          <w:rFonts w:ascii="Tahoma" w:eastAsia="Tahoma" w:hAnsi="Tahoma" w:cs="Tahoma"/>
          <w:sz w:val="18"/>
        </w:rPr>
        <w:tab/>
      </w:r>
      <w:r>
        <w:rPr>
          <w:rFonts w:ascii="Tahoma" w:eastAsia="Tahoma" w:hAnsi="Tahoma" w:cs="Tahoma"/>
          <w:sz w:val="19"/>
        </w:rPr>
        <w:t>P</w:t>
      </w:r>
      <w:r>
        <w:rPr>
          <w:rFonts w:ascii="Tahoma" w:eastAsia="Tahoma" w:hAnsi="Tahoma" w:cs="Tahoma"/>
          <w:sz w:val="18"/>
        </w:rPr>
        <w:t xml:space="preserve"> &lt; 0.01* </w:t>
      </w:r>
      <w:r>
        <w:rPr>
          <w:rFonts w:ascii="Tahoma" w:eastAsia="Tahoma" w:hAnsi="Tahoma" w:cs="Tahoma"/>
          <w:sz w:val="19"/>
        </w:rPr>
        <w:t>P</w:t>
      </w:r>
      <w:r>
        <w:rPr>
          <w:rFonts w:ascii="Tahoma" w:eastAsia="Tahoma" w:hAnsi="Tahoma" w:cs="Tahoma"/>
          <w:sz w:val="18"/>
        </w:rPr>
        <w:t xml:space="preserve"> &lt; 0.01* </w:t>
      </w:r>
    </w:p>
    <w:p w14:paraId="44229510" w14:textId="77777777" w:rsidR="00503BF5" w:rsidRDefault="00000000">
      <w:pPr>
        <w:spacing w:after="121" w:line="247" w:lineRule="auto"/>
        <w:ind w:left="24" w:right="41" w:hanging="10"/>
        <w:jc w:val="both"/>
      </w:pPr>
      <w:r>
        <w:rPr>
          <w:rFonts w:ascii="Tahoma" w:eastAsia="Tahoma" w:hAnsi="Tahoma" w:cs="Tahoma"/>
          <w:sz w:val="19"/>
        </w:rPr>
        <w:t>P</w:t>
      </w:r>
      <w:r>
        <w:rPr>
          <w:rFonts w:ascii="Tahoma" w:eastAsia="Tahoma" w:hAnsi="Tahoma" w:cs="Tahoma"/>
          <w:sz w:val="18"/>
        </w:rPr>
        <w:t xml:space="preserve"> - value at </w:t>
      </w:r>
      <w:r>
        <w:rPr>
          <w:rFonts w:ascii="Tahoma" w:eastAsia="Tahoma" w:hAnsi="Tahoma" w:cs="Tahoma"/>
          <w:sz w:val="19"/>
        </w:rPr>
        <w:t>P</w:t>
      </w:r>
      <w:r>
        <w:rPr>
          <w:rFonts w:ascii="Tahoma" w:eastAsia="Tahoma" w:hAnsi="Tahoma" w:cs="Tahoma"/>
          <w:sz w:val="18"/>
        </w:rPr>
        <w:t xml:space="preserve"> ≤ 0.05: Group 2 versus Groups 1 and 3 – 6; ** = significant increase; * = significant decrease). </w:t>
      </w:r>
    </w:p>
    <w:p w14:paraId="7DBD6418" w14:textId="77777777" w:rsidR="00503BF5" w:rsidRDefault="00000000">
      <w:pPr>
        <w:pStyle w:val="Heading3"/>
        <w:spacing w:after="0" w:line="259" w:lineRule="auto"/>
        <w:ind w:left="123" w:firstLine="0"/>
        <w:jc w:val="center"/>
      </w:pPr>
      <w:r>
        <w:t>DISCUSSION</w:t>
      </w:r>
    </w:p>
    <w:p w14:paraId="65B5F264" w14:textId="77777777" w:rsidR="00503BF5" w:rsidRDefault="00503BF5">
      <w:pPr>
        <w:sectPr w:rsidR="00503BF5">
          <w:type w:val="continuous"/>
          <w:pgSz w:w="12240" w:h="16340"/>
          <w:pgMar w:top="1441" w:right="1548" w:bottom="2154" w:left="1427" w:header="720" w:footer="720" w:gutter="0"/>
          <w:cols w:space="720"/>
        </w:sectPr>
      </w:pPr>
    </w:p>
    <w:p w14:paraId="1020C1F8" w14:textId="77777777" w:rsidR="00503BF5" w:rsidRDefault="00000000">
      <w:pPr>
        <w:spacing w:after="3" w:line="247" w:lineRule="auto"/>
        <w:ind w:left="11" w:hanging="10"/>
        <w:jc w:val="both"/>
      </w:pPr>
      <w:r>
        <w:rPr>
          <w:rFonts w:ascii="Tahoma" w:eastAsia="Tahoma" w:hAnsi="Tahoma" w:cs="Tahoma"/>
        </w:rPr>
        <w:t>The observed skin alopecia (Figure 1b) and histopathological alterations in rats of CdCl</w:t>
      </w:r>
      <w:r>
        <w:rPr>
          <w:rFonts w:ascii="Tahoma" w:eastAsia="Tahoma" w:hAnsi="Tahoma" w:cs="Tahoma"/>
          <w:vertAlign w:val="subscript"/>
        </w:rPr>
        <w:t>2</w:t>
      </w:r>
      <w:r>
        <w:rPr>
          <w:rFonts w:ascii="Tahoma" w:eastAsia="Tahoma" w:hAnsi="Tahoma" w:cs="Tahoma"/>
        </w:rPr>
        <w:t>only treated group 2 (Figure 2b) confirmed CdCl</w:t>
      </w:r>
      <w:r>
        <w:rPr>
          <w:rFonts w:ascii="Tahoma" w:eastAsia="Tahoma" w:hAnsi="Tahoma" w:cs="Tahoma"/>
          <w:vertAlign w:val="subscript"/>
        </w:rPr>
        <w:t>2</w:t>
      </w:r>
      <w:r>
        <w:rPr>
          <w:rFonts w:ascii="Tahoma" w:eastAsia="Tahoma" w:hAnsi="Tahoma" w:cs="Tahoma"/>
        </w:rPr>
        <w:t>-induction of skin carcinogenesis, necrosis, and inflammation, as reported (</w:t>
      </w:r>
      <w:proofErr w:type="spellStart"/>
      <w:r>
        <w:rPr>
          <w:rFonts w:ascii="Tahoma" w:eastAsia="Tahoma" w:hAnsi="Tahoma" w:cs="Tahoma"/>
        </w:rPr>
        <w:t>Akinlolu</w:t>
      </w:r>
      <w:proofErr w:type="spellEnd"/>
      <w:r>
        <w:rPr>
          <w:rFonts w:ascii="Tahoma" w:eastAsia="Tahoma" w:hAnsi="Tahoma" w:cs="Tahoma"/>
        </w:rPr>
        <w:t xml:space="preserve"> et al., 2022b). These observations are in agreement with those of previous studies (Lansdown and Sampson, 1992; Lansdown et al., 2001), which reported Cd induction of skin alopecia, ulceration, epidermal hyperplasia, inflammatory cell infiltration, and sustained edema in rats and mice. Furthermore, the observations of this study showed amelioration of Cd-induction of </w:t>
      </w:r>
      <w:r>
        <w:rPr>
          <w:rFonts w:ascii="Tahoma" w:eastAsia="Tahoma" w:hAnsi="Tahoma" w:cs="Tahoma"/>
        </w:rPr>
        <w:t xml:space="preserve">skin alopecia and </w:t>
      </w:r>
      <w:proofErr w:type="spellStart"/>
      <w:r>
        <w:rPr>
          <w:rFonts w:ascii="Tahoma" w:eastAsia="Tahoma" w:hAnsi="Tahoma" w:cs="Tahoma"/>
        </w:rPr>
        <w:t>histo</w:t>
      </w:r>
      <w:proofErr w:type="spellEnd"/>
      <w:r>
        <w:rPr>
          <w:rFonts w:ascii="Tahoma" w:eastAsia="Tahoma" w:hAnsi="Tahoma" w:cs="Tahoma"/>
        </w:rPr>
        <w:t>-alteration in rats post-treated with MO11 and MS06 (Figures 2c and 2d) as reported (</w:t>
      </w:r>
      <w:proofErr w:type="spellStart"/>
      <w:r>
        <w:rPr>
          <w:rFonts w:ascii="Tahoma" w:eastAsia="Tahoma" w:hAnsi="Tahoma" w:cs="Tahoma"/>
        </w:rPr>
        <w:t>Akinlolu</w:t>
      </w:r>
      <w:proofErr w:type="spellEnd"/>
      <w:r>
        <w:rPr>
          <w:rFonts w:ascii="Tahoma" w:eastAsia="Tahoma" w:hAnsi="Tahoma" w:cs="Tahoma"/>
        </w:rPr>
        <w:t xml:space="preserve"> et al., 2022b). In contrast, post-treatment with doxorubicin (Figure 2f) resulted in a lower degree of amelioration of Cd-induced skin </w:t>
      </w:r>
      <w:proofErr w:type="spellStart"/>
      <w:r>
        <w:rPr>
          <w:rFonts w:ascii="Tahoma" w:eastAsia="Tahoma" w:hAnsi="Tahoma" w:cs="Tahoma"/>
        </w:rPr>
        <w:t>histo</w:t>
      </w:r>
      <w:proofErr w:type="spellEnd"/>
      <w:r>
        <w:rPr>
          <w:rFonts w:ascii="Tahoma" w:eastAsia="Tahoma" w:hAnsi="Tahoma" w:cs="Tahoma"/>
        </w:rPr>
        <w:t>-alterations in rats, as reported (</w:t>
      </w:r>
      <w:proofErr w:type="spellStart"/>
      <w:r>
        <w:rPr>
          <w:rFonts w:ascii="Tahoma" w:eastAsia="Tahoma" w:hAnsi="Tahoma" w:cs="Tahoma"/>
        </w:rPr>
        <w:t>Akinlolu</w:t>
      </w:r>
      <w:proofErr w:type="spellEnd"/>
      <w:r>
        <w:rPr>
          <w:rFonts w:ascii="Tahoma" w:eastAsia="Tahoma" w:hAnsi="Tahoma" w:cs="Tahoma"/>
        </w:rPr>
        <w:t xml:space="preserve"> et al., 2022b). </w:t>
      </w:r>
    </w:p>
    <w:p w14:paraId="53BE0030" w14:textId="77777777" w:rsidR="00503BF5" w:rsidRDefault="00000000">
      <w:pPr>
        <w:spacing w:after="3" w:line="247" w:lineRule="auto"/>
        <w:ind w:left="11" w:hanging="10"/>
        <w:jc w:val="both"/>
      </w:pPr>
      <w:r>
        <w:rPr>
          <w:rFonts w:ascii="Tahoma" w:eastAsia="Tahoma" w:hAnsi="Tahoma" w:cs="Tahoma"/>
        </w:rPr>
        <w:t xml:space="preserve">The findings of this study showed significant downregulations of Dopamine and </w:t>
      </w:r>
    </w:p>
    <w:p w14:paraId="3B1A1B03" w14:textId="77777777" w:rsidR="00503BF5" w:rsidRDefault="00000000">
      <w:pPr>
        <w:spacing w:after="3" w:line="247" w:lineRule="auto"/>
        <w:ind w:left="11" w:hanging="10"/>
        <w:jc w:val="both"/>
      </w:pPr>
      <w:r>
        <w:rPr>
          <w:rFonts w:ascii="Tahoma" w:eastAsia="Tahoma" w:hAnsi="Tahoma" w:cs="Tahoma"/>
        </w:rPr>
        <w:t>Glutamate in CdCl</w:t>
      </w:r>
      <w:r>
        <w:rPr>
          <w:rFonts w:ascii="Tahoma" w:eastAsia="Tahoma" w:hAnsi="Tahoma" w:cs="Tahoma"/>
          <w:vertAlign w:val="subscript"/>
        </w:rPr>
        <w:t>2</w:t>
      </w:r>
      <w:r>
        <w:rPr>
          <w:rFonts w:ascii="Tahoma" w:eastAsia="Tahoma" w:hAnsi="Tahoma" w:cs="Tahoma"/>
        </w:rPr>
        <w:t xml:space="preserve">-only treated group 2 when compared with Normal Saline-only Control Group 1, as presented in Table 1. </w:t>
      </w:r>
    </w:p>
    <w:p w14:paraId="738B194E" w14:textId="77777777" w:rsidR="00503BF5" w:rsidRDefault="00000000">
      <w:pPr>
        <w:spacing w:after="3" w:line="247" w:lineRule="auto"/>
        <w:ind w:left="11" w:hanging="10"/>
        <w:jc w:val="both"/>
      </w:pPr>
      <w:r>
        <w:rPr>
          <w:rFonts w:ascii="Tahoma" w:eastAsia="Tahoma" w:hAnsi="Tahoma" w:cs="Tahoma"/>
        </w:rPr>
        <w:lastRenderedPageBreak/>
        <w:t>These results confirmed the dysregulation of Dopamine and Glutamate concentrations in the hairless skin area. These observations are in agreement with the previously reported Cd-induced downregulations of dopamine (Gupta et al., 2018) and glutamate (Lafuente et al., 2002) in rats. In addition, Dopamine levels are downregulated in tumors (Lan et al., 2015; Kuol et al., 2018), while dysregulation of glutamate levels aids tumor growth (Yi et al., 2019). Hence, the observed downregulations of Dopamine and Glutamate in rats of Group 2 indicate that these neurotransmitters are involved in neuro-cancer interaction mechanism of CdCl</w:t>
      </w:r>
      <w:r>
        <w:rPr>
          <w:rFonts w:ascii="Tahoma" w:eastAsia="Tahoma" w:hAnsi="Tahoma" w:cs="Tahoma"/>
          <w:vertAlign w:val="subscript"/>
        </w:rPr>
        <w:t>2</w:t>
      </w:r>
      <w:r>
        <w:rPr>
          <w:rFonts w:ascii="Tahoma" w:eastAsia="Tahoma" w:hAnsi="Tahoma" w:cs="Tahoma"/>
        </w:rPr>
        <w:t xml:space="preserve">-induced carcinogenesis. </w:t>
      </w:r>
    </w:p>
    <w:p w14:paraId="3A56AFA9" w14:textId="77777777" w:rsidR="00503BF5" w:rsidRDefault="00000000">
      <w:pPr>
        <w:spacing w:after="190" w:line="247" w:lineRule="auto"/>
        <w:ind w:left="11" w:hanging="10"/>
        <w:jc w:val="both"/>
      </w:pPr>
      <w:r>
        <w:rPr>
          <w:rFonts w:ascii="Tahoma" w:eastAsia="Tahoma" w:hAnsi="Tahoma" w:cs="Tahoma"/>
        </w:rPr>
        <w:t>Post-treatments with MO11, MO11+MS06 and Doxorubicin in Groups 3, 4, and 6 resulted in the upregulations of Dopamine and Glutamate when compared with CdCl</w:t>
      </w:r>
      <w:r>
        <w:rPr>
          <w:rFonts w:ascii="Tahoma" w:eastAsia="Tahoma" w:hAnsi="Tahoma" w:cs="Tahoma"/>
          <w:vertAlign w:val="subscript"/>
        </w:rPr>
        <w:t>2</w:t>
      </w:r>
      <w:r>
        <w:rPr>
          <w:rFonts w:ascii="Tahoma" w:eastAsia="Tahoma" w:hAnsi="Tahoma" w:cs="Tahoma"/>
        </w:rPr>
        <w:t>only treated Group 2 (Table 1), suggesting that MO11, MS06 and Doxorubicin ameliorated CdCl</w:t>
      </w:r>
      <w:r>
        <w:rPr>
          <w:rFonts w:ascii="Tahoma" w:eastAsia="Tahoma" w:hAnsi="Tahoma" w:cs="Tahoma"/>
          <w:vertAlign w:val="subscript"/>
        </w:rPr>
        <w:t>2</w:t>
      </w:r>
      <w:r>
        <w:rPr>
          <w:rFonts w:ascii="Tahoma" w:eastAsia="Tahoma" w:hAnsi="Tahoma" w:cs="Tahoma"/>
        </w:rPr>
        <w:t xml:space="preserve">-induced adverse effects on neurotransmitter-cancer interactions and possess anticancer potential.  </w:t>
      </w:r>
    </w:p>
    <w:p w14:paraId="2A9DB6A5" w14:textId="77777777" w:rsidR="00503BF5" w:rsidRDefault="00000000">
      <w:pPr>
        <w:spacing w:after="191" w:line="247" w:lineRule="auto"/>
        <w:ind w:left="11" w:hanging="10"/>
        <w:jc w:val="both"/>
      </w:pPr>
      <w:r>
        <w:rPr>
          <w:rFonts w:ascii="Tahoma" w:eastAsia="Tahoma" w:hAnsi="Tahoma" w:cs="Tahoma"/>
        </w:rPr>
        <w:t>In addition, the results of this study showed significant upregulation of MBP levels in the skin of CdCl</w:t>
      </w:r>
      <w:r>
        <w:rPr>
          <w:rFonts w:ascii="Tahoma" w:eastAsia="Tahoma" w:hAnsi="Tahoma" w:cs="Tahoma"/>
          <w:vertAlign w:val="subscript"/>
        </w:rPr>
        <w:t>2</w:t>
      </w:r>
      <w:r>
        <w:rPr>
          <w:rFonts w:ascii="Tahoma" w:eastAsia="Tahoma" w:hAnsi="Tahoma" w:cs="Tahoma"/>
        </w:rPr>
        <w:t>-only treated Group 2 when compared with Groups 1, 3, and 4, as presented in Table 1. MBP is a membrane actin-binding protein (Muller et al., 2013) which is upregulated in response to demyelination, axonal degeneration and oxidative stress (</w:t>
      </w:r>
      <w:proofErr w:type="spellStart"/>
      <w:r>
        <w:rPr>
          <w:rFonts w:ascii="Tahoma" w:eastAsia="Tahoma" w:hAnsi="Tahoma" w:cs="Tahoma"/>
        </w:rPr>
        <w:t>Akinlolu</w:t>
      </w:r>
      <w:proofErr w:type="spellEnd"/>
      <w:r>
        <w:rPr>
          <w:rFonts w:ascii="Tahoma" w:eastAsia="Tahoma" w:hAnsi="Tahoma" w:cs="Tahoma"/>
        </w:rPr>
        <w:t xml:space="preserve"> et al., 2020a; Afifi and </w:t>
      </w:r>
      <w:proofErr w:type="spellStart"/>
      <w:r>
        <w:rPr>
          <w:rFonts w:ascii="Tahoma" w:eastAsia="Tahoma" w:hAnsi="Tahoma" w:cs="Tahoma"/>
        </w:rPr>
        <w:t>Embaby</w:t>
      </w:r>
      <w:proofErr w:type="spellEnd"/>
      <w:r>
        <w:rPr>
          <w:rFonts w:ascii="Tahoma" w:eastAsia="Tahoma" w:hAnsi="Tahoma" w:cs="Tahoma"/>
        </w:rPr>
        <w:t xml:space="preserve">, 2016). Hence, observed </w:t>
      </w:r>
      <w:proofErr w:type="spellStart"/>
      <w:r>
        <w:rPr>
          <w:rFonts w:ascii="Tahoma" w:eastAsia="Tahoma" w:hAnsi="Tahoma" w:cs="Tahoma"/>
        </w:rPr>
        <w:t>MBPupregulation</w:t>
      </w:r>
      <w:proofErr w:type="spellEnd"/>
      <w:r>
        <w:rPr>
          <w:rFonts w:ascii="Tahoma" w:eastAsia="Tahoma" w:hAnsi="Tahoma" w:cs="Tahoma"/>
        </w:rPr>
        <w:t xml:space="preserve"> suggests possible Cd-induction of de-myelination of nerve fibers supplying the hairless skin area of rats in Group 2.  </w:t>
      </w:r>
    </w:p>
    <w:p w14:paraId="7F74A005" w14:textId="77777777" w:rsidR="00503BF5" w:rsidRDefault="00000000">
      <w:pPr>
        <w:tabs>
          <w:tab w:val="center" w:pos="2233"/>
          <w:tab w:val="center" w:pos="3199"/>
          <w:tab w:val="right" w:pos="4389"/>
        </w:tabs>
        <w:spacing w:after="3" w:line="247" w:lineRule="auto"/>
      </w:pPr>
      <w:r>
        <w:rPr>
          <w:rFonts w:ascii="Tahoma" w:eastAsia="Tahoma" w:hAnsi="Tahoma" w:cs="Tahoma"/>
        </w:rPr>
        <w:t xml:space="preserve">Post-treatments </w:t>
      </w:r>
      <w:r>
        <w:rPr>
          <w:rFonts w:ascii="Tahoma" w:eastAsia="Tahoma" w:hAnsi="Tahoma" w:cs="Tahoma"/>
        </w:rPr>
        <w:tab/>
        <w:t xml:space="preserve">with </w:t>
      </w:r>
      <w:r>
        <w:rPr>
          <w:rFonts w:ascii="Tahoma" w:eastAsia="Tahoma" w:hAnsi="Tahoma" w:cs="Tahoma"/>
        </w:rPr>
        <w:tab/>
        <w:t xml:space="preserve">MO11 </w:t>
      </w:r>
      <w:r>
        <w:rPr>
          <w:rFonts w:ascii="Tahoma" w:eastAsia="Tahoma" w:hAnsi="Tahoma" w:cs="Tahoma"/>
        </w:rPr>
        <w:tab/>
        <w:t xml:space="preserve">and </w:t>
      </w:r>
    </w:p>
    <w:p w14:paraId="382BD5FB" w14:textId="77777777" w:rsidR="00503BF5" w:rsidRDefault="00000000">
      <w:pPr>
        <w:spacing w:after="188" w:line="247" w:lineRule="auto"/>
        <w:ind w:left="11" w:hanging="10"/>
        <w:jc w:val="both"/>
      </w:pPr>
      <w:r>
        <w:rPr>
          <w:rFonts w:ascii="Tahoma" w:eastAsia="Tahoma" w:hAnsi="Tahoma" w:cs="Tahoma"/>
        </w:rPr>
        <w:t>MO11+MS06 in Groups 3 and 4 resulted in significant downregulation of MBP levels when compared with CdCl</w:t>
      </w:r>
      <w:r>
        <w:rPr>
          <w:rFonts w:ascii="Tahoma" w:eastAsia="Tahoma" w:hAnsi="Tahoma" w:cs="Tahoma"/>
          <w:vertAlign w:val="subscript"/>
        </w:rPr>
        <w:t>2</w:t>
      </w:r>
      <w:r>
        <w:rPr>
          <w:rFonts w:ascii="Tahoma" w:eastAsia="Tahoma" w:hAnsi="Tahoma" w:cs="Tahoma"/>
        </w:rPr>
        <w:t xml:space="preserve">-only treated Group 2, as presented in Table 1. However, post-treatment with doxorubicin resulted in </w:t>
      </w:r>
      <w:r>
        <w:rPr>
          <w:rFonts w:ascii="Tahoma" w:eastAsia="Tahoma" w:hAnsi="Tahoma" w:cs="Tahoma"/>
        </w:rPr>
        <w:t>non-significant MBP downregulation in group 6 compared with that in group 2. These observations suggest that MO11, MS06 and Doxorubicin ameliorated CdCl</w:t>
      </w:r>
      <w:r>
        <w:rPr>
          <w:rFonts w:ascii="Tahoma" w:eastAsia="Tahoma" w:hAnsi="Tahoma" w:cs="Tahoma"/>
          <w:vertAlign w:val="subscript"/>
        </w:rPr>
        <w:t>2</w:t>
      </w:r>
      <w:r>
        <w:rPr>
          <w:rFonts w:ascii="Tahoma" w:eastAsia="Tahoma" w:hAnsi="Tahoma" w:cs="Tahoma"/>
        </w:rPr>
        <w:t xml:space="preserve">-induced demyelination of nerve fibers in the skin of rats, although MO11and MS06 possess better remyelination potential than doxorubicin. </w:t>
      </w:r>
    </w:p>
    <w:p w14:paraId="04BCC2E6" w14:textId="77777777" w:rsidR="00503BF5" w:rsidRDefault="00000000">
      <w:pPr>
        <w:spacing w:after="189" w:line="247" w:lineRule="auto"/>
        <w:ind w:left="11" w:hanging="10"/>
        <w:jc w:val="both"/>
      </w:pPr>
      <w:r>
        <w:rPr>
          <w:rFonts w:ascii="Tahoma" w:eastAsia="Tahoma" w:hAnsi="Tahoma" w:cs="Tahoma"/>
        </w:rPr>
        <w:t>Furthermore, the results of this study showed significant downregulation of cytochrome p450 levels in the homogenates of hairless skin of CdCl</w:t>
      </w:r>
      <w:r>
        <w:rPr>
          <w:rFonts w:ascii="Tahoma" w:eastAsia="Tahoma" w:hAnsi="Tahoma" w:cs="Tahoma"/>
          <w:vertAlign w:val="subscript"/>
        </w:rPr>
        <w:t>2</w:t>
      </w:r>
      <w:r>
        <w:rPr>
          <w:rFonts w:ascii="Tahoma" w:eastAsia="Tahoma" w:hAnsi="Tahoma" w:cs="Tahoma"/>
        </w:rPr>
        <w:t xml:space="preserve">-only treated Group 2 when compared with normal hairy skin tissues of Groups 1, 3, 4, and 6, as presented in Table 2. Cytochrome p450 is part of monooxygenases that oxidize fatty acids, steroids, and xenobiotics, thereby enhancing water solubility and expulsion of foreign compounds, and further clearance of drugs/compounds (Rodriguez-Antona et al. 2006; Afifi and </w:t>
      </w:r>
      <w:proofErr w:type="spellStart"/>
      <w:r>
        <w:rPr>
          <w:rFonts w:ascii="Tahoma" w:eastAsia="Tahoma" w:hAnsi="Tahoma" w:cs="Tahoma"/>
        </w:rPr>
        <w:t>Embaby</w:t>
      </w:r>
      <w:proofErr w:type="spellEnd"/>
      <w:r>
        <w:rPr>
          <w:rFonts w:ascii="Tahoma" w:eastAsia="Tahoma" w:hAnsi="Tahoma" w:cs="Tahoma"/>
        </w:rPr>
        <w:t>, 2016; Manikandan and Nagini, 2018). Therefore, our observations suggest a possible decrease in clearance and detoxification of Cd content of the skin in rats of Group 2. In addition, these observations suggest that MO11, MS06 and Doxorubicin ameliorated the CdCl</w:t>
      </w:r>
      <w:r>
        <w:rPr>
          <w:rFonts w:ascii="Tahoma" w:eastAsia="Tahoma" w:hAnsi="Tahoma" w:cs="Tahoma"/>
          <w:vertAlign w:val="subscript"/>
        </w:rPr>
        <w:t>2</w:t>
      </w:r>
      <w:r>
        <w:rPr>
          <w:rFonts w:ascii="Tahoma" w:eastAsia="Tahoma" w:hAnsi="Tahoma" w:cs="Tahoma"/>
        </w:rPr>
        <w:t xml:space="preserve">-induced decreased clearance and detoxification of Cd in the skin in the skin of rats of Groups 3, 4 and 6.  </w:t>
      </w:r>
    </w:p>
    <w:p w14:paraId="588D9452" w14:textId="77777777" w:rsidR="00503BF5" w:rsidRDefault="00000000">
      <w:pPr>
        <w:spacing w:after="191" w:line="247" w:lineRule="auto"/>
        <w:ind w:left="11" w:hanging="10"/>
        <w:jc w:val="both"/>
      </w:pPr>
      <w:r>
        <w:rPr>
          <w:rFonts w:ascii="Tahoma" w:eastAsia="Tahoma" w:hAnsi="Tahoma" w:cs="Tahoma"/>
        </w:rPr>
        <w:t>It must be noted that there is a significant increase in blood Cd content in humans with severe psoriasis (Liaw et al., 2017). Hence, the observed increase in cytochrome p450 concentrations in CdCl</w:t>
      </w:r>
      <w:r>
        <w:rPr>
          <w:rFonts w:ascii="Tahoma" w:eastAsia="Tahoma" w:hAnsi="Tahoma" w:cs="Tahoma"/>
          <w:vertAlign w:val="subscript"/>
        </w:rPr>
        <w:t>2</w:t>
      </w:r>
      <w:r>
        <w:rPr>
          <w:rFonts w:ascii="Tahoma" w:eastAsia="Tahoma" w:hAnsi="Tahoma" w:cs="Tahoma"/>
        </w:rPr>
        <w:t xml:space="preserve">-exposed rats </w:t>
      </w:r>
      <w:proofErr w:type="spellStart"/>
      <w:r>
        <w:rPr>
          <w:rFonts w:ascii="Tahoma" w:eastAsia="Tahoma" w:hAnsi="Tahoma" w:cs="Tahoma"/>
        </w:rPr>
        <w:t>posttreated</w:t>
      </w:r>
      <w:proofErr w:type="spellEnd"/>
      <w:r>
        <w:rPr>
          <w:rFonts w:ascii="Tahoma" w:eastAsia="Tahoma" w:hAnsi="Tahoma" w:cs="Tahoma"/>
        </w:rPr>
        <w:t xml:space="preserve"> with MO11 and MS06 implied that these drug compounds could be considered for further evaluations in the treatment of psoriasis in humans suspected of significant cadmium exposure.   </w:t>
      </w:r>
    </w:p>
    <w:p w14:paraId="4A7FF26B" w14:textId="77777777" w:rsidR="00503BF5" w:rsidRDefault="00000000">
      <w:pPr>
        <w:spacing w:after="3" w:line="247" w:lineRule="auto"/>
        <w:ind w:left="11" w:hanging="10"/>
        <w:jc w:val="both"/>
      </w:pPr>
      <w:r>
        <w:rPr>
          <w:rFonts w:ascii="Tahoma" w:eastAsia="Tahoma" w:hAnsi="Tahoma" w:cs="Tahoma"/>
        </w:rPr>
        <w:t xml:space="preserve">The findings of this study showed significant upregulations of Caspase-3, Ki67, p53, and </w:t>
      </w:r>
      <w:proofErr w:type="spellStart"/>
      <w:r>
        <w:rPr>
          <w:rFonts w:ascii="Tahoma" w:eastAsia="Tahoma" w:hAnsi="Tahoma" w:cs="Tahoma"/>
        </w:rPr>
        <w:t>sVEGFR</w:t>
      </w:r>
      <w:proofErr w:type="spellEnd"/>
      <w:r>
        <w:rPr>
          <w:rFonts w:ascii="Tahoma" w:eastAsia="Tahoma" w:hAnsi="Tahoma" w:cs="Tahoma"/>
        </w:rPr>
        <w:t xml:space="preserve"> in hairless skin of CdCl</w:t>
      </w:r>
      <w:r>
        <w:rPr>
          <w:rFonts w:ascii="Tahoma" w:eastAsia="Tahoma" w:hAnsi="Tahoma" w:cs="Tahoma"/>
          <w:vertAlign w:val="subscript"/>
        </w:rPr>
        <w:t>2</w:t>
      </w:r>
      <w:r>
        <w:rPr>
          <w:rFonts w:ascii="Tahoma" w:eastAsia="Tahoma" w:hAnsi="Tahoma" w:cs="Tahoma"/>
        </w:rPr>
        <w:t xml:space="preserve">-only treated Group 2, when compared with Groups 1, 3, and 4 (Table 2). The significant upregulation of Caspase-3 is associated with the activation </w:t>
      </w:r>
      <w:r>
        <w:rPr>
          <w:rFonts w:ascii="Tahoma" w:eastAsia="Tahoma" w:hAnsi="Tahoma" w:cs="Tahoma"/>
        </w:rPr>
        <w:lastRenderedPageBreak/>
        <w:t>of apoptosis following induction of necrosis (</w:t>
      </w:r>
      <w:proofErr w:type="spellStart"/>
      <w:r>
        <w:rPr>
          <w:rFonts w:ascii="Tahoma" w:eastAsia="Tahoma" w:hAnsi="Tahoma" w:cs="Tahoma"/>
        </w:rPr>
        <w:t>Akinlolu</w:t>
      </w:r>
      <w:proofErr w:type="spellEnd"/>
      <w:r>
        <w:rPr>
          <w:rFonts w:ascii="Tahoma" w:eastAsia="Tahoma" w:hAnsi="Tahoma" w:cs="Tahoma"/>
        </w:rPr>
        <w:t xml:space="preserve"> et al., 2020a), and it is also positively correlated with p53-induction of apoptosis towards resolution of induced necrosis (</w:t>
      </w:r>
      <w:proofErr w:type="spellStart"/>
      <w:r>
        <w:rPr>
          <w:rFonts w:ascii="Tahoma" w:eastAsia="Tahoma" w:hAnsi="Tahoma" w:cs="Tahoma"/>
        </w:rPr>
        <w:t>Akinlolu</w:t>
      </w:r>
      <w:proofErr w:type="spellEnd"/>
      <w:r>
        <w:rPr>
          <w:rFonts w:ascii="Tahoma" w:eastAsia="Tahoma" w:hAnsi="Tahoma" w:cs="Tahoma"/>
        </w:rPr>
        <w:t xml:space="preserve"> et al., 2020a). Ki67 is an established biomarker of proliferation, which is significantly upregulated in hyperplasia (</w:t>
      </w:r>
      <w:proofErr w:type="spellStart"/>
      <w:r>
        <w:rPr>
          <w:rFonts w:ascii="Tahoma" w:eastAsia="Tahoma" w:hAnsi="Tahoma" w:cs="Tahoma"/>
        </w:rPr>
        <w:t>Akinlolu</w:t>
      </w:r>
      <w:proofErr w:type="spellEnd"/>
      <w:r>
        <w:rPr>
          <w:rFonts w:ascii="Tahoma" w:eastAsia="Tahoma" w:hAnsi="Tahoma" w:cs="Tahoma"/>
        </w:rPr>
        <w:t xml:space="preserve"> et al., 2020a), while VEGF is an established angiogenic factor (Mahoney et al., 2021).  Therefore, our observations suggest CdCl</w:t>
      </w:r>
      <w:r>
        <w:rPr>
          <w:rFonts w:ascii="Tahoma" w:eastAsia="Tahoma" w:hAnsi="Tahoma" w:cs="Tahoma"/>
          <w:vertAlign w:val="subscript"/>
        </w:rPr>
        <w:t>2</w:t>
      </w:r>
      <w:r>
        <w:rPr>
          <w:rFonts w:ascii="Tahoma" w:eastAsia="Tahoma" w:hAnsi="Tahoma" w:cs="Tahoma"/>
        </w:rPr>
        <w:t xml:space="preserve">-induction of hyperplasia, necrosis, and angiogenesis in the hairless skin of rats in Group 2.  </w:t>
      </w:r>
    </w:p>
    <w:p w14:paraId="2983CA8A" w14:textId="77777777" w:rsidR="00503BF5" w:rsidRDefault="00000000">
      <w:pPr>
        <w:tabs>
          <w:tab w:val="center" w:pos="2234"/>
          <w:tab w:val="center" w:pos="3199"/>
          <w:tab w:val="right" w:pos="4456"/>
        </w:tabs>
        <w:spacing w:after="3" w:line="247" w:lineRule="auto"/>
      </w:pPr>
      <w:r>
        <w:rPr>
          <w:rFonts w:ascii="Tahoma" w:eastAsia="Tahoma" w:hAnsi="Tahoma" w:cs="Tahoma"/>
        </w:rPr>
        <w:t xml:space="preserve">Post-treatments </w:t>
      </w:r>
      <w:r>
        <w:rPr>
          <w:rFonts w:ascii="Tahoma" w:eastAsia="Tahoma" w:hAnsi="Tahoma" w:cs="Tahoma"/>
        </w:rPr>
        <w:tab/>
        <w:t xml:space="preserve">with </w:t>
      </w:r>
      <w:r>
        <w:rPr>
          <w:rFonts w:ascii="Tahoma" w:eastAsia="Tahoma" w:hAnsi="Tahoma" w:cs="Tahoma"/>
        </w:rPr>
        <w:tab/>
        <w:t xml:space="preserve">MO11 </w:t>
      </w:r>
      <w:r>
        <w:rPr>
          <w:rFonts w:ascii="Tahoma" w:eastAsia="Tahoma" w:hAnsi="Tahoma" w:cs="Tahoma"/>
        </w:rPr>
        <w:tab/>
        <w:t xml:space="preserve">and </w:t>
      </w:r>
    </w:p>
    <w:p w14:paraId="3FFDD78A" w14:textId="77777777" w:rsidR="00503BF5" w:rsidRDefault="00000000">
      <w:pPr>
        <w:spacing w:after="188" w:line="247" w:lineRule="auto"/>
        <w:ind w:left="11" w:hanging="10"/>
        <w:jc w:val="both"/>
      </w:pPr>
      <w:r>
        <w:rPr>
          <w:rFonts w:ascii="Tahoma" w:eastAsia="Tahoma" w:hAnsi="Tahoma" w:cs="Tahoma"/>
        </w:rPr>
        <w:t xml:space="preserve">MO11+MS06 in Groups 3 and 4 resulted in significant downregulations of Caspase-3, Ki67, p53, and </w:t>
      </w:r>
      <w:proofErr w:type="spellStart"/>
      <w:r>
        <w:rPr>
          <w:rFonts w:ascii="Tahoma" w:eastAsia="Tahoma" w:hAnsi="Tahoma" w:cs="Tahoma"/>
        </w:rPr>
        <w:t>sVEGFR</w:t>
      </w:r>
      <w:proofErr w:type="spellEnd"/>
      <w:r>
        <w:rPr>
          <w:rFonts w:ascii="Tahoma" w:eastAsia="Tahoma" w:hAnsi="Tahoma" w:cs="Tahoma"/>
        </w:rPr>
        <w:t xml:space="preserve"> levels, respectively, when compared with CdCl</w:t>
      </w:r>
      <w:r>
        <w:rPr>
          <w:rFonts w:ascii="Tahoma" w:eastAsia="Tahoma" w:hAnsi="Tahoma" w:cs="Tahoma"/>
          <w:vertAlign w:val="subscript"/>
        </w:rPr>
        <w:t>2</w:t>
      </w:r>
      <w:r>
        <w:rPr>
          <w:rFonts w:ascii="Tahoma" w:eastAsia="Tahoma" w:hAnsi="Tahoma" w:cs="Tahoma"/>
        </w:rPr>
        <w:t xml:space="preserve">-only treatment in Group 2, as presented in Table 2. In addition, post-treatment with doxorubicin in Group 6 resulted in significant downregulations of Caspase-3, Ki67, and </w:t>
      </w:r>
      <w:proofErr w:type="spellStart"/>
      <w:r>
        <w:rPr>
          <w:rFonts w:ascii="Tahoma" w:eastAsia="Tahoma" w:hAnsi="Tahoma" w:cs="Tahoma"/>
        </w:rPr>
        <w:t>sVEGFR</w:t>
      </w:r>
      <w:proofErr w:type="spellEnd"/>
      <w:r>
        <w:rPr>
          <w:rFonts w:ascii="Tahoma" w:eastAsia="Tahoma" w:hAnsi="Tahoma" w:cs="Tahoma"/>
        </w:rPr>
        <w:t xml:space="preserve"> levels, but non-significant p53 downregulation when compared with CdCl</w:t>
      </w:r>
      <w:r>
        <w:rPr>
          <w:rFonts w:ascii="Tahoma" w:eastAsia="Tahoma" w:hAnsi="Tahoma" w:cs="Tahoma"/>
          <w:vertAlign w:val="subscript"/>
        </w:rPr>
        <w:t>2</w:t>
      </w:r>
      <w:r>
        <w:rPr>
          <w:rFonts w:ascii="Tahoma" w:eastAsia="Tahoma" w:hAnsi="Tahoma" w:cs="Tahoma"/>
        </w:rPr>
        <w:t>-only treatment in Group 2, as presented in Table 2. These observations suggest that MO11, MS06 and Doxorubicin ameliorated CdCl</w:t>
      </w:r>
      <w:r>
        <w:rPr>
          <w:rFonts w:ascii="Tahoma" w:eastAsia="Tahoma" w:hAnsi="Tahoma" w:cs="Tahoma"/>
          <w:vertAlign w:val="subscript"/>
        </w:rPr>
        <w:t>2</w:t>
      </w:r>
      <w:r>
        <w:rPr>
          <w:rFonts w:ascii="Tahoma" w:eastAsia="Tahoma" w:hAnsi="Tahoma" w:cs="Tahoma"/>
        </w:rPr>
        <w:t xml:space="preserve">-induced skin hyperplasia, necrosis, and angiogenesis and possess anticancer and anti-angiogenic potentials. However, MO11 and MS06 possess better anticancer potentials than doxorubicin. </w:t>
      </w:r>
    </w:p>
    <w:p w14:paraId="0842A6F2" w14:textId="77777777" w:rsidR="00503BF5" w:rsidRDefault="00000000">
      <w:pPr>
        <w:spacing w:after="188" w:line="247" w:lineRule="auto"/>
        <w:ind w:left="11" w:hanging="10"/>
        <w:jc w:val="both"/>
      </w:pPr>
      <w:r>
        <w:rPr>
          <w:rFonts w:ascii="Tahoma" w:eastAsia="Tahoma" w:hAnsi="Tahoma" w:cs="Tahoma"/>
        </w:rPr>
        <w:t xml:space="preserve">LC-MS and spectroscopic analyses confirmed the presence of Guanine, Glutamic acid, Leucine and Phenylalanine, and other anticancer compounds in MO11 and MS06 isolates, as reported by Ameen and </w:t>
      </w:r>
      <w:proofErr w:type="spellStart"/>
      <w:r>
        <w:rPr>
          <w:rFonts w:ascii="Tahoma" w:eastAsia="Tahoma" w:hAnsi="Tahoma" w:cs="Tahoma"/>
        </w:rPr>
        <w:t>Akinlolu</w:t>
      </w:r>
      <w:proofErr w:type="spellEnd"/>
      <w:r>
        <w:rPr>
          <w:rFonts w:ascii="Tahoma" w:eastAsia="Tahoma" w:hAnsi="Tahoma" w:cs="Tahoma"/>
        </w:rPr>
        <w:t xml:space="preserve"> (2023). Guanine, Glutamic acid, and phenylalanine are established anticancer, antioxidant, and anti-inflammatory compounds (Dutta, Ray, and </w:t>
      </w:r>
      <w:proofErr w:type="spellStart"/>
      <w:r>
        <w:rPr>
          <w:rFonts w:ascii="Tahoma" w:eastAsia="Tahoma" w:hAnsi="Tahoma" w:cs="Tahoma"/>
        </w:rPr>
        <w:t>Nagaran</w:t>
      </w:r>
      <w:proofErr w:type="spellEnd"/>
      <w:r>
        <w:rPr>
          <w:rFonts w:ascii="Tahoma" w:eastAsia="Tahoma" w:hAnsi="Tahoma" w:cs="Tahoma"/>
        </w:rPr>
        <w:t xml:space="preserve">, 2013; Dasari and </w:t>
      </w:r>
      <w:proofErr w:type="spellStart"/>
      <w:r>
        <w:rPr>
          <w:rFonts w:ascii="Tahoma" w:eastAsia="Tahoma" w:hAnsi="Tahoma" w:cs="Tahoma"/>
        </w:rPr>
        <w:t>Tchounwou</w:t>
      </w:r>
      <w:proofErr w:type="spellEnd"/>
      <w:r>
        <w:rPr>
          <w:rFonts w:ascii="Tahoma" w:eastAsia="Tahoma" w:hAnsi="Tahoma" w:cs="Tahoma"/>
        </w:rPr>
        <w:t xml:space="preserve">, 2014; Lee et al. 2017; Lieu et al. 2020; Ziyu et al. 2020). Therefore, the significant and better anticancer potentials of MO11 (Group 3) and MO11+MS06 (Group 4) than doxorubicin </w:t>
      </w:r>
      <w:r>
        <w:rPr>
          <w:rFonts w:ascii="Tahoma" w:eastAsia="Tahoma" w:hAnsi="Tahoma" w:cs="Tahoma"/>
        </w:rPr>
        <w:t>(Group 6) following CdCl</w:t>
      </w:r>
      <w:r>
        <w:rPr>
          <w:rFonts w:ascii="Tahoma" w:eastAsia="Tahoma" w:hAnsi="Tahoma" w:cs="Tahoma"/>
          <w:vertAlign w:val="subscript"/>
        </w:rPr>
        <w:t>2</w:t>
      </w:r>
      <w:r>
        <w:rPr>
          <w:rFonts w:ascii="Tahoma" w:eastAsia="Tahoma" w:hAnsi="Tahoma" w:cs="Tahoma"/>
        </w:rPr>
        <w:t xml:space="preserve">-induced skin carcinogenesis (Table 1 and Table 2) could have been due to the presence of Guanine, Glutamic acid, Leucine and Phenylalanine, and other anticancer compounds in MO11 and MS06 isolates.   </w:t>
      </w:r>
    </w:p>
    <w:p w14:paraId="000B5547" w14:textId="77777777" w:rsidR="00503BF5" w:rsidRDefault="00000000">
      <w:pPr>
        <w:spacing w:after="0" w:line="248" w:lineRule="auto"/>
        <w:ind w:left="11" w:right="9" w:hanging="10"/>
        <w:jc w:val="both"/>
      </w:pPr>
      <w:r>
        <w:rPr>
          <w:rFonts w:ascii="Tahoma" w:eastAsia="Tahoma" w:hAnsi="Tahoma" w:cs="Tahoma"/>
          <w:b/>
        </w:rPr>
        <w:t xml:space="preserve">CONCLUSIONS </w:t>
      </w:r>
    </w:p>
    <w:p w14:paraId="4DD34395" w14:textId="77777777" w:rsidR="00503BF5" w:rsidRDefault="00000000">
      <w:pPr>
        <w:spacing w:after="3" w:line="247" w:lineRule="auto"/>
        <w:ind w:left="11" w:hanging="10"/>
        <w:jc w:val="both"/>
      </w:pPr>
      <w:r>
        <w:rPr>
          <w:rFonts w:ascii="Tahoma" w:eastAsia="Tahoma" w:hAnsi="Tahoma" w:cs="Tahoma"/>
        </w:rPr>
        <w:t>Overall, the findings of this study suggest that post-treatments with MO11, MS06 and Doxorubicin conferred cyto-/</w:t>
      </w:r>
      <w:proofErr w:type="spellStart"/>
      <w:r>
        <w:rPr>
          <w:rFonts w:ascii="Tahoma" w:eastAsia="Tahoma" w:hAnsi="Tahoma" w:cs="Tahoma"/>
        </w:rPr>
        <w:t>histo</w:t>
      </w:r>
      <w:proofErr w:type="spellEnd"/>
      <w:r>
        <w:rPr>
          <w:rFonts w:ascii="Tahoma" w:eastAsia="Tahoma" w:hAnsi="Tahoma" w:cs="Tahoma"/>
        </w:rPr>
        <w:t>-protection against CdCl</w:t>
      </w:r>
      <w:r>
        <w:rPr>
          <w:rFonts w:ascii="Tahoma" w:eastAsia="Tahoma" w:hAnsi="Tahoma" w:cs="Tahoma"/>
          <w:vertAlign w:val="subscript"/>
        </w:rPr>
        <w:t>2</w:t>
      </w:r>
      <w:r>
        <w:rPr>
          <w:rFonts w:ascii="Tahoma" w:eastAsia="Tahoma" w:hAnsi="Tahoma" w:cs="Tahoma"/>
        </w:rPr>
        <w:t xml:space="preserve">-induced </w:t>
      </w:r>
      <w:proofErr w:type="gramStart"/>
      <w:r>
        <w:rPr>
          <w:rFonts w:ascii="Tahoma" w:eastAsia="Tahoma" w:hAnsi="Tahoma" w:cs="Tahoma"/>
        </w:rPr>
        <w:t>toxicity,  carcinogenesis</w:t>
      </w:r>
      <w:proofErr w:type="gramEnd"/>
      <w:r>
        <w:rPr>
          <w:rFonts w:ascii="Tahoma" w:eastAsia="Tahoma" w:hAnsi="Tahoma" w:cs="Tahoma"/>
        </w:rPr>
        <w:t xml:space="preserve"> (alopecia, necrosis, angiogenesis and neuro-cancer interaction) and demyelination via the upregulations of Dopamine, Glutamate and Cytochrome p450, but downregulations of MBP, Ki67, p53, Caspase-3 and </w:t>
      </w:r>
      <w:proofErr w:type="spellStart"/>
      <w:r>
        <w:rPr>
          <w:rFonts w:ascii="Tahoma" w:eastAsia="Tahoma" w:hAnsi="Tahoma" w:cs="Tahoma"/>
        </w:rPr>
        <w:t>sVEGFR</w:t>
      </w:r>
      <w:proofErr w:type="spellEnd"/>
      <w:r>
        <w:rPr>
          <w:rFonts w:ascii="Tahoma" w:eastAsia="Tahoma" w:hAnsi="Tahoma" w:cs="Tahoma"/>
        </w:rPr>
        <w:t xml:space="preserve"> in the skin of rats. In addition, the findings of this study showed that MO11 and MS06 achieved better remyelination, anti-necrosis, and anticancer potentials than doxorubicin. Hence, MO11 and MS06 are recommended for further evaluations as potential drug candidates and dietary supplements for the treatment of skin alopecia and cancers.  </w:t>
      </w:r>
    </w:p>
    <w:p w14:paraId="3CD48D36" w14:textId="77777777" w:rsidR="00503BF5" w:rsidRDefault="00000000">
      <w:pPr>
        <w:spacing w:after="0"/>
      </w:pPr>
      <w:r>
        <w:rPr>
          <w:rFonts w:ascii="Tahoma" w:eastAsia="Tahoma" w:hAnsi="Tahoma" w:cs="Tahoma"/>
        </w:rPr>
        <w:t xml:space="preserve"> </w:t>
      </w:r>
    </w:p>
    <w:p w14:paraId="413A2F2D" w14:textId="77777777" w:rsidR="00503BF5" w:rsidRDefault="00000000">
      <w:pPr>
        <w:spacing w:after="4" w:line="237" w:lineRule="auto"/>
        <w:ind w:left="-5" w:hanging="10"/>
      </w:pPr>
      <w:r>
        <w:rPr>
          <w:rFonts w:ascii="Tahoma" w:eastAsia="Tahoma" w:hAnsi="Tahoma" w:cs="Tahoma"/>
          <w:b/>
        </w:rPr>
        <w:t xml:space="preserve">DATA AVAILABILITY </w:t>
      </w:r>
      <w:proofErr w:type="gramStart"/>
      <w:r>
        <w:rPr>
          <w:rFonts w:ascii="Tahoma" w:eastAsia="Tahoma" w:hAnsi="Tahoma" w:cs="Tahoma"/>
          <w:b/>
        </w:rPr>
        <w:t xml:space="preserve">STATEMENT </w:t>
      </w:r>
      <w:r>
        <w:rPr>
          <w:rFonts w:ascii="Tahoma" w:eastAsia="Tahoma" w:hAnsi="Tahoma" w:cs="Tahoma"/>
        </w:rPr>
        <w:t xml:space="preserve"> The</w:t>
      </w:r>
      <w:proofErr w:type="gramEnd"/>
      <w:r>
        <w:rPr>
          <w:rFonts w:ascii="Tahoma" w:eastAsia="Tahoma" w:hAnsi="Tahoma" w:cs="Tahoma"/>
        </w:rPr>
        <w:t xml:space="preserve"> datasets computed and/or analyzed in this </w:t>
      </w:r>
      <w:r>
        <w:rPr>
          <w:rFonts w:ascii="Tahoma" w:eastAsia="Tahoma" w:hAnsi="Tahoma" w:cs="Tahoma"/>
        </w:rPr>
        <w:tab/>
        <w:t xml:space="preserve">study </w:t>
      </w:r>
      <w:r>
        <w:rPr>
          <w:rFonts w:ascii="Tahoma" w:eastAsia="Tahoma" w:hAnsi="Tahoma" w:cs="Tahoma"/>
        </w:rPr>
        <w:tab/>
        <w:t xml:space="preserve">are </w:t>
      </w:r>
      <w:r>
        <w:rPr>
          <w:rFonts w:ascii="Tahoma" w:eastAsia="Tahoma" w:hAnsi="Tahoma" w:cs="Tahoma"/>
        </w:rPr>
        <w:tab/>
        <w:t xml:space="preserve">available </w:t>
      </w:r>
      <w:r>
        <w:rPr>
          <w:rFonts w:ascii="Tahoma" w:eastAsia="Tahoma" w:hAnsi="Tahoma" w:cs="Tahoma"/>
        </w:rPr>
        <w:tab/>
        <w:t xml:space="preserve">from </w:t>
      </w:r>
      <w:r>
        <w:rPr>
          <w:rFonts w:ascii="Tahoma" w:eastAsia="Tahoma" w:hAnsi="Tahoma" w:cs="Tahoma"/>
        </w:rPr>
        <w:tab/>
        <w:t xml:space="preserve">the corresponding author upon reasonable request.  </w:t>
      </w:r>
    </w:p>
    <w:p w14:paraId="7030B407" w14:textId="77777777" w:rsidR="00503BF5" w:rsidRDefault="00000000">
      <w:pPr>
        <w:spacing w:after="0"/>
      </w:pPr>
      <w:r>
        <w:rPr>
          <w:rFonts w:ascii="Tahoma" w:eastAsia="Tahoma" w:hAnsi="Tahoma" w:cs="Tahoma"/>
        </w:rPr>
        <w:t xml:space="preserve"> </w:t>
      </w:r>
    </w:p>
    <w:p w14:paraId="177752DA" w14:textId="77777777" w:rsidR="00503BF5" w:rsidRDefault="00000000">
      <w:pPr>
        <w:spacing w:after="0" w:line="248" w:lineRule="auto"/>
        <w:ind w:left="11" w:right="9" w:hanging="10"/>
        <w:jc w:val="both"/>
      </w:pPr>
      <w:r>
        <w:rPr>
          <w:rFonts w:ascii="Tahoma" w:eastAsia="Tahoma" w:hAnsi="Tahoma" w:cs="Tahoma"/>
          <w:b/>
        </w:rPr>
        <w:t xml:space="preserve">ACKNOWLEDGEMENTS </w:t>
      </w:r>
    </w:p>
    <w:p w14:paraId="57B234A9" w14:textId="77777777" w:rsidR="00503BF5" w:rsidRDefault="00000000">
      <w:pPr>
        <w:spacing w:after="3" w:line="247" w:lineRule="auto"/>
        <w:ind w:left="11" w:hanging="10"/>
        <w:jc w:val="both"/>
      </w:pPr>
      <w:r>
        <w:rPr>
          <w:rFonts w:ascii="Tahoma" w:eastAsia="Tahoma" w:hAnsi="Tahoma" w:cs="Tahoma"/>
        </w:rPr>
        <w:t xml:space="preserve">The Authors acknowledge the technical support of the laboratory staff members of the Department of Chemistry at the University of Ilorin, Nigeria and the Central Research Laboratory, Ilorin, Nigeria. </w:t>
      </w:r>
    </w:p>
    <w:p w14:paraId="6A9B0B76" w14:textId="77777777" w:rsidR="00503BF5" w:rsidRDefault="00000000">
      <w:pPr>
        <w:spacing w:after="0"/>
      </w:pPr>
      <w:r>
        <w:rPr>
          <w:rFonts w:ascii="Tahoma" w:eastAsia="Tahoma" w:hAnsi="Tahoma" w:cs="Tahoma"/>
        </w:rPr>
        <w:t xml:space="preserve"> </w:t>
      </w:r>
    </w:p>
    <w:p w14:paraId="5913A66D" w14:textId="77777777" w:rsidR="00503BF5" w:rsidRDefault="00000000">
      <w:pPr>
        <w:spacing w:after="190" w:line="247" w:lineRule="auto"/>
        <w:ind w:left="11" w:hanging="10"/>
        <w:jc w:val="both"/>
      </w:pPr>
      <w:r>
        <w:rPr>
          <w:rFonts w:ascii="Tahoma" w:eastAsia="Tahoma" w:hAnsi="Tahoma" w:cs="Tahoma"/>
          <w:b/>
        </w:rPr>
        <w:t>CONFLICT OF INTEREST</w:t>
      </w:r>
      <w:r>
        <w:rPr>
          <w:rFonts w:ascii="Tahoma" w:eastAsia="Tahoma" w:hAnsi="Tahoma" w:cs="Tahoma"/>
          <w:sz w:val="23"/>
        </w:rPr>
        <w:t xml:space="preserve">: </w:t>
      </w:r>
      <w:r>
        <w:rPr>
          <w:rFonts w:ascii="Tahoma" w:eastAsia="Tahoma" w:hAnsi="Tahoma" w:cs="Tahoma"/>
        </w:rPr>
        <w:t xml:space="preserve">Authors declare no conflicts of interest. </w:t>
      </w:r>
    </w:p>
    <w:p w14:paraId="61E48767" w14:textId="77777777" w:rsidR="00503BF5" w:rsidRDefault="00000000">
      <w:pPr>
        <w:spacing w:after="0" w:line="248" w:lineRule="auto"/>
        <w:ind w:left="11" w:right="9" w:hanging="10"/>
        <w:jc w:val="both"/>
      </w:pPr>
      <w:r>
        <w:rPr>
          <w:rFonts w:ascii="Tahoma" w:eastAsia="Tahoma" w:hAnsi="Tahoma" w:cs="Tahoma"/>
          <w:b/>
        </w:rPr>
        <w:t xml:space="preserve">AUTHORS’ CONTRIBUTIONS </w:t>
      </w:r>
    </w:p>
    <w:p w14:paraId="172B5229" w14:textId="77777777" w:rsidR="00503BF5" w:rsidRDefault="00000000">
      <w:pPr>
        <w:spacing w:after="3" w:line="247" w:lineRule="auto"/>
        <w:ind w:left="11" w:hanging="10"/>
        <w:jc w:val="both"/>
      </w:pPr>
      <w:r>
        <w:rPr>
          <w:rFonts w:ascii="Tahoma" w:eastAsia="Tahoma" w:hAnsi="Tahoma" w:cs="Tahoma"/>
        </w:rPr>
        <w:t xml:space="preserve">Conception and design: AA and MA. </w:t>
      </w:r>
    </w:p>
    <w:p w14:paraId="73FBBD44" w14:textId="77777777" w:rsidR="00503BF5" w:rsidRDefault="00000000">
      <w:pPr>
        <w:spacing w:after="3" w:line="247" w:lineRule="auto"/>
        <w:ind w:left="11" w:hanging="10"/>
        <w:jc w:val="both"/>
      </w:pPr>
      <w:r>
        <w:rPr>
          <w:rFonts w:ascii="Tahoma" w:eastAsia="Tahoma" w:hAnsi="Tahoma" w:cs="Tahoma"/>
        </w:rPr>
        <w:t xml:space="preserve">Critical revision of the article for intellectual content: AA, MA, GE, NA, RA and BF. Final </w:t>
      </w:r>
      <w:r>
        <w:rPr>
          <w:rFonts w:ascii="Tahoma" w:eastAsia="Tahoma" w:hAnsi="Tahoma" w:cs="Tahoma"/>
        </w:rPr>
        <w:lastRenderedPageBreak/>
        <w:t xml:space="preserve">approval of the article: AA, MA, GE, NA, RA and BF. </w:t>
      </w:r>
    </w:p>
    <w:p w14:paraId="1B98D9C2" w14:textId="77777777" w:rsidR="00503BF5" w:rsidRDefault="00000000">
      <w:pPr>
        <w:spacing w:after="3" w:line="247" w:lineRule="auto"/>
        <w:ind w:left="11" w:hanging="10"/>
        <w:jc w:val="both"/>
      </w:pPr>
      <w:r>
        <w:rPr>
          <w:rFonts w:ascii="Tahoma" w:eastAsia="Tahoma" w:hAnsi="Tahoma" w:cs="Tahoma"/>
        </w:rPr>
        <w:t xml:space="preserve">Obtaining of funding: AA, MA, GE, NA, RA and BF. </w:t>
      </w:r>
    </w:p>
    <w:p w14:paraId="51E6AB49" w14:textId="77777777" w:rsidR="00503BF5" w:rsidRDefault="00000000">
      <w:pPr>
        <w:spacing w:after="3" w:line="247" w:lineRule="auto"/>
        <w:ind w:left="11" w:hanging="10"/>
        <w:jc w:val="both"/>
      </w:pPr>
      <w:r>
        <w:rPr>
          <w:rFonts w:ascii="Tahoma" w:eastAsia="Tahoma" w:hAnsi="Tahoma" w:cs="Tahoma"/>
        </w:rPr>
        <w:t xml:space="preserve">Administrative, technical or logistic support: AA, MA, GE, NA, RA and BF. Collection and assembly of data: AA, MA, GE, NA, RA and BF. </w:t>
      </w:r>
    </w:p>
    <w:p w14:paraId="1945F81F" w14:textId="77777777" w:rsidR="00503BF5" w:rsidRDefault="00503BF5">
      <w:pPr>
        <w:sectPr w:rsidR="00503BF5">
          <w:type w:val="continuous"/>
          <w:pgSz w:w="12240" w:h="16340"/>
          <w:pgMar w:top="1441" w:right="1436" w:bottom="2018" w:left="1440" w:header="720" w:footer="720" w:gutter="0"/>
          <w:cols w:num="2" w:space="646"/>
        </w:sectPr>
      </w:pPr>
    </w:p>
    <w:p w14:paraId="2C4C869E" w14:textId="77777777" w:rsidR="00503BF5" w:rsidRDefault="00000000">
      <w:pPr>
        <w:pStyle w:val="Heading2"/>
        <w:ind w:left="10" w:right="7" w:hanging="10"/>
      </w:pPr>
      <w:r>
        <w:lastRenderedPageBreak/>
        <w:t xml:space="preserve">REFERENCES </w:t>
      </w:r>
    </w:p>
    <w:p w14:paraId="0ED52E92" w14:textId="77777777" w:rsidR="00503BF5" w:rsidRDefault="00000000">
      <w:pPr>
        <w:numPr>
          <w:ilvl w:val="0"/>
          <w:numId w:val="14"/>
        </w:numPr>
        <w:spacing w:after="3" w:line="247" w:lineRule="auto"/>
        <w:ind w:hanging="360"/>
        <w:jc w:val="both"/>
      </w:pPr>
      <w:r>
        <w:rPr>
          <w:rFonts w:ascii="Tahoma" w:eastAsia="Tahoma" w:hAnsi="Tahoma" w:cs="Tahoma"/>
        </w:rPr>
        <w:t xml:space="preserve">Afifi OK, </w:t>
      </w:r>
      <w:proofErr w:type="spellStart"/>
      <w:r>
        <w:rPr>
          <w:rFonts w:ascii="Tahoma" w:eastAsia="Tahoma" w:hAnsi="Tahoma" w:cs="Tahoma"/>
        </w:rPr>
        <w:t>Embaby</w:t>
      </w:r>
      <w:proofErr w:type="spellEnd"/>
      <w:r>
        <w:rPr>
          <w:rFonts w:ascii="Tahoma" w:eastAsia="Tahoma" w:hAnsi="Tahoma" w:cs="Tahoma"/>
        </w:rPr>
        <w:t xml:space="preserve"> AS. 2016. Histological study on the protective role of Ascorbic acid on Cadmium induced cerebral cortical neurotoxicity in adult male albino rats.  </w:t>
      </w:r>
      <w:proofErr w:type="spellStart"/>
      <w:r>
        <w:rPr>
          <w:rFonts w:ascii="Tahoma" w:eastAsia="Tahoma" w:hAnsi="Tahoma" w:cs="Tahoma"/>
        </w:rPr>
        <w:t>Microsc</w:t>
      </w:r>
      <w:proofErr w:type="spellEnd"/>
      <w:r>
        <w:rPr>
          <w:rFonts w:ascii="Tahoma" w:eastAsia="Tahoma" w:hAnsi="Tahoma" w:cs="Tahoma"/>
        </w:rPr>
        <w:t xml:space="preserve"> </w:t>
      </w:r>
      <w:proofErr w:type="spellStart"/>
      <w:r>
        <w:rPr>
          <w:rFonts w:ascii="Tahoma" w:eastAsia="Tahoma" w:hAnsi="Tahoma" w:cs="Tahoma"/>
        </w:rPr>
        <w:t>Ultrastruct</w:t>
      </w:r>
      <w:proofErr w:type="spellEnd"/>
      <w:r>
        <w:rPr>
          <w:rFonts w:ascii="Tahoma" w:eastAsia="Tahoma" w:hAnsi="Tahoma" w:cs="Tahoma"/>
        </w:rPr>
        <w:t xml:space="preserve"> 4:36-45.  </w:t>
      </w:r>
    </w:p>
    <w:p w14:paraId="23686258" w14:textId="77777777" w:rsidR="00503BF5" w:rsidRDefault="00000000">
      <w:pPr>
        <w:numPr>
          <w:ilvl w:val="0"/>
          <w:numId w:val="14"/>
        </w:numPr>
        <w:spacing w:after="3" w:line="247" w:lineRule="auto"/>
        <w:ind w:hanging="360"/>
        <w:jc w:val="both"/>
      </w:pPr>
      <w:proofErr w:type="spellStart"/>
      <w:r>
        <w:rPr>
          <w:rFonts w:ascii="Tahoma" w:eastAsia="Tahoma" w:hAnsi="Tahoma" w:cs="Tahoma"/>
        </w:rPr>
        <w:t>Akinlolu</w:t>
      </w:r>
      <w:proofErr w:type="spellEnd"/>
      <w:r>
        <w:rPr>
          <w:rFonts w:ascii="Tahoma" w:eastAsia="Tahoma" w:hAnsi="Tahoma" w:cs="Tahoma"/>
        </w:rPr>
        <w:t xml:space="preserve"> AA, Sulaiman FA, Tajudeen S, Suleiman SK, Abdulsalam AA, Asogwa NT. 2020a. Cajanus </w:t>
      </w:r>
      <w:proofErr w:type="spellStart"/>
      <w:r>
        <w:rPr>
          <w:rFonts w:ascii="Tahoma" w:eastAsia="Tahoma" w:hAnsi="Tahoma" w:cs="Tahoma"/>
        </w:rPr>
        <w:t>cajan</w:t>
      </w:r>
      <w:proofErr w:type="spellEnd"/>
      <w:r>
        <w:rPr>
          <w:rFonts w:ascii="Tahoma" w:eastAsia="Tahoma" w:hAnsi="Tahoma" w:cs="Tahoma"/>
        </w:rPr>
        <w:t xml:space="preserve"> drives apoptosis via activation of caspase3/p53 pathway and possesses remyelination and anti-gliosis potentials in Ethidium Bromide-induced neurotoxicity in rats. Nig J Scient Res 19(4):286-293.   </w:t>
      </w:r>
    </w:p>
    <w:p w14:paraId="7691927F" w14:textId="77777777" w:rsidR="00503BF5" w:rsidRDefault="00000000">
      <w:pPr>
        <w:numPr>
          <w:ilvl w:val="0"/>
          <w:numId w:val="14"/>
        </w:numPr>
        <w:spacing w:after="3" w:line="247" w:lineRule="auto"/>
        <w:ind w:hanging="360"/>
        <w:jc w:val="both"/>
      </w:pPr>
      <w:proofErr w:type="spellStart"/>
      <w:r>
        <w:rPr>
          <w:rFonts w:ascii="Tahoma" w:eastAsia="Tahoma" w:hAnsi="Tahoma" w:cs="Tahoma"/>
        </w:rPr>
        <w:t>Akinlolu</w:t>
      </w:r>
      <w:proofErr w:type="spellEnd"/>
      <w:r>
        <w:rPr>
          <w:rFonts w:ascii="Tahoma" w:eastAsia="Tahoma" w:hAnsi="Tahoma" w:cs="Tahoma"/>
        </w:rPr>
        <w:t xml:space="preserve"> AA, Ameen M, Quadri T, </w:t>
      </w:r>
      <w:proofErr w:type="spellStart"/>
      <w:r>
        <w:rPr>
          <w:rFonts w:ascii="Tahoma" w:eastAsia="Tahoma" w:hAnsi="Tahoma" w:cs="Tahoma"/>
        </w:rPr>
        <w:t>Odubela</w:t>
      </w:r>
      <w:proofErr w:type="spellEnd"/>
      <w:r>
        <w:rPr>
          <w:rFonts w:ascii="Tahoma" w:eastAsia="Tahoma" w:hAnsi="Tahoma" w:cs="Tahoma"/>
        </w:rPr>
        <w:t xml:space="preserve"> O, Omotoso G, Yahya R, et al. 2020b.  </w:t>
      </w:r>
    </w:p>
    <w:p w14:paraId="49AE0BBF" w14:textId="77777777" w:rsidR="00503BF5" w:rsidRDefault="00000000">
      <w:pPr>
        <w:numPr>
          <w:ilvl w:val="0"/>
          <w:numId w:val="14"/>
        </w:numPr>
        <w:spacing w:after="3" w:line="247" w:lineRule="auto"/>
        <w:ind w:hanging="360"/>
        <w:jc w:val="both"/>
      </w:pPr>
      <w:r>
        <w:rPr>
          <w:rFonts w:ascii="Tahoma" w:eastAsia="Tahoma" w:hAnsi="Tahoma" w:cs="Tahoma"/>
        </w:rPr>
        <w:t>Extraction, isolation and evaluation of anti-toxic principles from Moringa oleifera (MOF</w:t>
      </w:r>
      <w:r>
        <w:rPr>
          <w:rFonts w:ascii="Tahoma" w:eastAsia="Tahoma" w:hAnsi="Tahoma" w:cs="Tahoma"/>
          <w:vertAlign w:val="subscript"/>
        </w:rPr>
        <w:t>6</w:t>
      </w:r>
      <w:r>
        <w:rPr>
          <w:rFonts w:ascii="Tahoma" w:eastAsia="Tahoma" w:hAnsi="Tahoma" w:cs="Tahoma"/>
        </w:rPr>
        <w:t xml:space="preserve">) and Myristica fragrans (Trimyristin) upregulated Acetylcholinesterase concentrations in Sodium </w:t>
      </w:r>
      <w:proofErr w:type="spellStart"/>
      <w:r>
        <w:rPr>
          <w:rFonts w:ascii="Tahoma" w:eastAsia="Tahoma" w:hAnsi="Tahoma" w:cs="Tahoma"/>
        </w:rPr>
        <w:t>arsenite</w:t>
      </w:r>
      <w:proofErr w:type="spellEnd"/>
      <w:r>
        <w:rPr>
          <w:rFonts w:ascii="Tahoma" w:eastAsia="Tahoma" w:hAnsi="Tahoma" w:cs="Tahoma"/>
        </w:rPr>
        <w:t xml:space="preserve">-induced neurotoxicity in rats. J </w:t>
      </w:r>
      <w:proofErr w:type="spellStart"/>
      <w:r>
        <w:rPr>
          <w:rFonts w:ascii="Tahoma" w:eastAsia="Tahoma" w:hAnsi="Tahoma" w:cs="Tahoma"/>
        </w:rPr>
        <w:t>Phytomed</w:t>
      </w:r>
      <w:proofErr w:type="spellEnd"/>
      <w:r>
        <w:rPr>
          <w:rFonts w:ascii="Tahoma" w:eastAsia="Tahoma" w:hAnsi="Tahoma" w:cs="Tahoma"/>
        </w:rPr>
        <w:t xml:space="preserve"> </w:t>
      </w:r>
      <w:proofErr w:type="spellStart"/>
      <w:r>
        <w:rPr>
          <w:rFonts w:ascii="Tahoma" w:eastAsia="Tahoma" w:hAnsi="Tahoma" w:cs="Tahoma"/>
        </w:rPr>
        <w:t>Therapeut</w:t>
      </w:r>
      <w:proofErr w:type="spellEnd"/>
      <w:r>
        <w:rPr>
          <w:rFonts w:ascii="Tahoma" w:eastAsia="Tahoma" w:hAnsi="Tahoma" w:cs="Tahoma"/>
        </w:rPr>
        <w:t xml:space="preserve"> 19(2):503-519. </w:t>
      </w:r>
    </w:p>
    <w:p w14:paraId="350570BC" w14:textId="77777777" w:rsidR="00503BF5" w:rsidRDefault="00000000">
      <w:pPr>
        <w:numPr>
          <w:ilvl w:val="0"/>
          <w:numId w:val="14"/>
        </w:numPr>
        <w:spacing w:after="3" w:line="247" w:lineRule="auto"/>
        <w:ind w:hanging="360"/>
        <w:jc w:val="both"/>
      </w:pPr>
      <w:proofErr w:type="spellStart"/>
      <w:r>
        <w:rPr>
          <w:rFonts w:ascii="Tahoma" w:eastAsia="Tahoma" w:hAnsi="Tahoma" w:cs="Tahoma"/>
        </w:rPr>
        <w:t>Akinlolu</w:t>
      </w:r>
      <w:proofErr w:type="spellEnd"/>
      <w:r>
        <w:rPr>
          <w:rFonts w:ascii="Tahoma" w:eastAsia="Tahoma" w:hAnsi="Tahoma" w:cs="Tahoma"/>
        </w:rPr>
        <w:t xml:space="preserve"> AA, </w:t>
      </w:r>
      <w:proofErr w:type="spellStart"/>
      <w:r>
        <w:rPr>
          <w:rFonts w:ascii="Tahoma" w:eastAsia="Tahoma" w:hAnsi="Tahoma" w:cs="Tahoma"/>
        </w:rPr>
        <w:t>Oyewopo</w:t>
      </w:r>
      <w:proofErr w:type="spellEnd"/>
      <w:r>
        <w:rPr>
          <w:rFonts w:ascii="Tahoma" w:eastAsia="Tahoma" w:hAnsi="Tahoma" w:cs="Tahoma"/>
        </w:rPr>
        <w:t xml:space="preserve"> AO, Kadir RE, Lawal A, </w:t>
      </w:r>
      <w:proofErr w:type="spellStart"/>
      <w:r>
        <w:rPr>
          <w:rFonts w:ascii="Tahoma" w:eastAsia="Tahoma" w:hAnsi="Tahoma" w:cs="Tahoma"/>
        </w:rPr>
        <w:t>Ademiloye</w:t>
      </w:r>
      <w:proofErr w:type="spellEnd"/>
      <w:r>
        <w:rPr>
          <w:rFonts w:ascii="Tahoma" w:eastAsia="Tahoma" w:hAnsi="Tahoma" w:cs="Tahoma"/>
        </w:rPr>
        <w:t xml:space="preserve"> J, Jubril A, et al. 2021.  </w:t>
      </w:r>
    </w:p>
    <w:p w14:paraId="2CC2A7AD" w14:textId="77777777" w:rsidR="00503BF5" w:rsidRDefault="00000000">
      <w:pPr>
        <w:numPr>
          <w:ilvl w:val="0"/>
          <w:numId w:val="14"/>
        </w:numPr>
        <w:spacing w:after="3" w:line="247" w:lineRule="auto"/>
        <w:ind w:hanging="360"/>
        <w:jc w:val="both"/>
      </w:pPr>
      <w:r>
        <w:rPr>
          <w:rFonts w:ascii="Tahoma" w:eastAsia="Tahoma" w:hAnsi="Tahoma" w:cs="Tahoma"/>
        </w:rPr>
        <w:t xml:space="preserve">Moringa oleifera and Musa </w:t>
      </w:r>
      <w:proofErr w:type="spellStart"/>
      <w:r>
        <w:rPr>
          <w:rFonts w:ascii="Tahoma" w:eastAsia="Tahoma" w:hAnsi="Tahoma" w:cs="Tahoma"/>
        </w:rPr>
        <w:t>sapientum</w:t>
      </w:r>
      <w:proofErr w:type="spellEnd"/>
      <w:r>
        <w:rPr>
          <w:rFonts w:ascii="Tahoma" w:eastAsia="Tahoma" w:hAnsi="Tahoma" w:cs="Tahoma"/>
        </w:rPr>
        <w:t xml:space="preserve"> ameliorated 7,12-Dimethylbenz[a]anthracene-induced upregulations of Ki67 and Multidrug resistance1 genes in rats. Int J Health Sci 15(3):26-33. </w:t>
      </w:r>
    </w:p>
    <w:p w14:paraId="42A76759" w14:textId="77777777" w:rsidR="00503BF5" w:rsidRDefault="00000000">
      <w:pPr>
        <w:numPr>
          <w:ilvl w:val="0"/>
          <w:numId w:val="14"/>
        </w:numPr>
        <w:spacing w:after="3" w:line="247" w:lineRule="auto"/>
        <w:ind w:hanging="360"/>
        <w:jc w:val="both"/>
      </w:pPr>
      <w:proofErr w:type="spellStart"/>
      <w:r>
        <w:rPr>
          <w:rFonts w:ascii="Tahoma" w:eastAsia="Tahoma" w:hAnsi="Tahoma" w:cs="Tahoma"/>
        </w:rPr>
        <w:t>Akinlolu</w:t>
      </w:r>
      <w:proofErr w:type="spellEnd"/>
      <w:r>
        <w:rPr>
          <w:rFonts w:ascii="Tahoma" w:eastAsia="Tahoma" w:hAnsi="Tahoma" w:cs="Tahoma"/>
        </w:rPr>
        <w:t xml:space="preserve"> AA, Ameen M, Ebito G, Asogwa N, Akindele R, </w:t>
      </w:r>
      <w:proofErr w:type="spellStart"/>
      <w:r>
        <w:rPr>
          <w:rFonts w:ascii="Tahoma" w:eastAsia="Tahoma" w:hAnsi="Tahoma" w:cs="Tahoma"/>
        </w:rPr>
        <w:t>Fagbounka</w:t>
      </w:r>
      <w:proofErr w:type="spellEnd"/>
      <w:r>
        <w:rPr>
          <w:rFonts w:ascii="Tahoma" w:eastAsia="Tahoma" w:hAnsi="Tahoma" w:cs="Tahoma"/>
        </w:rPr>
        <w:t xml:space="preserve"> B, et al. 2022a.   </w:t>
      </w:r>
    </w:p>
    <w:p w14:paraId="2B349075" w14:textId="77777777" w:rsidR="00503BF5" w:rsidRDefault="00000000">
      <w:pPr>
        <w:numPr>
          <w:ilvl w:val="0"/>
          <w:numId w:val="14"/>
        </w:numPr>
        <w:spacing w:after="3" w:line="247" w:lineRule="auto"/>
        <w:ind w:hanging="360"/>
        <w:jc w:val="both"/>
      </w:pPr>
      <w:r>
        <w:rPr>
          <w:rFonts w:ascii="Tahoma" w:eastAsia="Tahoma" w:hAnsi="Tahoma" w:cs="Tahoma"/>
        </w:rPr>
        <w:t xml:space="preserve">MO11 and MS06 ameliorated Cadmium Chloride-induced neuroinflammation, Hyperplasia and apoptosis via the NF-kB/Caspase-3/p53 pathway </w:t>
      </w:r>
      <w:proofErr w:type="gramStart"/>
      <w:r>
        <w:rPr>
          <w:rFonts w:ascii="Tahoma" w:eastAsia="Tahoma" w:hAnsi="Tahoma" w:cs="Tahoma"/>
        </w:rPr>
        <w:t xml:space="preserve">and  </w:t>
      </w:r>
      <w:proofErr w:type="spellStart"/>
      <w:r>
        <w:rPr>
          <w:rFonts w:ascii="Tahoma" w:eastAsia="Tahoma" w:hAnsi="Tahoma" w:cs="Tahoma"/>
        </w:rPr>
        <w:t>downregulatated</w:t>
      </w:r>
      <w:proofErr w:type="spellEnd"/>
      <w:proofErr w:type="gramEnd"/>
      <w:r>
        <w:rPr>
          <w:rFonts w:ascii="Tahoma" w:eastAsia="Tahoma" w:hAnsi="Tahoma" w:cs="Tahoma"/>
        </w:rPr>
        <w:t xml:space="preserve"> </w:t>
      </w:r>
      <w:proofErr w:type="spellStart"/>
      <w:r>
        <w:rPr>
          <w:rFonts w:ascii="Tahoma" w:eastAsia="Tahoma" w:hAnsi="Tahoma" w:cs="Tahoma"/>
        </w:rPr>
        <w:t>sVEGFR</w:t>
      </w:r>
      <w:proofErr w:type="spellEnd"/>
      <w:r>
        <w:rPr>
          <w:rFonts w:ascii="Tahoma" w:eastAsia="Tahoma" w:hAnsi="Tahoma" w:cs="Tahoma"/>
        </w:rPr>
        <w:t xml:space="preserve"> in rats. </w:t>
      </w:r>
      <w:proofErr w:type="spellStart"/>
      <w:r>
        <w:rPr>
          <w:rFonts w:ascii="Tahoma" w:eastAsia="Tahoma" w:hAnsi="Tahoma" w:cs="Tahoma"/>
        </w:rPr>
        <w:t>Eur</w:t>
      </w:r>
      <w:proofErr w:type="spellEnd"/>
      <w:r>
        <w:rPr>
          <w:rFonts w:ascii="Tahoma" w:eastAsia="Tahoma" w:hAnsi="Tahoma" w:cs="Tahoma"/>
        </w:rPr>
        <w:t xml:space="preserve"> J </w:t>
      </w:r>
      <w:proofErr w:type="gramStart"/>
      <w:r>
        <w:rPr>
          <w:rFonts w:ascii="Tahoma" w:eastAsia="Tahoma" w:hAnsi="Tahoma" w:cs="Tahoma"/>
        </w:rPr>
        <w:t>Anat</w:t>
      </w:r>
      <w:r>
        <w:rPr>
          <w:rFonts w:ascii="Tahoma" w:eastAsia="Tahoma" w:hAnsi="Tahoma" w:cs="Tahoma"/>
          <w:sz w:val="23"/>
        </w:rPr>
        <w:t xml:space="preserve">  </w:t>
      </w:r>
      <w:r>
        <w:rPr>
          <w:rFonts w:ascii="Tahoma" w:eastAsia="Tahoma" w:hAnsi="Tahoma" w:cs="Tahoma"/>
        </w:rPr>
        <w:t>26</w:t>
      </w:r>
      <w:proofErr w:type="gramEnd"/>
      <w:r>
        <w:rPr>
          <w:rFonts w:ascii="Tahoma" w:eastAsia="Tahoma" w:hAnsi="Tahoma" w:cs="Tahoma"/>
        </w:rPr>
        <w:t xml:space="preserve">(5):495-508. </w:t>
      </w:r>
    </w:p>
    <w:p w14:paraId="1A96AB27" w14:textId="77777777" w:rsidR="00503BF5" w:rsidRDefault="00000000">
      <w:pPr>
        <w:numPr>
          <w:ilvl w:val="0"/>
          <w:numId w:val="14"/>
        </w:numPr>
        <w:spacing w:after="3" w:line="247" w:lineRule="auto"/>
        <w:ind w:hanging="360"/>
        <w:jc w:val="both"/>
      </w:pPr>
      <w:proofErr w:type="spellStart"/>
      <w:r>
        <w:rPr>
          <w:rFonts w:ascii="Tahoma" w:eastAsia="Tahoma" w:hAnsi="Tahoma" w:cs="Tahoma"/>
        </w:rPr>
        <w:t>Akinlolu</w:t>
      </w:r>
      <w:proofErr w:type="spellEnd"/>
      <w:r>
        <w:rPr>
          <w:rFonts w:ascii="Tahoma" w:eastAsia="Tahoma" w:hAnsi="Tahoma" w:cs="Tahoma"/>
        </w:rPr>
        <w:t xml:space="preserve"> AA. Ebito G, Ameen M, Asogwa N, </w:t>
      </w:r>
      <w:proofErr w:type="spellStart"/>
      <w:r>
        <w:rPr>
          <w:rFonts w:ascii="Tahoma" w:eastAsia="Tahoma" w:hAnsi="Tahoma" w:cs="Tahoma"/>
        </w:rPr>
        <w:t>Odubela</w:t>
      </w:r>
      <w:proofErr w:type="spellEnd"/>
      <w:r>
        <w:rPr>
          <w:rFonts w:ascii="Tahoma" w:eastAsia="Tahoma" w:hAnsi="Tahoma" w:cs="Tahoma"/>
        </w:rPr>
        <w:t xml:space="preserve"> K, Akindele R, et al. 2022b. Cadmium  </w:t>
      </w:r>
    </w:p>
    <w:p w14:paraId="2130B80F" w14:textId="77777777" w:rsidR="00503BF5" w:rsidRDefault="00000000">
      <w:pPr>
        <w:numPr>
          <w:ilvl w:val="0"/>
          <w:numId w:val="14"/>
        </w:numPr>
        <w:spacing w:after="3" w:line="247" w:lineRule="auto"/>
        <w:ind w:hanging="360"/>
        <w:jc w:val="both"/>
      </w:pPr>
      <w:r>
        <w:rPr>
          <w:rFonts w:ascii="Tahoma" w:eastAsia="Tahoma" w:hAnsi="Tahoma" w:cs="Tahoma"/>
        </w:rPr>
        <w:t xml:space="preserve">Chloride-induced skin ulceration and inflammation in rats: anti-inflammatory potentials of Moringa oleifera and Musa </w:t>
      </w:r>
      <w:proofErr w:type="spellStart"/>
      <w:r>
        <w:rPr>
          <w:rFonts w:ascii="Tahoma" w:eastAsia="Tahoma" w:hAnsi="Tahoma" w:cs="Tahoma"/>
        </w:rPr>
        <w:t>sapientium</w:t>
      </w:r>
      <w:proofErr w:type="spellEnd"/>
      <w:r>
        <w:rPr>
          <w:rFonts w:ascii="Tahoma" w:eastAsia="Tahoma" w:hAnsi="Tahoma" w:cs="Tahoma"/>
        </w:rPr>
        <w:t xml:space="preserve"> via NF-KB/IL-4/1L-10- mediated pathway. Anat J </w:t>
      </w:r>
      <w:proofErr w:type="spellStart"/>
      <w:r>
        <w:rPr>
          <w:rFonts w:ascii="Tahoma" w:eastAsia="Tahoma" w:hAnsi="Tahoma" w:cs="Tahoma"/>
        </w:rPr>
        <w:t>Afr</w:t>
      </w:r>
      <w:proofErr w:type="spellEnd"/>
      <w:r>
        <w:rPr>
          <w:rFonts w:ascii="Tahoma" w:eastAsia="Tahoma" w:hAnsi="Tahoma" w:cs="Tahoma"/>
        </w:rPr>
        <w:t xml:space="preserve"> 11 (2):2285-2295. </w:t>
      </w:r>
    </w:p>
    <w:p w14:paraId="6511D676" w14:textId="77777777" w:rsidR="00503BF5" w:rsidRDefault="00000000">
      <w:pPr>
        <w:numPr>
          <w:ilvl w:val="0"/>
          <w:numId w:val="14"/>
        </w:numPr>
        <w:spacing w:after="3" w:line="247" w:lineRule="auto"/>
        <w:ind w:hanging="360"/>
        <w:jc w:val="both"/>
      </w:pPr>
      <w:r>
        <w:rPr>
          <w:rFonts w:ascii="Tahoma" w:eastAsia="Tahoma" w:hAnsi="Tahoma" w:cs="Tahoma"/>
        </w:rPr>
        <w:t xml:space="preserve">Ameen AA, </w:t>
      </w:r>
      <w:proofErr w:type="spellStart"/>
      <w:r>
        <w:rPr>
          <w:rFonts w:ascii="Tahoma" w:eastAsia="Tahoma" w:hAnsi="Tahoma" w:cs="Tahoma"/>
        </w:rPr>
        <w:t>Akinlolu</w:t>
      </w:r>
      <w:proofErr w:type="spellEnd"/>
      <w:r>
        <w:rPr>
          <w:rFonts w:ascii="Tahoma" w:eastAsia="Tahoma" w:hAnsi="Tahoma" w:cs="Tahoma"/>
        </w:rPr>
        <w:t xml:space="preserve"> AA. 2023. Chromatography-Spectroscopic isolated MO11 (M. oleifera) and MS06 (M. </w:t>
      </w:r>
      <w:proofErr w:type="spellStart"/>
      <w:r>
        <w:rPr>
          <w:rFonts w:ascii="Tahoma" w:eastAsia="Tahoma" w:hAnsi="Tahoma" w:cs="Tahoma"/>
        </w:rPr>
        <w:t>sapientum</w:t>
      </w:r>
      <w:proofErr w:type="spellEnd"/>
      <w:r>
        <w:rPr>
          <w:rFonts w:ascii="Tahoma" w:eastAsia="Tahoma" w:hAnsi="Tahoma" w:cs="Tahoma"/>
        </w:rPr>
        <w:t xml:space="preserve">) positively immunomodulated ACE2 levels in Blood, Kidney and Liver of rats. Malaysian J </w:t>
      </w:r>
      <w:proofErr w:type="spellStart"/>
      <w:r>
        <w:rPr>
          <w:rFonts w:ascii="Tahoma" w:eastAsia="Tahoma" w:hAnsi="Tahoma" w:cs="Tahoma"/>
        </w:rPr>
        <w:t>Pharmaceut</w:t>
      </w:r>
      <w:proofErr w:type="spellEnd"/>
      <w:r>
        <w:rPr>
          <w:rFonts w:ascii="Tahoma" w:eastAsia="Tahoma" w:hAnsi="Tahoma" w:cs="Tahoma"/>
        </w:rPr>
        <w:t xml:space="preserve"> Sci 21(1):15-30.  </w:t>
      </w:r>
    </w:p>
    <w:p w14:paraId="785D63DA" w14:textId="77777777" w:rsidR="00503BF5" w:rsidRDefault="00000000">
      <w:pPr>
        <w:numPr>
          <w:ilvl w:val="0"/>
          <w:numId w:val="14"/>
        </w:numPr>
        <w:spacing w:after="3" w:line="247" w:lineRule="auto"/>
        <w:ind w:hanging="360"/>
        <w:jc w:val="both"/>
      </w:pPr>
      <w:r>
        <w:rPr>
          <w:rFonts w:ascii="Tahoma" w:eastAsia="Tahoma" w:hAnsi="Tahoma" w:cs="Tahoma"/>
        </w:rPr>
        <w:t xml:space="preserve">Andjelkovic M, Buha DA, </w:t>
      </w:r>
      <w:proofErr w:type="spellStart"/>
      <w:r>
        <w:rPr>
          <w:rFonts w:ascii="Tahoma" w:eastAsia="Tahoma" w:hAnsi="Tahoma" w:cs="Tahoma"/>
        </w:rPr>
        <w:t>Antonijevic</w:t>
      </w:r>
      <w:proofErr w:type="spellEnd"/>
      <w:r>
        <w:rPr>
          <w:rFonts w:ascii="Tahoma" w:eastAsia="Tahoma" w:hAnsi="Tahoma" w:cs="Tahoma"/>
        </w:rPr>
        <w:t xml:space="preserve"> E, </w:t>
      </w:r>
      <w:proofErr w:type="spellStart"/>
      <w:r>
        <w:rPr>
          <w:rFonts w:ascii="Tahoma" w:eastAsia="Tahoma" w:hAnsi="Tahoma" w:cs="Tahoma"/>
        </w:rPr>
        <w:t>Antonijevic</w:t>
      </w:r>
      <w:proofErr w:type="spellEnd"/>
      <w:r>
        <w:rPr>
          <w:rFonts w:ascii="Tahoma" w:eastAsia="Tahoma" w:hAnsi="Tahoma" w:cs="Tahoma"/>
        </w:rPr>
        <w:t xml:space="preserve"> B, Stanic M, Kotur-</w:t>
      </w:r>
      <w:proofErr w:type="spellStart"/>
      <w:proofErr w:type="gramStart"/>
      <w:r>
        <w:rPr>
          <w:rFonts w:ascii="Tahoma" w:eastAsia="Tahoma" w:hAnsi="Tahoma" w:cs="Tahoma"/>
        </w:rPr>
        <w:t>Stevuljevic</w:t>
      </w:r>
      <w:proofErr w:type="spellEnd"/>
      <w:r>
        <w:rPr>
          <w:rFonts w:ascii="Tahoma" w:eastAsia="Tahoma" w:hAnsi="Tahoma" w:cs="Tahoma"/>
        </w:rPr>
        <w:t xml:space="preserve">  J</w:t>
      </w:r>
      <w:proofErr w:type="gramEnd"/>
      <w:r>
        <w:rPr>
          <w:rFonts w:ascii="Tahoma" w:eastAsia="Tahoma" w:hAnsi="Tahoma" w:cs="Tahoma"/>
        </w:rPr>
        <w:t xml:space="preserve">, et al. 2019. Toxic effect of acute Cadmium and Lead exposure in rat blood, liver, and kidney. Int J </w:t>
      </w:r>
      <w:proofErr w:type="spellStart"/>
      <w:r>
        <w:rPr>
          <w:rFonts w:ascii="Tahoma" w:eastAsia="Tahoma" w:hAnsi="Tahoma" w:cs="Tahoma"/>
        </w:rPr>
        <w:t>Envt</w:t>
      </w:r>
      <w:proofErr w:type="spellEnd"/>
      <w:r>
        <w:rPr>
          <w:rFonts w:ascii="Tahoma" w:eastAsia="Tahoma" w:hAnsi="Tahoma" w:cs="Tahoma"/>
        </w:rPr>
        <w:t xml:space="preserve"> Res Public Health 16(2):274.  </w:t>
      </w:r>
    </w:p>
    <w:p w14:paraId="31CC8D1F" w14:textId="77777777" w:rsidR="00503BF5" w:rsidRDefault="00000000">
      <w:pPr>
        <w:numPr>
          <w:ilvl w:val="0"/>
          <w:numId w:val="14"/>
        </w:numPr>
        <w:spacing w:after="3" w:line="247" w:lineRule="auto"/>
        <w:ind w:hanging="360"/>
        <w:jc w:val="both"/>
      </w:pPr>
      <w:r>
        <w:rPr>
          <w:rFonts w:ascii="Tahoma" w:eastAsia="Tahoma" w:hAnsi="Tahoma" w:cs="Tahoma"/>
        </w:rPr>
        <w:t xml:space="preserve">Bernhoft RA. 2013. Cadmium toxicity and treatment. Scient World J ArticleID394652:7. http://dx.doi.org/10.1155/2013/394652. </w:t>
      </w:r>
    </w:p>
    <w:p w14:paraId="0F4E9989" w14:textId="77777777" w:rsidR="00503BF5" w:rsidRDefault="00000000">
      <w:pPr>
        <w:numPr>
          <w:ilvl w:val="0"/>
          <w:numId w:val="14"/>
        </w:numPr>
        <w:spacing w:after="3" w:line="247" w:lineRule="auto"/>
        <w:ind w:hanging="360"/>
        <w:jc w:val="both"/>
      </w:pPr>
      <w:r>
        <w:rPr>
          <w:rFonts w:ascii="Tahoma" w:eastAsia="Tahoma" w:hAnsi="Tahoma" w:cs="Tahoma"/>
        </w:rPr>
        <w:t xml:space="preserve">Chaves N, Antonio S, Juan CA. 2020. Quantification of the antioxidant activity of plant extracts: analysis of sensitivity and hierarchization based on the method used. Antioxidants 9(1):76. https://doi.org/10.3390/antiox9010076. </w:t>
      </w:r>
    </w:p>
    <w:p w14:paraId="5564C3E2" w14:textId="77777777" w:rsidR="00503BF5" w:rsidRDefault="00000000">
      <w:pPr>
        <w:numPr>
          <w:ilvl w:val="0"/>
          <w:numId w:val="14"/>
        </w:numPr>
        <w:spacing w:after="3" w:line="247" w:lineRule="auto"/>
        <w:ind w:hanging="360"/>
        <w:jc w:val="both"/>
      </w:pPr>
      <w:r>
        <w:rPr>
          <w:rFonts w:ascii="Tahoma" w:eastAsia="Tahoma" w:hAnsi="Tahoma" w:cs="Tahoma"/>
        </w:rPr>
        <w:t xml:space="preserve">Dasari S, </w:t>
      </w:r>
      <w:proofErr w:type="spellStart"/>
      <w:r>
        <w:rPr>
          <w:rFonts w:ascii="Tahoma" w:eastAsia="Tahoma" w:hAnsi="Tahoma" w:cs="Tahoma"/>
        </w:rPr>
        <w:t>Tchounwou</w:t>
      </w:r>
      <w:proofErr w:type="spellEnd"/>
      <w:r>
        <w:rPr>
          <w:rFonts w:ascii="Tahoma" w:eastAsia="Tahoma" w:hAnsi="Tahoma" w:cs="Tahoma"/>
        </w:rPr>
        <w:t xml:space="preserve"> PB. 2014. Cisplatin in cancer therapy: molecular mechanisms of action. European J </w:t>
      </w:r>
      <w:proofErr w:type="spellStart"/>
      <w:r>
        <w:rPr>
          <w:rFonts w:ascii="Tahoma" w:eastAsia="Tahoma" w:hAnsi="Tahoma" w:cs="Tahoma"/>
        </w:rPr>
        <w:t>Pharmacol</w:t>
      </w:r>
      <w:proofErr w:type="spellEnd"/>
      <w:r>
        <w:rPr>
          <w:rFonts w:ascii="Tahoma" w:eastAsia="Tahoma" w:hAnsi="Tahoma" w:cs="Tahoma"/>
          <w:sz w:val="23"/>
        </w:rPr>
        <w:t xml:space="preserve"> </w:t>
      </w:r>
      <w:r>
        <w:rPr>
          <w:rFonts w:ascii="Tahoma" w:eastAsia="Tahoma" w:hAnsi="Tahoma" w:cs="Tahoma"/>
        </w:rPr>
        <w:t xml:space="preserve">740:364-378, 2014.  </w:t>
      </w:r>
    </w:p>
    <w:p w14:paraId="15BB87E6" w14:textId="77777777" w:rsidR="00503BF5" w:rsidRDefault="00000000">
      <w:pPr>
        <w:numPr>
          <w:ilvl w:val="0"/>
          <w:numId w:val="14"/>
        </w:numPr>
        <w:spacing w:after="3" w:line="247" w:lineRule="auto"/>
        <w:ind w:hanging="360"/>
        <w:jc w:val="both"/>
      </w:pPr>
      <w:r>
        <w:rPr>
          <w:rFonts w:ascii="Tahoma" w:eastAsia="Tahoma" w:hAnsi="Tahoma" w:cs="Tahoma"/>
        </w:rPr>
        <w:t xml:space="preserve">Dutta S, Ray S, </w:t>
      </w:r>
      <w:proofErr w:type="spellStart"/>
      <w:r>
        <w:rPr>
          <w:rFonts w:ascii="Tahoma" w:eastAsia="Tahoma" w:hAnsi="Tahoma" w:cs="Tahoma"/>
        </w:rPr>
        <w:t>Nagaran</w:t>
      </w:r>
      <w:proofErr w:type="spellEnd"/>
      <w:r>
        <w:rPr>
          <w:rFonts w:ascii="Tahoma" w:eastAsia="Tahoma" w:hAnsi="Tahoma" w:cs="Tahoma"/>
        </w:rPr>
        <w:t xml:space="preserve"> K. 2013. Glutamic acid as anticancer agent: An overview. Saudi </w:t>
      </w:r>
      <w:proofErr w:type="spellStart"/>
      <w:r>
        <w:rPr>
          <w:rFonts w:ascii="Tahoma" w:eastAsia="Tahoma" w:hAnsi="Tahoma" w:cs="Tahoma"/>
        </w:rPr>
        <w:t>Pharmaceut</w:t>
      </w:r>
      <w:proofErr w:type="spellEnd"/>
      <w:r>
        <w:rPr>
          <w:rFonts w:ascii="Tahoma" w:eastAsia="Tahoma" w:hAnsi="Tahoma" w:cs="Tahoma"/>
        </w:rPr>
        <w:t xml:space="preserve"> J, 21(4):337-343. </w:t>
      </w:r>
    </w:p>
    <w:p w14:paraId="56595161" w14:textId="77777777" w:rsidR="00503BF5" w:rsidRDefault="00000000">
      <w:pPr>
        <w:numPr>
          <w:ilvl w:val="0"/>
          <w:numId w:val="14"/>
        </w:numPr>
        <w:spacing w:after="3" w:line="247" w:lineRule="auto"/>
        <w:ind w:hanging="360"/>
        <w:jc w:val="both"/>
      </w:pPr>
      <w:r>
        <w:rPr>
          <w:rFonts w:ascii="Tahoma" w:eastAsia="Tahoma" w:hAnsi="Tahoma" w:cs="Tahoma"/>
        </w:rPr>
        <w:t xml:space="preserve">Elisha IL, Botha FS, McGaw LJ, Eloff JN. 2017. The antibacterial activity of extracts of nine plant species with good activity against Escherichia coli against five other bacteria and cytotoxicity of extracts. BMC Complement Alt Med 17(1):133. doi:10.1186/s12906-017-1645z. </w:t>
      </w:r>
    </w:p>
    <w:p w14:paraId="3B93D360" w14:textId="77777777" w:rsidR="00503BF5" w:rsidRDefault="00000000">
      <w:pPr>
        <w:numPr>
          <w:ilvl w:val="0"/>
          <w:numId w:val="14"/>
        </w:numPr>
        <w:spacing w:after="3" w:line="247" w:lineRule="auto"/>
        <w:ind w:hanging="360"/>
        <w:jc w:val="both"/>
      </w:pPr>
      <w:r>
        <w:rPr>
          <w:rFonts w:ascii="Tahoma" w:eastAsia="Tahoma" w:hAnsi="Tahoma" w:cs="Tahoma"/>
        </w:rPr>
        <w:t xml:space="preserve">Gupta R, Shukla RK, Pant AB, Khanna VK. 2018. A Dopamine-dependent activity in controlling the motor functions in Cadmium-induced neurotoxicity: Neuroprotective potential of Quercetin. Parkinsonism Related </w:t>
      </w:r>
      <w:proofErr w:type="spellStart"/>
      <w:proofErr w:type="gramStart"/>
      <w:r>
        <w:rPr>
          <w:rFonts w:ascii="Tahoma" w:eastAsia="Tahoma" w:hAnsi="Tahoma" w:cs="Tahoma"/>
        </w:rPr>
        <w:t>Disord</w:t>
      </w:r>
      <w:proofErr w:type="spellEnd"/>
      <w:r>
        <w:rPr>
          <w:rFonts w:ascii="Tahoma" w:eastAsia="Tahoma" w:hAnsi="Tahoma" w:cs="Tahoma"/>
        </w:rPr>
        <w:t xml:space="preserve">  46</w:t>
      </w:r>
      <w:proofErr w:type="gramEnd"/>
      <w:r>
        <w:rPr>
          <w:rFonts w:ascii="Tahoma" w:eastAsia="Tahoma" w:hAnsi="Tahoma" w:cs="Tahoma"/>
        </w:rPr>
        <w:t xml:space="preserve">(2):e39. </w:t>
      </w:r>
      <w:proofErr w:type="gramStart"/>
      <w:r>
        <w:rPr>
          <w:rFonts w:ascii="Tahoma" w:eastAsia="Tahoma" w:hAnsi="Tahoma" w:cs="Tahoma"/>
        </w:rPr>
        <w:t>doi:10.1016/j.parkreldis</w:t>
      </w:r>
      <w:proofErr w:type="gramEnd"/>
      <w:r>
        <w:rPr>
          <w:rFonts w:ascii="Tahoma" w:eastAsia="Tahoma" w:hAnsi="Tahoma" w:cs="Tahoma"/>
        </w:rPr>
        <w:t xml:space="preserve">.2017.11.127.  </w:t>
      </w:r>
    </w:p>
    <w:p w14:paraId="3120DB40" w14:textId="77777777" w:rsidR="00503BF5" w:rsidRDefault="00000000">
      <w:pPr>
        <w:numPr>
          <w:ilvl w:val="0"/>
          <w:numId w:val="14"/>
        </w:numPr>
        <w:spacing w:after="3" w:line="247" w:lineRule="auto"/>
        <w:ind w:hanging="360"/>
        <w:jc w:val="both"/>
      </w:pPr>
      <w:r>
        <w:rPr>
          <w:rFonts w:ascii="Tahoma" w:eastAsia="Tahoma" w:hAnsi="Tahoma" w:cs="Tahoma"/>
        </w:rPr>
        <w:t xml:space="preserve">Huff J, Lunn RM, Waalkes MP, </w:t>
      </w:r>
      <w:proofErr w:type="spellStart"/>
      <w:r>
        <w:rPr>
          <w:rFonts w:ascii="Tahoma" w:eastAsia="Tahoma" w:hAnsi="Tahoma" w:cs="Tahoma"/>
        </w:rPr>
        <w:t>Tomatis</w:t>
      </w:r>
      <w:proofErr w:type="spellEnd"/>
      <w:r>
        <w:rPr>
          <w:rFonts w:ascii="Tahoma" w:eastAsia="Tahoma" w:hAnsi="Tahoma" w:cs="Tahoma"/>
        </w:rPr>
        <w:t xml:space="preserve"> L, Infante PF. 2007. Cadmium-induced cancers in animals and in humans. Int J </w:t>
      </w:r>
      <w:proofErr w:type="spellStart"/>
      <w:r>
        <w:rPr>
          <w:rFonts w:ascii="Tahoma" w:eastAsia="Tahoma" w:hAnsi="Tahoma" w:cs="Tahoma"/>
        </w:rPr>
        <w:t>Occup</w:t>
      </w:r>
      <w:proofErr w:type="spellEnd"/>
      <w:r>
        <w:rPr>
          <w:rFonts w:ascii="Tahoma" w:eastAsia="Tahoma" w:hAnsi="Tahoma" w:cs="Tahoma"/>
        </w:rPr>
        <w:t xml:space="preserve"> Env Health 13(2):202-12.  </w:t>
      </w:r>
    </w:p>
    <w:p w14:paraId="5487E3C4" w14:textId="77777777" w:rsidR="00503BF5" w:rsidRDefault="00000000">
      <w:pPr>
        <w:numPr>
          <w:ilvl w:val="0"/>
          <w:numId w:val="14"/>
        </w:numPr>
        <w:spacing w:after="3" w:line="247" w:lineRule="auto"/>
        <w:ind w:hanging="360"/>
        <w:jc w:val="both"/>
      </w:pPr>
      <w:r>
        <w:rPr>
          <w:rFonts w:ascii="Tahoma" w:eastAsia="Tahoma" w:hAnsi="Tahoma" w:cs="Tahoma"/>
        </w:rPr>
        <w:t xml:space="preserve">Kuol N, </w:t>
      </w:r>
      <w:proofErr w:type="spellStart"/>
      <w:r>
        <w:rPr>
          <w:rFonts w:ascii="Tahoma" w:eastAsia="Tahoma" w:hAnsi="Tahoma" w:cs="Tahoma"/>
        </w:rPr>
        <w:t>Stojanovska</w:t>
      </w:r>
      <w:proofErr w:type="spellEnd"/>
      <w:r>
        <w:rPr>
          <w:rFonts w:ascii="Tahoma" w:eastAsia="Tahoma" w:hAnsi="Tahoma" w:cs="Tahoma"/>
        </w:rPr>
        <w:t xml:space="preserve"> L, Apostolopoulos V, </w:t>
      </w:r>
      <w:proofErr w:type="spellStart"/>
      <w:r>
        <w:rPr>
          <w:rFonts w:ascii="Tahoma" w:eastAsia="Tahoma" w:hAnsi="Tahoma" w:cs="Tahoma"/>
        </w:rPr>
        <w:t>Nurgali</w:t>
      </w:r>
      <w:proofErr w:type="spellEnd"/>
      <w:r>
        <w:rPr>
          <w:rFonts w:ascii="Tahoma" w:eastAsia="Tahoma" w:hAnsi="Tahoma" w:cs="Tahoma"/>
        </w:rPr>
        <w:t xml:space="preserve"> K. 2018. Role of the nervous system in cancer metastasis. J Exp Clin Cancer Res 37:5. DOI 10.1186/s13046-018-0674-x. </w:t>
      </w:r>
    </w:p>
    <w:p w14:paraId="7C39B4E9" w14:textId="77777777" w:rsidR="00503BF5" w:rsidRDefault="00000000">
      <w:pPr>
        <w:numPr>
          <w:ilvl w:val="0"/>
          <w:numId w:val="14"/>
        </w:numPr>
        <w:spacing w:after="3" w:line="247" w:lineRule="auto"/>
        <w:ind w:hanging="360"/>
        <w:jc w:val="both"/>
      </w:pPr>
      <w:r>
        <w:rPr>
          <w:rFonts w:ascii="Tahoma" w:eastAsia="Tahoma" w:hAnsi="Tahoma" w:cs="Tahoma"/>
        </w:rPr>
        <w:lastRenderedPageBreak/>
        <w:t xml:space="preserve">Lafuente A, </w:t>
      </w:r>
      <w:proofErr w:type="spellStart"/>
      <w:r>
        <w:rPr>
          <w:rFonts w:ascii="Tahoma" w:eastAsia="Tahoma" w:hAnsi="Tahoma" w:cs="Tahoma"/>
        </w:rPr>
        <w:t>Esquifino</w:t>
      </w:r>
      <w:proofErr w:type="spellEnd"/>
      <w:r>
        <w:rPr>
          <w:rFonts w:ascii="Tahoma" w:eastAsia="Tahoma" w:hAnsi="Tahoma" w:cs="Tahoma"/>
        </w:rPr>
        <w:t xml:space="preserve"> AI. 2002. Possible role of Glutamate, Aspartate, Glutamine, GABA or Taurine on Cadmium toxicity in the hypothalamic pituitary axis activity in adult male rats. </w:t>
      </w:r>
      <w:proofErr w:type="spellStart"/>
      <w:r>
        <w:rPr>
          <w:rFonts w:ascii="Tahoma" w:eastAsia="Tahoma" w:hAnsi="Tahoma" w:cs="Tahoma"/>
        </w:rPr>
        <w:t>Biometals</w:t>
      </w:r>
      <w:proofErr w:type="spellEnd"/>
      <w:r>
        <w:rPr>
          <w:rFonts w:ascii="Tahoma" w:eastAsia="Tahoma" w:hAnsi="Tahoma" w:cs="Tahoma"/>
        </w:rPr>
        <w:t xml:space="preserve"> 15(2):183-187.  </w:t>
      </w:r>
    </w:p>
    <w:p w14:paraId="4CDE3F43" w14:textId="77777777" w:rsidR="00503BF5" w:rsidRDefault="00000000">
      <w:pPr>
        <w:numPr>
          <w:ilvl w:val="0"/>
          <w:numId w:val="14"/>
        </w:numPr>
        <w:spacing w:after="3" w:line="247" w:lineRule="auto"/>
        <w:ind w:hanging="360"/>
        <w:jc w:val="both"/>
      </w:pPr>
      <w:r>
        <w:rPr>
          <w:rFonts w:ascii="Tahoma" w:eastAsia="Tahoma" w:hAnsi="Tahoma" w:cs="Tahoma"/>
        </w:rPr>
        <w:t xml:space="preserve">Lan YL, Wang X, Xing JS, Yu ZL, Lou JC, Ma XC, et al. 2017. Anticancer effects of dopamine in human glioma: involvement of mitochondrial apoptotic and anti-inflammatory pathways. </w:t>
      </w:r>
      <w:proofErr w:type="spellStart"/>
      <w:r>
        <w:rPr>
          <w:rFonts w:ascii="Tahoma" w:eastAsia="Tahoma" w:hAnsi="Tahoma" w:cs="Tahoma"/>
          <w:sz w:val="23"/>
        </w:rPr>
        <w:t>Oncotarget</w:t>
      </w:r>
      <w:proofErr w:type="spellEnd"/>
      <w:r>
        <w:rPr>
          <w:rFonts w:ascii="Tahoma" w:eastAsia="Tahoma" w:hAnsi="Tahoma" w:cs="Tahoma"/>
          <w:sz w:val="23"/>
        </w:rPr>
        <w:t xml:space="preserve">, </w:t>
      </w:r>
      <w:r>
        <w:rPr>
          <w:rFonts w:ascii="Tahoma" w:eastAsia="Tahoma" w:hAnsi="Tahoma" w:cs="Tahoma"/>
        </w:rPr>
        <w:t xml:space="preserve">8(51): 88488-88500. </w:t>
      </w:r>
      <w:proofErr w:type="spellStart"/>
      <w:r>
        <w:rPr>
          <w:rFonts w:ascii="Tahoma" w:eastAsia="Tahoma" w:hAnsi="Tahoma" w:cs="Tahoma"/>
        </w:rPr>
        <w:t>doi</w:t>
      </w:r>
      <w:proofErr w:type="spellEnd"/>
      <w:r>
        <w:rPr>
          <w:rFonts w:ascii="Tahoma" w:eastAsia="Tahoma" w:hAnsi="Tahoma" w:cs="Tahoma"/>
        </w:rPr>
        <w:t>: 10.18632/</w:t>
      </w:r>
      <w:proofErr w:type="spellStart"/>
      <w:r>
        <w:rPr>
          <w:rFonts w:ascii="Tahoma" w:eastAsia="Tahoma" w:hAnsi="Tahoma" w:cs="Tahoma"/>
        </w:rPr>
        <w:t>oncotar</w:t>
      </w:r>
      <w:proofErr w:type="spellEnd"/>
      <w:r>
        <w:rPr>
          <w:rFonts w:ascii="Tahoma" w:eastAsia="Tahoma" w:hAnsi="Tahoma" w:cs="Tahoma"/>
        </w:rPr>
        <w:t xml:space="preserve">. </w:t>
      </w:r>
    </w:p>
    <w:p w14:paraId="052DC77C" w14:textId="77777777" w:rsidR="00503BF5" w:rsidRDefault="00000000">
      <w:pPr>
        <w:numPr>
          <w:ilvl w:val="0"/>
          <w:numId w:val="14"/>
        </w:numPr>
        <w:spacing w:after="3" w:line="247" w:lineRule="auto"/>
        <w:ind w:hanging="360"/>
        <w:jc w:val="both"/>
      </w:pPr>
      <w:r>
        <w:rPr>
          <w:rFonts w:ascii="Tahoma" w:eastAsia="Tahoma" w:hAnsi="Tahoma" w:cs="Tahoma"/>
        </w:rPr>
        <w:t xml:space="preserve">Lansdown AB, Sampson B. 1996. Dermal toxicity and percutaneous absorption of cadmium in rats and mice. Lab Animal Sci, 46(5):549-54.  </w:t>
      </w:r>
    </w:p>
    <w:p w14:paraId="484A80DE" w14:textId="77777777" w:rsidR="00503BF5" w:rsidRDefault="00000000">
      <w:pPr>
        <w:numPr>
          <w:ilvl w:val="0"/>
          <w:numId w:val="14"/>
        </w:numPr>
        <w:spacing w:after="3" w:line="247" w:lineRule="auto"/>
        <w:ind w:hanging="360"/>
        <w:jc w:val="both"/>
      </w:pPr>
      <w:r>
        <w:rPr>
          <w:rFonts w:ascii="Tahoma" w:eastAsia="Tahoma" w:hAnsi="Tahoma" w:cs="Tahoma"/>
        </w:rPr>
        <w:t xml:space="preserve">Lansdown AB, King H, Aubert RE. 2001. Experimental observations in the rat on the influence of cadmium on skin wound repair. Intern J Exp </w:t>
      </w:r>
      <w:proofErr w:type="spellStart"/>
      <w:r>
        <w:rPr>
          <w:rFonts w:ascii="Tahoma" w:eastAsia="Tahoma" w:hAnsi="Tahoma" w:cs="Tahoma"/>
        </w:rPr>
        <w:t>Pathol</w:t>
      </w:r>
      <w:proofErr w:type="spellEnd"/>
      <w:r>
        <w:rPr>
          <w:rFonts w:ascii="Tahoma" w:eastAsia="Tahoma" w:hAnsi="Tahoma" w:cs="Tahoma"/>
        </w:rPr>
        <w:t xml:space="preserve"> 82(1):35-41.  </w:t>
      </w:r>
    </w:p>
    <w:p w14:paraId="6D3E8D8D" w14:textId="77777777" w:rsidR="00503BF5" w:rsidRDefault="00000000">
      <w:pPr>
        <w:numPr>
          <w:ilvl w:val="0"/>
          <w:numId w:val="14"/>
        </w:numPr>
        <w:spacing w:after="3" w:line="247" w:lineRule="auto"/>
        <w:ind w:hanging="360"/>
        <w:jc w:val="both"/>
      </w:pPr>
      <w:r>
        <w:rPr>
          <w:rFonts w:ascii="Tahoma" w:eastAsia="Tahoma" w:hAnsi="Tahoma" w:cs="Tahoma"/>
        </w:rPr>
        <w:t xml:space="preserve">Lee JH, Park E, </w:t>
      </w:r>
      <w:proofErr w:type="spellStart"/>
      <w:r>
        <w:rPr>
          <w:rFonts w:ascii="Tahoma" w:eastAsia="Tahoma" w:hAnsi="Tahoma" w:cs="Tahoma"/>
        </w:rPr>
        <w:t>Jin</w:t>
      </w:r>
      <w:proofErr w:type="spellEnd"/>
      <w:r>
        <w:rPr>
          <w:rFonts w:ascii="Tahoma" w:eastAsia="Tahoma" w:hAnsi="Tahoma" w:cs="Tahoma"/>
        </w:rPr>
        <w:t xml:space="preserve"> HJ, Lee Y, Choi SJ, Lee GW, et al. 2017. Anti- inflammatory and anti-genotoxic activity of branched chain amino acids (BCAA) in lipopolysaccharide (LPS) stimulated RAW 264.7 macrophage. Food Sci </w:t>
      </w:r>
      <w:proofErr w:type="spellStart"/>
      <w:r>
        <w:rPr>
          <w:rFonts w:ascii="Tahoma" w:eastAsia="Tahoma" w:hAnsi="Tahoma" w:cs="Tahoma"/>
        </w:rPr>
        <w:t>Biotechnol</w:t>
      </w:r>
      <w:proofErr w:type="spellEnd"/>
      <w:r>
        <w:rPr>
          <w:rFonts w:ascii="Tahoma" w:eastAsia="Tahoma" w:hAnsi="Tahoma" w:cs="Tahoma"/>
        </w:rPr>
        <w:t xml:space="preserve"> 26(5):1371-1377.  </w:t>
      </w:r>
    </w:p>
    <w:p w14:paraId="13C95050" w14:textId="77777777" w:rsidR="00503BF5" w:rsidRDefault="00000000">
      <w:pPr>
        <w:numPr>
          <w:ilvl w:val="0"/>
          <w:numId w:val="14"/>
        </w:numPr>
        <w:spacing w:after="3" w:line="247" w:lineRule="auto"/>
        <w:ind w:hanging="360"/>
        <w:jc w:val="both"/>
      </w:pPr>
      <w:r>
        <w:rPr>
          <w:rFonts w:ascii="Tahoma" w:eastAsia="Tahoma" w:hAnsi="Tahoma" w:cs="Tahoma"/>
        </w:rPr>
        <w:t xml:space="preserve">Liaw FY, Chen WL, Kao TW, Chang YW, Huang CF. 2017. Exploring the link between cadmium and psoriasis in a nationally representative sample. Scient Rep Article 1723:1-7. </w:t>
      </w:r>
    </w:p>
    <w:p w14:paraId="2D1ACABB" w14:textId="77777777" w:rsidR="00503BF5" w:rsidRDefault="00000000">
      <w:pPr>
        <w:spacing w:after="0"/>
        <w:ind w:left="360"/>
      </w:pPr>
      <w:r>
        <w:rPr>
          <w:rFonts w:ascii="Tahoma" w:eastAsia="Tahoma" w:hAnsi="Tahoma" w:cs="Tahoma"/>
          <w:u w:val="single" w:color="000000"/>
        </w:rPr>
        <w:t>https://doi.org/10.1038/s41598-017-01827-9</w:t>
      </w:r>
      <w:r>
        <w:rPr>
          <w:rFonts w:ascii="Tahoma" w:eastAsia="Tahoma" w:hAnsi="Tahoma" w:cs="Tahoma"/>
        </w:rPr>
        <w:t xml:space="preserve">. </w:t>
      </w:r>
    </w:p>
    <w:p w14:paraId="77E02E37" w14:textId="77777777" w:rsidR="00503BF5" w:rsidRDefault="00000000">
      <w:pPr>
        <w:numPr>
          <w:ilvl w:val="0"/>
          <w:numId w:val="14"/>
        </w:numPr>
        <w:spacing w:after="3" w:line="247" w:lineRule="auto"/>
        <w:ind w:hanging="360"/>
        <w:jc w:val="both"/>
      </w:pPr>
      <w:r>
        <w:rPr>
          <w:rFonts w:ascii="Tahoma" w:eastAsia="Tahoma" w:hAnsi="Tahoma" w:cs="Tahoma"/>
        </w:rPr>
        <w:t xml:space="preserve">Lieu EL, Nguyen T, Rhyne S, Kim J. 2020. Amino acids in cancer. Exp Mol Medicine 52:15-30.  </w:t>
      </w:r>
    </w:p>
    <w:p w14:paraId="6E59DC5A" w14:textId="77777777" w:rsidR="00503BF5" w:rsidRDefault="00000000">
      <w:pPr>
        <w:numPr>
          <w:ilvl w:val="0"/>
          <w:numId w:val="14"/>
        </w:numPr>
        <w:spacing w:after="3" w:line="247" w:lineRule="auto"/>
        <w:ind w:hanging="360"/>
        <w:jc w:val="both"/>
      </w:pPr>
      <w:hyperlink r:id="rId24">
        <w:r>
          <w:rPr>
            <w:rFonts w:ascii="Tahoma" w:eastAsia="Tahoma" w:hAnsi="Tahoma" w:cs="Tahoma"/>
          </w:rPr>
          <w:t>Mahoney ER, Dumitrescu L, Moore AM, Camb</w:t>
        </w:r>
      </w:hyperlink>
      <w:r>
        <w:rPr>
          <w:rFonts w:ascii="Tahoma" w:eastAsia="Tahoma" w:hAnsi="Tahoma" w:cs="Tahoma"/>
        </w:rPr>
        <w:t xml:space="preserve">ronero FE, De Jager P, Koran ME, et al. 2021.  </w:t>
      </w:r>
    </w:p>
    <w:p w14:paraId="086769F3" w14:textId="77777777" w:rsidR="00503BF5" w:rsidRDefault="00000000">
      <w:pPr>
        <w:numPr>
          <w:ilvl w:val="0"/>
          <w:numId w:val="14"/>
        </w:numPr>
        <w:spacing w:after="3" w:line="247" w:lineRule="auto"/>
        <w:ind w:hanging="360"/>
        <w:jc w:val="both"/>
      </w:pPr>
      <w:r>
        <w:rPr>
          <w:rFonts w:ascii="Tahoma" w:eastAsia="Tahoma" w:hAnsi="Tahoma" w:cs="Tahoma"/>
        </w:rPr>
        <w:t xml:space="preserve">Brain expression of the vascular endothelial growth factor gene family in cognitive aging and </w:t>
      </w:r>
      <w:proofErr w:type="spellStart"/>
      <w:r>
        <w:rPr>
          <w:rFonts w:ascii="Tahoma" w:eastAsia="Tahoma" w:hAnsi="Tahoma" w:cs="Tahoma"/>
        </w:rPr>
        <w:t>alzheimer’s</w:t>
      </w:r>
      <w:proofErr w:type="spellEnd"/>
      <w:r>
        <w:rPr>
          <w:rFonts w:ascii="Tahoma" w:eastAsia="Tahoma" w:hAnsi="Tahoma" w:cs="Tahoma"/>
        </w:rPr>
        <w:t xml:space="preserve"> disease. Mol Psychiatry 26:888-896. </w:t>
      </w:r>
    </w:p>
    <w:p w14:paraId="02584F7F" w14:textId="77777777" w:rsidR="00503BF5" w:rsidRDefault="00000000">
      <w:pPr>
        <w:numPr>
          <w:ilvl w:val="0"/>
          <w:numId w:val="14"/>
        </w:numPr>
        <w:spacing w:after="3" w:line="247" w:lineRule="auto"/>
        <w:ind w:hanging="360"/>
        <w:jc w:val="both"/>
      </w:pPr>
      <w:r>
        <w:rPr>
          <w:rFonts w:ascii="Tahoma" w:eastAsia="Tahoma" w:hAnsi="Tahoma" w:cs="Tahoma"/>
        </w:rPr>
        <w:t xml:space="preserve">Manikandan P, Nagini S. 2018. Cytochrome P450 structure, function and clinical significance: A review. </w:t>
      </w:r>
      <w:proofErr w:type="spellStart"/>
      <w:r>
        <w:rPr>
          <w:rFonts w:ascii="Tahoma" w:eastAsia="Tahoma" w:hAnsi="Tahoma" w:cs="Tahoma"/>
        </w:rPr>
        <w:t>Curr</w:t>
      </w:r>
      <w:proofErr w:type="spellEnd"/>
      <w:r>
        <w:rPr>
          <w:rFonts w:ascii="Tahoma" w:eastAsia="Tahoma" w:hAnsi="Tahoma" w:cs="Tahoma"/>
        </w:rPr>
        <w:t xml:space="preserve"> Drug Targets 19(1):38-54.  </w:t>
      </w:r>
    </w:p>
    <w:p w14:paraId="10EE61CE" w14:textId="77777777" w:rsidR="00503BF5" w:rsidRDefault="00000000">
      <w:pPr>
        <w:numPr>
          <w:ilvl w:val="0"/>
          <w:numId w:val="14"/>
        </w:numPr>
        <w:spacing w:after="3" w:line="247" w:lineRule="auto"/>
        <w:ind w:hanging="360"/>
        <w:jc w:val="both"/>
      </w:pPr>
      <w:r>
        <w:rPr>
          <w:rFonts w:ascii="Tahoma" w:eastAsia="Tahoma" w:hAnsi="Tahoma" w:cs="Tahoma"/>
        </w:rPr>
        <w:t xml:space="preserve">Muller C, Bauer N, </w:t>
      </w:r>
      <w:proofErr w:type="spellStart"/>
      <w:r>
        <w:rPr>
          <w:rFonts w:ascii="Tahoma" w:eastAsia="Tahoma" w:hAnsi="Tahoma" w:cs="Tahoma"/>
        </w:rPr>
        <w:t>Schã¤Fer</w:t>
      </w:r>
      <w:proofErr w:type="spellEnd"/>
      <w:r>
        <w:rPr>
          <w:rFonts w:ascii="Tahoma" w:eastAsia="Tahoma" w:hAnsi="Tahoma" w:cs="Tahoma"/>
        </w:rPr>
        <w:t xml:space="preserve"> I, White R. 2013. Making Myelin Basic Protein- from mRNA transport to localized translation. </w:t>
      </w:r>
      <w:r>
        <w:rPr>
          <w:rFonts w:ascii="Tahoma" w:eastAsia="Tahoma" w:hAnsi="Tahoma" w:cs="Tahoma"/>
          <w:sz w:val="23"/>
        </w:rPr>
        <w:t xml:space="preserve">Front Cellular </w:t>
      </w:r>
      <w:proofErr w:type="spellStart"/>
      <w:r>
        <w:rPr>
          <w:rFonts w:ascii="Tahoma" w:eastAsia="Tahoma" w:hAnsi="Tahoma" w:cs="Tahoma"/>
          <w:sz w:val="23"/>
        </w:rPr>
        <w:t>Neurosci</w:t>
      </w:r>
      <w:proofErr w:type="spellEnd"/>
      <w:r>
        <w:rPr>
          <w:rFonts w:ascii="Tahoma" w:eastAsia="Tahoma" w:hAnsi="Tahoma" w:cs="Tahoma"/>
        </w:rPr>
        <w:t xml:space="preserve"> 7:169. </w:t>
      </w:r>
    </w:p>
    <w:p w14:paraId="242AC4D3" w14:textId="77777777" w:rsidR="00503BF5" w:rsidRDefault="00000000">
      <w:pPr>
        <w:spacing w:after="3" w:line="247" w:lineRule="auto"/>
        <w:ind w:left="370" w:hanging="10"/>
        <w:jc w:val="both"/>
      </w:pPr>
      <w:r>
        <w:rPr>
          <w:rFonts w:ascii="Tahoma" w:eastAsia="Tahoma" w:hAnsi="Tahoma" w:cs="Tahoma"/>
        </w:rPr>
        <w:t xml:space="preserve">DOI=10.3389/fncel.2013.00169.   </w:t>
      </w:r>
    </w:p>
    <w:p w14:paraId="17CDAAD9" w14:textId="77777777" w:rsidR="00503BF5" w:rsidRDefault="00000000">
      <w:pPr>
        <w:numPr>
          <w:ilvl w:val="0"/>
          <w:numId w:val="14"/>
        </w:numPr>
        <w:spacing w:after="3" w:line="247" w:lineRule="auto"/>
        <w:ind w:hanging="360"/>
        <w:jc w:val="both"/>
      </w:pPr>
      <w:r>
        <w:rPr>
          <w:rFonts w:ascii="Tahoma" w:eastAsia="Tahoma" w:hAnsi="Tahoma" w:cs="Tahoma"/>
        </w:rPr>
        <w:t xml:space="preserve">Noori S, </w:t>
      </w:r>
      <w:proofErr w:type="spellStart"/>
      <w:r>
        <w:rPr>
          <w:rFonts w:ascii="Tahoma" w:eastAsia="Tahoma" w:hAnsi="Tahoma" w:cs="Tahoma"/>
        </w:rPr>
        <w:t>Friedlich</w:t>
      </w:r>
      <w:proofErr w:type="spellEnd"/>
      <w:r>
        <w:rPr>
          <w:rFonts w:ascii="Tahoma" w:eastAsia="Tahoma" w:hAnsi="Tahoma" w:cs="Tahoma"/>
        </w:rPr>
        <w:t xml:space="preserve"> P, Seri I. 2015. Pharmacology review: Developmentally regulated cardiovascular, renal, and neuroendocrine effects of Dopamine. </w:t>
      </w:r>
      <w:proofErr w:type="spellStart"/>
      <w:r>
        <w:rPr>
          <w:rFonts w:ascii="Tahoma" w:eastAsia="Tahoma" w:hAnsi="Tahoma" w:cs="Tahoma"/>
        </w:rPr>
        <w:t>NeoRev</w:t>
      </w:r>
      <w:proofErr w:type="spellEnd"/>
      <w:r>
        <w:rPr>
          <w:rFonts w:ascii="Tahoma" w:eastAsia="Tahoma" w:hAnsi="Tahoma" w:cs="Tahoma"/>
        </w:rPr>
        <w:t xml:space="preserve"> 4(10</w:t>
      </w:r>
      <w:proofErr w:type="gramStart"/>
      <w:r>
        <w:rPr>
          <w:rFonts w:ascii="Tahoma" w:eastAsia="Tahoma" w:hAnsi="Tahoma" w:cs="Tahoma"/>
        </w:rPr>
        <w:t>):e</w:t>
      </w:r>
      <w:proofErr w:type="gramEnd"/>
      <w:r>
        <w:rPr>
          <w:rFonts w:ascii="Tahoma" w:eastAsia="Tahoma" w:hAnsi="Tahoma" w:cs="Tahoma"/>
        </w:rPr>
        <w:t xml:space="preserve">283-e288. </w:t>
      </w:r>
    </w:p>
    <w:p w14:paraId="481FF24A" w14:textId="77777777" w:rsidR="00503BF5" w:rsidRDefault="00000000">
      <w:pPr>
        <w:numPr>
          <w:ilvl w:val="0"/>
          <w:numId w:val="14"/>
        </w:numPr>
        <w:spacing w:after="3" w:line="247" w:lineRule="auto"/>
        <w:ind w:hanging="360"/>
        <w:jc w:val="both"/>
      </w:pPr>
      <w:r>
        <w:rPr>
          <w:rFonts w:ascii="Tahoma" w:eastAsia="Tahoma" w:hAnsi="Tahoma" w:cs="Tahoma"/>
          <w:u w:val="single" w:color="000000"/>
        </w:rPr>
        <w:t>Omotoso GO</w:t>
      </w:r>
      <w:r>
        <w:rPr>
          <w:rFonts w:ascii="Tahoma" w:eastAsia="Tahoma" w:hAnsi="Tahoma" w:cs="Tahoma"/>
        </w:rPr>
        <w:t xml:space="preserve">, Kadir ER, </w:t>
      </w:r>
      <w:proofErr w:type="spellStart"/>
      <w:r>
        <w:rPr>
          <w:rFonts w:ascii="Tahoma" w:eastAsia="Tahoma" w:hAnsi="Tahoma" w:cs="Tahoma"/>
        </w:rPr>
        <w:t>Lewu</w:t>
      </w:r>
      <w:proofErr w:type="spellEnd"/>
      <w:r>
        <w:rPr>
          <w:rFonts w:ascii="Tahoma" w:eastAsia="Tahoma" w:hAnsi="Tahoma" w:cs="Tahoma"/>
        </w:rPr>
        <w:t xml:space="preserve"> SF, </w:t>
      </w:r>
      <w:r>
        <w:rPr>
          <w:rFonts w:ascii="Tahoma" w:eastAsia="Tahoma" w:hAnsi="Tahoma" w:cs="Tahoma"/>
          <w:u w:val="single" w:color="000000"/>
        </w:rPr>
        <w:t>Gbadamosi IT</w:t>
      </w:r>
      <w:r>
        <w:rPr>
          <w:rFonts w:ascii="Tahoma" w:eastAsia="Tahoma" w:hAnsi="Tahoma" w:cs="Tahoma"/>
        </w:rPr>
        <w:t xml:space="preserve">, </w:t>
      </w:r>
      <w:proofErr w:type="spellStart"/>
      <w:r>
        <w:rPr>
          <w:rFonts w:ascii="Tahoma" w:eastAsia="Tahoma" w:hAnsi="Tahoma" w:cs="Tahoma"/>
          <w:u w:val="single" w:color="000000"/>
        </w:rPr>
        <w:t>Akinlolu</w:t>
      </w:r>
      <w:proofErr w:type="spellEnd"/>
      <w:r>
        <w:rPr>
          <w:rFonts w:ascii="Tahoma" w:eastAsia="Tahoma" w:hAnsi="Tahoma" w:cs="Tahoma"/>
          <w:u w:val="single" w:color="000000"/>
        </w:rPr>
        <w:t xml:space="preserve"> A</w:t>
      </w:r>
      <w:r>
        <w:rPr>
          <w:rFonts w:ascii="Tahoma" w:eastAsia="Tahoma" w:hAnsi="Tahoma" w:cs="Tahoma"/>
        </w:rPr>
        <w:t xml:space="preserve">A, </w:t>
      </w:r>
      <w:proofErr w:type="spellStart"/>
      <w:r>
        <w:rPr>
          <w:rFonts w:ascii="Tahoma" w:eastAsia="Tahoma" w:hAnsi="Tahoma" w:cs="Tahoma"/>
        </w:rPr>
        <w:t>Adunmo</w:t>
      </w:r>
      <w:proofErr w:type="spellEnd"/>
      <w:r>
        <w:rPr>
          <w:rFonts w:ascii="Tahoma" w:eastAsia="Tahoma" w:hAnsi="Tahoma" w:cs="Tahoma"/>
        </w:rPr>
        <w:t xml:space="preserve"> GO, et al. 2018. </w:t>
      </w:r>
    </w:p>
    <w:p w14:paraId="0C9EE836" w14:textId="77777777" w:rsidR="00503BF5" w:rsidRDefault="00000000">
      <w:pPr>
        <w:numPr>
          <w:ilvl w:val="0"/>
          <w:numId w:val="14"/>
        </w:numPr>
        <w:spacing w:after="3" w:line="247" w:lineRule="auto"/>
        <w:ind w:hanging="360"/>
        <w:jc w:val="both"/>
      </w:pPr>
      <w:r>
        <w:rPr>
          <w:rFonts w:ascii="Tahoma" w:eastAsia="Tahoma" w:hAnsi="Tahoma" w:cs="Tahoma"/>
        </w:rPr>
        <w:t xml:space="preserve">Moringa oleifera ameliorates cuprizone-induced cerebellar damage in adult female rats. Res J </w:t>
      </w:r>
      <w:hyperlink r:id="rId25">
        <w:r>
          <w:rPr>
            <w:rFonts w:ascii="Tahoma" w:eastAsia="Tahoma" w:hAnsi="Tahoma" w:cs="Tahoma"/>
          </w:rPr>
          <w:t>Health Sci 6(1</w:t>
        </w:r>
      </w:hyperlink>
      <w:r>
        <w:rPr>
          <w:rFonts w:ascii="Tahoma" w:eastAsia="Tahoma" w:hAnsi="Tahoma" w:cs="Tahoma"/>
        </w:rPr>
        <w:t xml:space="preserve">):13-25.  </w:t>
      </w:r>
    </w:p>
    <w:p w14:paraId="473F259A" w14:textId="77777777" w:rsidR="00503BF5" w:rsidRDefault="00000000">
      <w:pPr>
        <w:numPr>
          <w:ilvl w:val="0"/>
          <w:numId w:val="14"/>
        </w:numPr>
        <w:spacing w:after="3" w:line="247" w:lineRule="auto"/>
        <w:ind w:hanging="360"/>
        <w:jc w:val="both"/>
      </w:pPr>
      <w:r>
        <w:rPr>
          <w:rFonts w:ascii="Tahoma" w:eastAsia="Tahoma" w:hAnsi="Tahoma" w:cs="Tahoma"/>
        </w:rPr>
        <w:t xml:space="preserve">Omotoso GO, Gbadamosi IT, Afolabi TT, Abdulwahab AB, </w:t>
      </w:r>
      <w:proofErr w:type="spellStart"/>
      <w:r>
        <w:rPr>
          <w:rFonts w:ascii="Tahoma" w:eastAsia="Tahoma" w:hAnsi="Tahoma" w:cs="Tahoma"/>
        </w:rPr>
        <w:t>Akinlolu</w:t>
      </w:r>
      <w:proofErr w:type="spellEnd"/>
      <w:r>
        <w:rPr>
          <w:rFonts w:ascii="Tahoma" w:eastAsia="Tahoma" w:hAnsi="Tahoma" w:cs="Tahoma"/>
        </w:rPr>
        <w:t xml:space="preserve"> AA. 2018b. Ameliorative effects of Moringa on cuprizone-induced memory decline in rat model of multiple sclerosis. Anat Cell Biol 51(2):119-127.  </w:t>
      </w:r>
    </w:p>
    <w:p w14:paraId="5C925172" w14:textId="77777777" w:rsidR="00503BF5" w:rsidRDefault="00000000">
      <w:pPr>
        <w:numPr>
          <w:ilvl w:val="0"/>
          <w:numId w:val="14"/>
        </w:numPr>
        <w:spacing w:after="3" w:line="247" w:lineRule="auto"/>
        <w:ind w:hanging="360"/>
        <w:jc w:val="both"/>
      </w:pPr>
      <w:r>
        <w:rPr>
          <w:rFonts w:ascii="Tahoma" w:eastAsia="Tahoma" w:hAnsi="Tahoma" w:cs="Tahoma"/>
        </w:rPr>
        <w:t>Rodriguez-</w:t>
      </w:r>
      <w:proofErr w:type="spellStart"/>
      <w:r>
        <w:rPr>
          <w:rFonts w:ascii="Tahoma" w:eastAsia="Tahoma" w:hAnsi="Tahoma" w:cs="Tahoma"/>
        </w:rPr>
        <w:t>antona</w:t>
      </w:r>
      <w:proofErr w:type="spellEnd"/>
      <w:r>
        <w:rPr>
          <w:rFonts w:ascii="Tahoma" w:eastAsia="Tahoma" w:hAnsi="Tahoma" w:cs="Tahoma"/>
        </w:rPr>
        <w:t xml:space="preserve"> C, Ingelman-</w:t>
      </w:r>
      <w:proofErr w:type="spellStart"/>
      <w:r>
        <w:rPr>
          <w:rFonts w:ascii="Tahoma" w:eastAsia="Tahoma" w:hAnsi="Tahoma" w:cs="Tahoma"/>
        </w:rPr>
        <w:t>sundberg</w:t>
      </w:r>
      <w:proofErr w:type="spellEnd"/>
      <w:r>
        <w:rPr>
          <w:rFonts w:ascii="Tahoma" w:eastAsia="Tahoma" w:hAnsi="Tahoma" w:cs="Tahoma"/>
        </w:rPr>
        <w:t xml:space="preserve"> M. 2006. Cytochrome P450 pharmacogenetics and cancer. Oncogene 25:1679-1691. </w:t>
      </w:r>
    </w:p>
    <w:p w14:paraId="744B6DB5" w14:textId="77777777" w:rsidR="00503BF5" w:rsidRDefault="00000000">
      <w:pPr>
        <w:numPr>
          <w:ilvl w:val="0"/>
          <w:numId w:val="14"/>
        </w:numPr>
        <w:spacing w:after="3" w:line="247" w:lineRule="auto"/>
        <w:ind w:hanging="360"/>
        <w:jc w:val="both"/>
      </w:pPr>
      <w:r>
        <w:rPr>
          <w:rFonts w:ascii="Tahoma" w:eastAsia="Tahoma" w:hAnsi="Tahoma" w:cs="Tahoma"/>
        </w:rPr>
        <w:t xml:space="preserve">Wang B, Du Y. 2013. Cadmium and its neurotoxic effects. Oxid Medicine Cellular </w:t>
      </w:r>
      <w:proofErr w:type="spellStart"/>
      <w:r>
        <w:rPr>
          <w:rFonts w:ascii="Tahoma" w:eastAsia="Tahoma" w:hAnsi="Tahoma" w:cs="Tahoma"/>
        </w:rPr>
        <w:t>Longev</w:t>
      </w:r>
      <w:proofErr w:type="spellEnd"/>
      <w:r>
        <w:rPr>
          <w:rFonts w:ascii="Tahoma" w:eastAsia="Tahoma" w:hAnsi="Tahoma" w:cs="Tahoma"/>
        </w:rPr>
        <w:t xml:space="preserve"> 898034. http://doi:10.1155/2013/898034. </w:t>
      </w:r>
    </w:p>
    <w:p w14:paraId="0CBCBD28" w14:textId="77777777" w:rsidR="00503BF5" w:rsidRDefault="00000000">
      <w:pPr>
        <w:numPr>
          <w:ilvl w:val="0"/>
          <w:numId w:val="14"/>
        </w:numPr>
        <w:spacing w:after="3" w:line="247" w:lineRule="auto"/>
        <w:ind w:hanging="360"/>
        <w:jc w:val="both"/>
      </w:pPr>
      <w:r>
        <w:rPr>
          <w:rFonts w:ascii="Tahoma" w:eastAsia="Tahoma" w:hAnsi="Tahoma" w:cs="Tahoma"/>
        </w:rPr>
        <w:t xml:space="preserve">Wester RC, Maibach HI, Sedik L, Melendres J, Dizio S, Wade M. 1992. In vitro percutaneous absorption of cadmium from water and soil into human skin. Fundamentals Appl </w:t>
      </w:r>
      <w:proofErr w:type="spellStart"/>
      <w:r>
        <w:rPr>
          <w:rFonts w:ascii="Tahoma" w:eastAsia="Tahoma" w:hAnsi="Tahoma" w:cs="Tahoma"/>
        </w:rPr>
        <w:t>Toxicol</w:t>
      </w:r>
      <w:proofErr w:type="spellEnd"/>
      <w:r>
        <w:rPr>
          <w:rFonts w:ascii="Tahoma" w:eastAsia="Tahoma" w:hAnsi="Tahoma" w:cs="Tahoma"/>
        </w:rPr>
        <w:t xml:space="preserve"> 19:15. </w:t>
      </w:r>
      <w:proofErr w:type="spellStart"/>
      <w:r>
        <w:rPr>
          <w:rFonts w:ascii="Tahoma" w:eastAsia="Tahoma" w:hAnsi="Tahoma" w:cs="Tahoma"/>
        </w:rPr>
        <w:t>doi</w:t>
      </w:r>
      <w:proofErr w:type="spellEnd"/>
      <w:r>
        <w:rPr>
          <w:rFonts w:ascii="Tahoma" w:eastAsia="Tahoma" w:hAnsi="Tahoma" w:cs="Tahoma"/>
        </w:rPr>
        <w:t xml:space="preserve">: 10.1016/0272-0590(92)90021-9. </w:t>
      </w:r>
    </w:p>
    <w:p w14:paraId="3FB15982" w14:textId="77777777" w:rsidR="00503BF5" w:rsidRDefault="00000000">
      <w:pPr>
        <w:numPr>
          <w:ilvl w:val="0"/>
          <w:numId w:val="14"/>
        </w:numPr>
        <w:spacing w:after="3" w:line="247" w:lineRule="auto"/>
        <w:ind w:hanging="360"/>
        <w:jc w:val="both"/>
      </w:pPr>
      <w:proofErr w:type="gramStart"/>
      <w:r>
        <w:rPr>
          <w:rFonts w:ascii="Tahoma" w:eastAsia="Tahoma" w:hAnsi="Tahoma" w:cs="Tahoma"/>
        </w:rPr>
        <w:t>Yi  H</w:t>
      </w:r>
      <w:proofErr w:type="gramEnd"/>
      <w:r>
        <w:rPr>
          <w:rFonts w:ascii="Tahoma" w:eastAsia="Tahoma" w:hAnsi="Tahoma" w:cs="Tahoma"/>
        </w:rPr>
        <w:t xml:space="preserve">, Talmon G, Wang J. 2019. Glutamate in cancers: from metabolism to signaling. J Biomed Res 34(4):260-270. </w:t>
      </w:r>
      <w:proofErr w:type="spellStart"/>
      <w:r>
        <w:rPr>
          <w:rFonts w:ascii="Tahoma" w:eastAsia="Tahoma" w:hAnsi="Tahoma" w:cs="Tahoma"/>
        </w:rPr>
        <w:t>doi</w:t>
      </w:r>
      <w:proofErr w:type="spellEnd"/>
      <w:r>
        <w:rPr>
          <w:rFonts w:ascii="Tahoma" w:eastAsia="Tahoma" w:hAnsi="Tahoma" w:cs="Tahoma"/>
        </w:rPr>
        <w:t xml:space="preserve">: 10.7555/JBR.34.20190037.  </w:t>
      </w:r>
    </w:p>
    <w:p w14:paraId="11C3AFFD" w14:textId="77777777" w:rsidR="00503BF5" w:rsidRDefault="00000000">
      <w:pPr>
        <w:numPr>
          <w:ilvl w:val="0"/>
          <w:numId w:val="14"/>
        </w:numPr>
        <w:spacing w:after="3" w:line="247" w:lineRule="auto"/>
        <w:ind w:hanging="360"/>
        <w:jc w:val="both"/>
      </w:pPr>
      <w:r>
        <w:rPr>
          <w:rFonts w:ascii="Tahoma" w:eastAsia="Tahoma" w:hAnsi="Tahoma" w:cs="Tahoma"/>
        </w:rPr>
        <w:t xml:space="preserve">Zhou Y, Danbolt NC. 2014. Glutamate as a neurotransmitter in the healthy brain. J Neural Transmission 121(8):799-817.  </w:t>
      </w:r>
    </w:p>
    <w:p w14:paraId="1B4335A2" w14:textId="77777777" w:rsidR="00503BF5" w:rsidRDefault="00000000">
      <w:pPr>
        <w:numPr>
          <w:ilvl w:val="0"/>
          <w:numId w:val="14"/>
        </w:numPr>
        <w:spacing w:after="4" w:line="237" w:lineRule="auto"/>
        <w:ind w:hanging="360"/>
        <w:jc w:val="both"/>
      </w:pPr>
      <w:r>
        <w:rPr>
          <w:rFonts w:ascii="Tahoma" w:eastAsia="Tahoma" w:hAnsi="Tahoma" w:cs="Tahoma"/>
        </w:rPr>
        <w:t xml:space="preserve">Ziyu W, Xie Q, Zhou H, Zhang M, Shen J, Ju D. 2020. Amino Acid degrading enzymes and autophagy </w:t>
      </w:r>
      <w:r>
        <w:rPr>
          <w:rFonts w:ascii="Tahoma" w:eastAsia="Tahoma" w:hAnsi="Tahoma" w:cs="Tahoma"/>
        </w:rPr>
        <w:tab/>
        <w:t xml:space="preserve">in </w:t>
      </w:r>
      <w:r>
        <w:rPr>
          <w:rFonts w:ascii="Tahoma" w:eastAsia="Tahoma" w:hAnsi="Tahoma" w:cs="Tahoma"/>
        </w:rPr>
        <w:tab/>
        <w:t xml:space="preserve">cancer </w:t>
      </w:r>
      <w:r>
        <w:rPr>
          <w:rFonts w:ascii="Tahoma" w:eastAsia="Tahoma" w:hAnsi="Tahoma" w:cs="Tahoma"/>
        </w:rPr>
        <w:tab/>
        <w:t xml:space="preserve">therapy. </w:t>
      </w:r>
      <w:r>
        <w:rPr>
          <w:rFonts w:ascii="Tahoma" w:eastAsia="Tahoma" w:hAnsi="Tahoma" w:cs="Tahoma"/>
        </w:rPr>
        <w:tab/>
        <w:t xml:space="preserve">Front </w:t>
      </w:r>
      <w:r>
        <w:rPr>
          <w:rFonts w:ascii="Tahoma" w:eastAsia="Tahoma" w:hAnsi="Tahoma" w:cs="Tahoma"/>
        </w:rPr>
        <w:tab/>
      </w:r>
      <w:proofErr w:type="spellStart"/>
      <w:r>
        <w:rPr>
          <w:rFonts w:ascii="Tahoma" w:eastAsia="Tahoma" w:hAnsi="Tahoma" w:cs="Tahoma"/>
        </w:rPr>
        <w:t>Pharmacol</w:t>
      </w:r>
      <w:proofErr w:type="spellEnd"/>
      <w:r>
        <w:rPr>
          <w:rFonts w:ascii="Tahoma" w:eastAsia="Tahoma" w:hAnsi="Tahoma" w:cs="Tahoma"/>
        </w:rPr>
        <w:t xml:space="preserve"> </w:t>
      </w:r>
      <w:r>
        <w:rPr>
          <w:rFonts w:ascii="Tahoma" w:eastAsia="Tahoma" w:hAnsi="Tahoma" w:cs="Tahoma"/>
        </w:rPr>
        <w:tab/>
        <w:t xml:space="preserve">Article10.3389:1-8. </w:t>
      </w:r>
      <w:r>
        <w:rPr>
          <w:rFonts w:ascii="Tahoma" w:eastAsia="Tahoma" w:hAnsi="Tahoma" w:cs="Tahoma"/>
          <w:u w:val="single" w:color="000000"/>
        </w:rPr>
        <w:t>https://doi.org/10.3389/fphar.2020.582587</w:t>
      </w:r>
      <w:r>
        <w:rPr>
          <w:rFonts w:ascii="Tahoma" w:eastAsia="Tahoma" w:hAnsi="Tahoma" w:cs="Tahoma"/>
        </w:rPr>
        <w:t xml:space="preserve">.    </w:t>
      </w:r>
    </w:p>
    <w:p w14:paraId="7C6D4E95" w14:textId="77777777" w:rsidR="00503BF5" w:rsidRDefault="00000000">
      <w:pPr>
        <w:spacing w:after="0"/>
        <w:ind w:left="360"/>
      </w:pPr>
      <w:r>
        <w:rPr>
          <w:rFonts w:ascii="Tahoma" w:eastAsia="Tahoma" w:hAnsi="Tahoma" w:cs="Tahoma"/>
        </w:rPr>
        <w:t xml:space="preserve"> </w:t>
      </w:r>
    </w:p>
    <w:p w14:paraId="4245DC39" w14:textId="77777777" w:rsidR="00503BF5" w:rsidRDefault="00000000" w:rsidP="00096D73">
      <w:pPr>
        <w:pBdr>
          <w:top w:val="single" w:sz="6" w:space="0" w:color="D6DCE5"/>
          <w:left w:val="single" w:sz="6" w:space="0" w:color="D6DCE5"/>
          <w:bottom w:val="single" w:sz="6" w:space="0" w:color="D6DCE5"/>
          <w:right w:val="single" w:sz="6" w:space="0" w:color="D6DCE5"/>
        </w:pBdr>
        <w:shd w:val="clear" w:color="auto" w:fill="DAE3F3"/>
        <w:spacing w:after="98"/>
      </w:pPr>
      <w:r>
        <w:rPr>
          <w:rFonts w:ascii="Tahoma" w:eastAsia="Tahoma" w:hAnsi="Tahoma" w:cs="Tahoma"/>
        </w:rPr>
        <w:lastRenderedPageBreak/>
        <w:t xml:space="preserve"> </w:t>
      </w:r>
    </w:p>
    <w:sectPr w:rsidR="00503BF5" w:rsidSect="00096D73">
      <w:headerReference w:type="even" r:id="rId26"/>
      <w:headerReference w:type="default" r:id="rId27"/>
      <w:footerReference w:type="even" r:id="rId28"/>
      <w:footerReference w:type="default" r:id="rId29"/>
      <w:headerReference w:type="first" r:id="rId30"/>
      <w:footerReference w:type="first" r:id="rId31"/>
      <w:pgSz w:w="12240" w:h="16340"/>
      <w:pgMar w:top="687" w:right="1435" w:bottom="2032" w:left="1440" w:header="721" w:footer="122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8A248C" w14:textId="77777777" w:rsidR="00894F3C" w:rsidRDefault="00894F3C">
      <w:pPr>
        <w:spacing w:after="0" w:line="240" w:lineRule="auto"/>
      </w:pPr>
      <w:r>
        <w:separator/>
      </w:r>
    </w:p>
  </w:endnote>
  <w:endnote w:type="continuationSeparator" w:id="0">
    <w:p w14:paraId="49CB577D" w14:textId="77777777" w:rsidR="00894F3C" w:rsidRDefault="00894F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9CB535" w14:textId="77777777" w:rsidR="00503BF5" w:rsidRDefault="00000000">
    <w:pPr>
      <w:spacing w:after="0"/>
      <w:ind w:right="4"/>
      <w:jc w:val="center"/>
    </w:pPr>
    <w:r>
      <w:fldChar w:fldCharType="begin"/>
    </w:r>
    <w:r>
      <w:instrText xml:space="preserve"> PAGE   \* MERGEFORMAT </w:instrText>
    </w:r>
    <w:r>
      <w:fldChar w:fldCharType="separate"/>
    </w:r>
    <w:r>
      <w:t>2337</w:t>
    </w:r>
    <w:r>
      <w:fldChar w:fldCharType="end"/>
    </w:r>
    <w:r>
      <w:t xml:space="preserve"> </w:t>
    </w:r>
  </w:p>
  <w:p w14:paraId="60E0A1F8" w14:textId="77777777" w:rsidR="00503BF5" w:rsidRDefault="00000000">
    <w:pPr>
      <w:spacing w:after="0"/>
    </w:pP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C90BCA" w14:textId="77777777" w:rsidR="00503BF5" w:rsidRDefault="00000000">
    <w:pPr>
      <w:spacing w:after="0"/>
      <w:ind w:right="4"/>
      <w:jc w:val="center"/>
    </w:pPr>
    <w:r>
      <w:fldChar w:fldCharType="begin"/>
    </w:r>
    <w:r>
      <w:instrText xml:space="preserve"> PAGE   \* MERGEFORMAT </w:instrText>
    </w:r>
    <w:r>
      <w:fldChar w:fldCharType="separate"/>
    </w:r>
    <w:r>
      <w:t>2337</w:t>
    </w:r>
    <w:r>
      <w:fldChar w:fldCharType="end"/>
    </w:r>
    <w:r>
      <w:t xml:space="preserve"> </w:t>
    </w:r>
  </w:p>
  <w:p w14:paraId="02D63348" w14:textId="77777777" w:rsidR="00503BF5" w:rsidRDefault="00000000">
    <w:pPr>
      <w:spacing w:after="0"/>
    </w:pP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EDA917" w14:textId="77777777" w:rsidR="00503BF5" w:rsidRDefault="00000000">
    <w:pPr>
      <w:spacing w:after="0"/>
      <w:ind w:right="4"/>
      <w:jc w:val="center"/>
    </w:pPr>
    <w:r>
      <w:fldChar w:fldCharType="begin"/>
    </w:r>
    <w:r>
      <w:instrText xml:space="preserve"> PAGE   \* MERGEFORMAT </w:instrText>
    </w:r>
    <w:r>
      <w:fldChar w:fldCharType="separate"/>
    </w:r>
    <w:r>
      <w:t>2337</w:t>
    </w:r>
    <w:r>
      <w:fldChar w:fldCharType="end"/>
    </w:r>
    <w:r>
      <w:t xml:space="preserve"> </w:t>
    </w:r>
  </w:p>
  <w:p w14:paraId="647CA2CE" w14:textId="77777777" w:rsidR="00503BF5" w:rsidRDefault="00000000">
    <w:pPr>
      <w:spacing w:after="0"/>
    </w:pPr>
    <w:r>
      <w:t xml:space="preserve"> </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62D879" w14:textId="77777777" w:rsidR="00503BF5" w:rsidRDefault="00000000">
    <w:pPr>
      <w:spacing w:after="0"/>
      <w:ind w:right="3"/>
      <w:jc w:val="center"/>
    </w:pPr>
    <w:r>
      <w:fldChar w:fldCharType="begin"/>
    </w:r>
    <w:r>
      <w:instrText xml:space="preserve"> PAGE   \* MERGEFORMAT </w:instrText>
    </w:r>
    <w:r>
      <w:fldChar w:fldCharType="separate"/>
    </w:r>
    <w:r>
      <w:t>2337</w:t>
    </w:r>
    <w:r>
      <w:fldChar w:fldCharType="end"/>
    </w:r>
    <w:r>
      <w:t xml:space="preserve"> </w:t>
    </w:r>
  </w:p>
  <w:p w14:paraId="62177345" w14:textId="77777777" w:rsidR="00503BF5" w:rsidRDefault="00000000">
    <w:pPr>
      <w:spacing w:after="0"/>
    </w:pPr>
    <w: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032ED1" w14:textId="77777777" w:rsidR="00503BF5" w:rsidRDefault="00000000">
    <w:pPr>
      <w:spacing w:after="0"/>
      <w:ind w:right="3"/>
      <w:jc w:val="center"/>
    </w:pPr>
    <w:r>
      <w:fldChar w:fldCharType="begin"/>
    </w:r>
    <w:r>
      <w:instrText xml:space="preserve"> PAGE   \* MERGEFORMAT </w:instrText>
    </w:r>
    <w:r>
      <w:fldChar w:fldCharType="separate"/>
    </w:r>
    <w:r>
      <w:t>2337</w:t>
    </w:r>
    <w:r>
      <w:fldChar w:fldCharType="end"/>
    </w:r>
    <w:r>
      <w:t xml:space="preserve"> </w:t>
    </w:r>
  </w:p>
  <w:p w14:paraId="7D27AD29" w14:textId="77777777" w:rsidR="00503BF5" w:rsidRDefault="00000000">
    <w:pPr>
      <w:spacing w:after="0"/>
    </w:pPr>
    <w:r>
      <w:t xml:space="preserve"> </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2DC6A0" w14:textId="77777777" w:rsidR="00503BF5" w:rsidRDefault="00000000">
    <w:pPr>
      <w:spacing w:after="0"/>
      <w:ind w:right="3"/>
      <w:jc w:val="center"/>
    </w:pPr>
    <w:r>
      <w:fldChar w:fldCharType="begin"/>
    </w:r>
    <w:r>
      <w:instrText xml:space="preserve"> PAGE   \* MERGEFORMAT </w:instrText>
    </w:r>
    <w:r>
      <w:fldChar w:fldCharType="separate"/>
    </w:r>
    <w:r>
      <w:t>2337</w:t>
    </w:r>
    <w:r>
      <w:fldChar w:fldCharType="end"/>
    </w:r>
    <w:r>
      <w:t xml:space="preserve"> </w:t>
    </w:r>
  </w:p>
  <w:p w14:paraId="2229B8E6" w14:textId="77777777" w:rsidR="00503BF5" w:rsidRDefault="00000000">
    <w:pPr>
      <w:spacing w:after="0"/>
    </w:pPr>
    <w:r>
      <w:t xml:space="preserve"> </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8D4101" w14:textId="77777777" w:rsidR="00503BF5" w:rsidRDefault="00000000">
    <w:pPr>
      <w:spacing w:after="0"/>
      <w:ind w:right="4"/>
      <w:jc w:val="center"/>
    </w:pPr>
    <w:r>
      <w:fldChar w:fldCharType="begin"/>
    </w:r>
    <w:r>
      <w:instrText xml:space="preserve"> PAGE   \* MERGEFORMAT </w:instrText>
    </w:r>
    <w:r>
      <w:fldChar w:fldCharType="separate"/>
    </w:r>
    <w:r>
      <w:t>2337</w:t>
    </w:r>
    <w:r>
      <w:fldChar w:fldCharType="end"/>
    </w:r>
    <w:r>
      <w:t xml:space="preserve"> </w:t>
    </w:r>
  </w:p>
  <w:p w14:paraId="460383BA" w14:textId="77777777" w:rsidR="00503BF5" w:rsidRDefault="00000000">
    <w:pPr>
      <w:spacing w:after="0"/>
    </w:pPr>
    <w:r>
      <w:t xml:space="preserve"> </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01C757" w14:textId="77777777" w:rsidR="00503BF5" w:rsidRDefault="00000000">
    <w:pPr>
      <w:spacing w:after="0"/>
      <w:ind w:right="4"/>
      <w:jc w:val="center"/>
    </w:pPr>
    <w:r>
      <w:fldChar w:fldCharType="begin"/>
    </w:r>
    <w:r>
      <w:instrText xml:space="preserve"> PAGE   \* MERGEFORMAT </w:instrText>
    </w:r>
    <w:r>
      <w:fldChar w:fldCharType="separate"/>
    </w:r>
    <w:r>
      <w:t>2337</w:t>
    </w:r>
    <w:r>
      <w:fldChar w:fldCharType="end"/>
    </w:r>
    <w:r>
      <w:t xml:space="preserve"> </w:t>
    </w:r>
  </w:p>
  <w:p w14:paraId="294934E4" w14:textId="77777777" w:rsidR="00503BF5" w:rsidRDefault="00000000">
    <w:pPr>
      <w:spacing w:after="0"/>
    </w:pPr>
    <w:r>
      <w:t xml:space="preserve"> </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0E5160" w14:textId="77777777" w:rsidR="00503BF5" w:rsidRDefault="00000000">
    <w:pPr>
      <w:spacing w:after="0"/>
      <w:ind w:right="4"/>
      <w:jc w:val="center"/>
    </w:pPr>
    <w:r>
      <w:fldChar w:fldCharType="begin"/>
    </w:r>
    <w:r>
      <w:instrText xml:space="preserve"> PAGE   \* MERGEFORMAT </w:instrText>
    </w:r>
    <w:r>
      <w:fldChar w:fldCharType="separate"/>
    </w:r>
    <w:r>
      <w:t>2337</w:t>
    </w:r>
    <w:r>
      <w:fldChar w:fldCharType="end"/>
    </w:r>
    <w:r>
      <w:t xml:space="preserve"> </w:t>
    </w:r>
  </w:p>
  <w:p w14:paraId="18549064" w14:textId="77777777" w:rsidR="00503BF5" w:rsidRDefault="00000000">
    <w:pPr>
      <w:spacing w:after="0"/>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4EC999" w14:textId="77777777" w:rsidR="00894F3C" w:rsidRDefault="00894F3C">
      <w:pPr>
        <w:spacing w:after="0" w:line="240" w:lineRule="auto"/>
      </w:pPr>
      <w:r>
        <w:separator/>
      </w:r>
    </w:p>
  </w:footnote>
  <w:footnote w:type="continuationSeparator" w:id="0">
    <w:p w14:paraId="3D656BB5" w14:textId="77777777" w:rsidR="00894F3C" w:rsidRDefault="00894F3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26DAD7" w14:textId="77777777" w:rsidR="00503BF5" w:rsidRDefault="00000000">
    <w:pPr>
      <w:spacing w:after="0"/>
      <w:ind w:right="7"/>
      <w:jc w:val="right"/>
    </w:pPr>
    <w:r>
      <w:rPr>
        <w:rFonts w:ascii="Tahoma" w:eastAsia="Tahoma" w:hAnsi="Tahoma" w:cs="Tahoma"/>
      </w:rPr>
      <w:t xml:space="preserve">Anatomy Journal of Africa. 2023. Vol 12 (2): 2393-2401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DCC8D7" w14:textId="77777777" w:rsidR="00503BF5" w:rsidRDefault="00000000">
    <w:pPr>
      <w:spacing w:after="0"/>
      <w:ind w:right="7"/>
      <w:jc w:val="right"/>
    </w:pPr>
    <w:r>
      <w:rPr>
        <w:rFonts w:ascii="Tahoma" w:eastAsia="Tahoma" w:hAnsi="Tahoma" w:cs="Tahoma"/>
      </w:rPr>
      <w:t xml:space="preserve">Anatomy Journal of Africa. 2023. Vol 12 (2): 2393-2401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1397E8" w14:textId="77777777" w:rsidR="00503BF5" w:rsidRDefault="00000000">
    <w:pPr>
      <w:spacing w:after="0"/>
      <w:ind w:right="7"/>
      <w:jc w:val="right"/>
    </w:pPr>
    <w:r>
      <w:rPr>
        <w:rFonts w:ascii="Tahoma" w:eastAsia="Tahoma" w:hAnsi="Tahoma" w:cs="Tahoma"/>
      </w:rPr>
      <w:t xml:space="preserve">Anatomy Journal of Africa. 2023. Vol 12 (2): 2393-2401 </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0C2C20" w14:textId="77777777" w:rsidR="00503BF5" w:rsidRDefault="00000000">
    <w:pPr>
      <w:spacing w:after="0"/>
      <w:ind w:right="6"/>
      <w:jc w:val="right"/>
    </w:pPr>
    <w:r>
      <w:rPr>
        <w:rFonts w:ascii="Tahoma" w:eastAsia="Tahoma" w:hAnsi="Tahoma" w:cs="Tahoma"/>
      </w:rPr>
      <w:t xml:space="preserve">Anatomy Journal of Africa. 2023. Vol 12 (2): 2402-2413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0A8FAC" w14:textId="77777777" w:rsidR="00503BF5" w:rsidRDefault="00000000">
    <w:pPr>
      <w:spacing w:after="0"/>
      <w:ind w:right="6"/>
      <w:jc w:val="right"/>
    </w:pPr>
    <w:r>
      <w:rPr>
        <w:rFonts w:ascii="Tahoma" w:eastAsia="Tahoma" w:hAnsi="Tahoma" w:cs="Tahoma"/>
      </w:rPr>
      <w:t xml:space="preserve">Anatomy Journal of Africa. 2023. Vol 12 (2): 2402-2413 </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F82484" w14:textId="77777777" w:rsidR="00503BF5" w:rsidRDefault="00000000">
    <w:pPr>
      <w:spacing w:after="0"/>
      <w:ind w:right="6"/>
      <w:jc w:val="right"/>
    </w:pPr>
    <w:r>
      <w:rPr>
        <w:rFonts w:ascii="Tahoma" w:eastAsia="Tahoma" w:hAnsi="Tahoma" w:cs="Tahoma"/>
      </w:rPr>
      <w:t xml:space="preserve">Anatomy Journal of Africa. 2023. Vol 12 (2): 2402-2413 </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AC8DD9" w14:textId="77777777" w:rsidR="00503BF5" w:rsidRDefault="00000000">
    <w:pPr>
      <w:spacing w:after="0"/>
      <w:ind w:right="7"/>
      <w:jc w:val="right"/>
    </w:pPr>
    <w:r>
      <w:rPr>
        <w:rFonts w:ascii="Tahoma" w:eastAsia="Tahoma" w:hAnsi="Tahoma" w:cs="Tahoma"/>
      </w:rPr>
      <w:t xml:space="preserve">Anatomy Journal of Africa. 2023. Vol 12 (2): 2455-2462 </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C45527" w14:textId="77777777" w:rsidR="00503BF5" w:rsidRDefault="00000000">
    <w:pPr>
      <w:spacing w:after="0"/>
      <w:ind w:right="7"/>
      <w:jc w:val="right"/>
    </w:pPr>
    <w:r>
      <w:rPr>
        <w:rFonts w:ascii="Tahoma" w:eastAsia="Tahoma" w:hAnsi="Tahoma" w:cs="Tahoma"/>
      </w:rPr>
      <w:t xml:space="preserve">Anatomy Journal of Africa. 2023. Vol 12 (2): 2455-2462 </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49C0FB" w14:textId="77777777" w:rsidR="00503BF5" w:rsidRDefault="00000000">
    <w:pPr>
      <w:spacing w:after="0"/>
      <w:ind w:right="7"/>
      <w:jc w:val="right"/>
    </w:pPr>
    <w:r>
      <w:rPr>
        <w:rFonts w:ascii="Tahoma" w:eastAsia="Tahoma" w:hAnsi="Tahoma" w:cs="Tahoma"/>
      </w:rPr>
      <w:t xml:space="preserve">Anatomy Journal of Africa. 2023. Vol 12 (2): 2455-2462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B555D7"/>
    <w:multiLevelType w:val="hybridMultilevel"/>
    <w:tmpl w:val="CC1610F2"/>
    <w:lvl w:ilvl="0" w:tplc="9446B79A">
      <w:start w:val="1"/>
      <w:numFmt w:val="decimal"/>
      <w:lvlText w:val="%1."/>
      <w:lvlJc w:val="left"/>
      <w:pPr>
        <w:ind w:left="361"/>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1" w:tplc="0EC62382">
      <w:start w:val="1"/>
      <w:numFmt w:val="lowerLetter"/>
      <w:lvlText w:val="%2"/>
      <w:lvlJc w:val="left"/>
      <w:pPr>
        <w:ind w:left="108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2" w:tplc="91E8E1F4">
      <w:start w:val="1"/>
      <w:numFmt w:val="lowerRoman"/>
      <w:lvlText w:val="%3"/>
      <w:lvlJc w:val="left"/>
      <w:pPr>
        <w:ind w:left="180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3" w:tplc="F0EAE034">
      <w:start w:val="1"/>
      <w:numFmt w:val="decimal"/>
      <w:lvlText w:val="%4"/>
      <w:lvlJc w:val="left"/>
      <w:pPr>
        <w:ind w:left="252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4" w:tplc="EC460098">
      <w:start w:val="1"/>
      <w:numFmt w:val="lowerLetter"/>
      <w:lvlText w:val="%5"/>
      <w:lvlJc w:val="left"/>
      <w:pPr>
        <w:ind w:left="324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5" w:tplc="14C05740">
      <w:start w:val="1"/>
      <w:numFmt w:val="lowerRoman"/>
      <w:lvlText w:val="%6"/>
      <w:lvlJc w:val="left"/>
      <w:pPr>
        <w:ind w:left="396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6" w:tplc="A7C01AD4">
      <w:start w:val="1"/>
      <w:numFmt w:val="decimal"/>
      <w:lvlText w:val="%7"/>
      <w:lvlJc w:val="left"/>
      <w:pPr>
        <w:ind w:left="468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7" w:tplc="B56C6B42">
      <w:start w:val="1"/>
      <w:numFmt w:val="lowerLetter"/>
      <w:lvlText w:val="%8"/>
      <w:lvlJc w:val="left"/>
      <w:pPr>
        <w:ind w:left="540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8" w:tplc="4D84559E">
      <w:start w:val="1"/>
      <w:numFmt w:val="lowerRoman"/>
      <w:lvlText w:val="%9"/>
      <w:lvlJc w:val="left"/>
      <w:pPr>
        <w:ind w:left="612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068B36CA"/>
    <w:multiLevelType w:val="hybridMultilevel"/>
    <w:tmpl w:val="58449C2C"/>
    <w:lvl w:ilvl="0" w:tplc="F1FE4DE8">
      <w:start w:val="1"/>
      <w:numFmt w:val="lowerLetter"/>
      <w:lvlText w:val="%1."/>
      <w:lvlJc w:val="left"/>
      <w:pPr>
        <w:ind w:left="409"/>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lvl w:ilvl="1" w:tplc="2F3ED73A">
      <w:start w:val="1"/>
      <w:numFmt w:val="lowerLetter"/>
      <w:lvlText w:val="%2"/>
      <w:lvlJc w:val="left"/>
      <w:pPr>
        <w:ind w:left="1548"/>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lvl w:ilvl="2" w:tplc="76783C82">
      <w:start w:val="1"/>
      <w:numFmt w:val="lowerRoman"/>
      <w:lvlText w:val="%3"/>
      <w:lvlJc w:val="left"/>
      <w:pPr>
        <w:ind w:left="2268"/>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lvl w:ilvl="3" w:tplc="D884E94E">
      <w:start w:val="1"/>
      <w:numFmt w:val="decimal"/>
      <w:lvlText w:val="%4"/>
      <w:lvlJc w:val="left"/>
      <w:pPr>
        <w:ind w:left="2988"/>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lvl w:ilvl="4" w:tplc="DE20EA78">
      <w:start w:val="1"/>
      <w:numFmt w:val="lowerLetter"/>
      <w:lvlText w:val="%5"/>
      <w:lvlJc w:val="left"/>
      <w:pPr>
        <w:ind w:left="3708"/>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lvl w:ilvl="5" w:tplc="B45CD9B8">
      <w:start w:val="1"/>
      <w:numFmt w:val="lowerRoman"/>
      <w:lvlText w:val="%6"/>
      <w:lvlJc w:val="left"/>
      <w:pPr>
        <w:ind w:left="4428"/>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lvl w:ilvl="6" w:tplc="ED86C2DE">
      <w:start w:val="1"/>
      <w:numFmt w:val="decimal"/>
      <w:lvlText w:val="%7"/>
      <w:lvlJc w:val="left"/>
      <w:pPr>
        <w:ind w:left="5148"/>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lvl w:ilvl="7" w:tplc="49FCD38C">
      <w:start w:val="1"/>
      <w:numFmt w:val="lowerLetter"/>
      <w:lvlText w:val="%8"/>
      <w:lvlJc w:val="left"/>
      <w:pPr>
        <w:ind w:left="5868"/>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lvl w:ilvl="8" w:tplc="2BE4497A">
      <w:start w:val="1"/>
      <w:numFmt w:val="lowerRoman"/>
      <w:lvlText w:val="%9"/>
      <w:lvlJc w:val="left"/>
      <w:pPr>
        <w:ind w:left="6588"/>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abstractNum>
  <w:abstractNum w:abstractNumId="2" w15:restartNumberingAfterBreak="0">
    <w:nsid w:val="076966AB"/>
    <w:multiLevelType w:val="hybridMultilevel"/>
    <w:tmpl w:val="D354E78E"/>
    <w:lvl w:ilvl="0" w:tplc="AFB2F208">
      <w:start w:val="1"/>
      <w:numFmt w:val="decimal"/>
      <w:lvlText w:val="%1."/>
      <w:lvlJc w:val="left"/>
      <w:pPr>
        <w:ind w:left="36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1" w:tplc="D8F81E9A">
      <w:start w:val="1"/>
      <w:numFmt w:val="lowerLetter"/>
      <w:lvlText w:val="%2"/>
      <w:lvlJc w:val="left"/>
      <w:pPr>
        <w:ind w:left="108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2" w:tplc="7DC09A32">
      <w:start w:val="1"/>
      <w:numFmt w:val="lowerRoman"/>
      <w:lvlText w:val="%3"/>
      <w:lvlJc w:val="left"/>
      <w:pPr>
        <w:ind w:left="180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3" w:tplc="D928561E">
      <w:start w:val="1"/>
      <w:numFmt w:val="decimal"/>
      <w:lvlText w:val="%4"/>
      <w:lvlJc w:val="left"/>
      <w:pPr>
        <w:ind w:left="252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4" w:tplc="1A080A3C">
      <w:start w:val="1"/>
      <w:numFmt w:val="lowerLetter"/>
      <w:lvlText w:val="%5"/>
      <w:lvlJc w:val="left"/>
      <w:pPr>
        <w:ind w:left="324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5" w:tplc="20EA0676">
      <w:start w:val="1"/>
      <w:numFmt w:val="lowerRoman"/>
      <w:lvlText w:val="%6"/>
      <w:lvlJc w:val="left"/>
      <w:pPr>
        <w:ind w:left="396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6" w:tplc="1E84221C">
      <w:start w:val="1"/>
      <w:numFmt w:val="decimal"/>
      <w:lvlText w:val="%7"/>
      <w:lvlJc w:val="left"/>
      <w:pPr>
        <w:ind w:left="468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7" w:tplc="D14AA614">
      <w:start w:val="1"/>
      <w:numFmt w:val="lowerLetter"/>
      <w:lvlText w:val="%8"/>
      <w:lvlJc w:val="left"/>
      <w:pPr>
        <w:ind w:left="540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8" w:tplc="DEE6AE60">
      <w:start w:val="1"/>
      <w:numFmt w:val="lowerRoman"/>
      <w:lvlText w:val="%9"/>
      <w:lvlJc w:val="left"/>
      <w:pPr>
        <w:ind w:left="612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08C75871"/>
    <w:multiLevelType w:val="hybridMultilevel"/>
    <w:tmpl w:val="5714F958"/>
    <w:lvl w:ilvl="0" w:tplc="4AE6B626">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D869124">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A58439AE">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3EFCC894">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70361F6A">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ABD82D8E">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FEB64A20">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1618F834">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70D635F6">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091D5B68"/>
    <w:multiLevelType w:val="hybridMultilevel"/>
    <w:tmpl w:val="F4920E6E"/>
    <w:lvl w:ilvl="0" w:tplc="FD64B12E">
      <w:start w:val="1"/>
      <w:numFmt w:val="decimal"/>
      <w:lvlText w:val="%1."/>
      <w:lvlJc w:val="left"/>
      <w:pPr>
        <w:ind w:left="361"/>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1" w:tplc="BC3496C6">
      <w:start w:val="1"/>
      <w:numFmt w:val="lowerLetter"/>
      <w:lvlText w:val="%2"/>
      <w:lvlJc w:val="left"/>
      <w:pPr>
        <w:ind w:left="1088"/>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2" w:tplc="99B2A8EE">
      <w:start w:val="1"/>
      <w:numFmt w:val="lowerRoman"/>
      <w:lvlText w:val="%3"/>
      <w:lvlJc w:val="left"/>
      <w:pPr>
        <w:ind w:left="1808"/>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3" w:tplc="1D2679D4">
      <w:start w:val="1"/>
      <w:numFmt w:val="decimal"/>
      <w:lvlText w:val="%4"/>
      <w:lvlJc w:val="left"/>
      <w:pPr>
        <w:ind w:left="2528"/>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4" w:tplc="4F107672">
      <w:start w:val="1"/>
      <w:numFmt w:val="lowerLetter"/>
      <w:lvlText w:val="%5"/>
      <w:lvlJc w:val="left"/>
      <w:pPr>
        <w:ind w:left="3248"/>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5" w:tplc="72943234">
      <w:start w:val="1"/>
      <w:numFmt w:val="lowerRoman"/>
      <w:lvlText w:val="%6"/>
      <w:lvlJc w:val="left"/>
      <w:pPr>
        <w:ind w:left="3968"/>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6" w:tplc="6C02FD88">
      <w:start w:val="1"/>
      <w:numFmt w:val="decimal"/>
      <w:lvlText w:val="%7"/>
      <w:lvlJc w:val="left"/>
      <w:pPr>
        <w:ind w:left="4688"/>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7" w:tplc="DE0AABEE">
      <w:start w:val="1"/>
      <w:numFmt w:val="lowerLetter"/>
      <w:lvlText w:val="%8"/>
      <w:lvlJc w:val="left"/>
      <w:pPr>
        <w:ind w:left="5408"/>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8" w:tplc="34BC98DE">
      <w:start w:val="1"/>
      <w:numFmt w:val="lowerRoman"/>
      <w:lvlText w:val="%9"/>
      <w:lvlJc w:val="left"/>
      <w:pPr>
        <w:ind w:left="6128"/>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09A5320C"/>
    <w:multiLevelType w:val="hybridMultilevel"/>
    <w:tmpl w:val="82DA8692"/>
    <w:lvl w:ilvl="0" w:tplc="130630DC">
      <w:start w:val="1"/>
      <w:numFmt w:val="decimal"/>
      <w:lvlText w:val="%1."/>
      <w:lvlJc w:val="left"/>
      <w:pPr>
        <w:ind w:left="361"/>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1" w:tplc="CF22DBB2">
      <w:start w:val="1"/>
      <w:numFmt w:val="lowerLetter"/>
      <w:lvlText w:val="%2"/>
      <w:lvlJc w:val="left"/>
      <w:pPr>
        <w:ind w:left="108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2" w:tplc="CFD49982">
      <w:start w:val="1"/>
      <w:numFmt w:val="lowerRoman"/>
      <w:lvlText w:val="%3"/>
      <w:lvlJc w:val="left"/>
      <w:pPr>
        <w:ind w:left="180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3" w:tplc="A36E5B20">
      <w:start w:val="1"/>
      <w:numFmt w:val="decimal"/>
      <w:lvlText w:val="%4"/>
      <w:lvlJc w:val="left"/>
      <w:pPr>
        <w:ind w:left="252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4" w:tplc="35FEAD2E">
      <w:start w:val="1"/>
      <w:numFmt w:val="lowerLetter"/>
      <w:lvlText w:val="%5"/>
      <w:lvlJc w:val="left"/>
      <w:pPr>
        <w:ind w:left="324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5" w:tplc="719A8C1E">
      <w:start w:val="1"/>
      <w:numFmt w:val="lowerRoman"/>
      <w:lvlText w:val="%6"/>
      <w:lvlJc w:val="left"/>
      <w:pPr>
        <w:ind w:left="396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6" w:tplc="CDDC0B56">
      <w:start w:val="1"/>
      <w:numFmt w:val="decimal"/>
      <w:lvlText w:val="%7"/>
      <w:lvlJc w:val="left"/>
      <w:pPr>
        <w:ind w:left="468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7" w:tplc="29D08EC6">
      <w:start w:val="1"/>
      <w:numFmt w:val="lowerLetter"/>
      <w:lvlText w:val="%8"/>
      <w:lvlJc w:val="left"/>
      <w:pPr>
        <w:ind w:left="540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8" w:tplc="B4A4A58C">
      <w:start w:val="1"/>
      <w:numFmt w:val="lowerRoman"/>
      <w:lvlText w:val="%9"/>
      <w:lvlJc w:val="left"/>
      <w:pPr>
        <w:ind w:left="612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0D2916B8"/>
    <w:multiLevelType w:val="hybridMultilevel"/>
    <w:tmpl w:val="AF6C737A"/>
    <w:lvl w:ilvl="0" w:tplc="6A1C2F44">
      <w:start w:val="4"/>
      <w:numFmt w:val="decimal"/>
      <w:lvlText w:val="%1"/>
      <w:lvlJc w:val="left"/>
      <w:pPr>
        <w:ind w:left="147"/>
      </w:pPr>
      <w:rPr>
        <w:rFonts w:ascii="Tahoma" w:eastAsia="Tahoma" w:hAnsi="Tahoma" w:cs="Tahoma"/>
        <w:b w:val="0"/>
        <w:i w:val="0"/>
        <w:strike w:val="0"/>
        <w:dstrike w:val="0"/>
        <w:color w:val="000000"/>
        <w:sz w:val="22"/>
        <w:szCs w:val="22"/>
        <w:u w:val="none" w:color="000000"/>
        <w:bdr w:val="none" w:sz="0" w:space="0" w:color="auto"/>
        <w:shd w:val="clear" w:color="auto" w:fill="auto"/>
        <w:vertAlign w:val="superscript"/>
      </w:rPr>
    </w:lvl>
    <w:lvl w:ilvl="1" w:tplc="AC92EFAA">
      <w:start w:val="1"/>
      <w:numFmt w:val="lowerLetter"/>
      <w:lvlText w:val="%2"/>
      <w:lvlJc w:val="left"/>
      <w:pPr>
        <w:ind w:left="1096"/>
      </w:pPr>
      <w:rPr>
        <w:rFonts w:ascii="Tahoma" w:eastAsia="Tahoma" w:hAnsi="Tahoma" w:cs="Tahoma"/>
        <w:b w:val="0"/>
        <w:i w:val="0"/>
        <w:strike w:val="0"/>
        <w:dstrike w:val="0"/>
        <w:color w:val="000000"/>
        <w:sz w:val="22"/>
        <w:szCs w:val="22"/>
        <w:u w:val="none" w:color="000000"/>
        <w:bdr w:val="none" w:sz="0" w:space="0" w:color="auto"/>
        <w:shd w:val="clear" w:color="auto" w:fill="auto"/>
        <w:vertAlign w:val="superscript"/>
      </w:rPr>
    </w:lvl>
    <w:lvl w:ilvl="2" w:tplc="0096DC78">
      <w:start w:val="1"/>
      <w:numFmt w:val="lowerRoman"/>
      <w:lvlText w:val="%3"/>
      <w:lvlJc w:val="left"/>
      <w:pPr>
        <w:ind w:left="1816"/>
      </w:pPr>
      <w:rPr>
        <w:rFonts w:ascii="Tahoma" w:eastAsia="Tahoma" w:hAnsi="Tahoma" w:cs="Tahoma"/>
        <w:b w:val="0"/>
        <w:i w:val="0"/>
        <w:strike w:val="0"/>
        <w:dstrike w:val="0"/>
        <w:color w:val="000000"/>
        <w:sz w:val="22"/>
        <w:szCs w:val="22"/>
        <w:u w:val="none" w:color="000000"/>
        <w:bdr w:val="none" w:sz="0" w:space="0" w:color="auto"/>
        <w:shd w:val="clear" w:color="auto" w:fill="auto"/>
        <w:vertAlign w:val="superscript"/>
      </w:rPr>
    </w:lvl>
    <w:lvl w:ilvl="3" w:tplc="953A66DA">
      <w:start w:val="1"/>
      <w:numFmt w:val="decimal"/>
      <w:lvlText w:val="%4"/>
      <w:lvlJc w:val="left"/>
      <w:pPr>
        <w:ind w:left="2536"/>
      </w:pPr>
      <w:rPr>
        <w:rFonts w:ascii="Tahoma" w:eastAsia="Tahoma" w:hAnsi="Tahoma" w:cs="Tahoma"/>
        <w:b w:val="0"/>
        <w:i w:val="0"/>
        <w:strike w:val="0"/>
        <w:dstrike w:val="0"/>
        <w:color w:val="000000"/>
        <w:sz w:val="22"/>
        <w:szCs w:val="22"/>
        <w:u w:val="none" w:color="000000"/>
        <w:bdr w:val="none" w:sz="0" w:space="0" w:color="auto"/>
        <w:shd w:val="clear" w:color="auto" w:fill="auto"/>
        <w:vertAlign w:val="superscript"/>
      </w:rPr>
    </w:lvl>
    <w:lvl w:ilvl="4" w:tplc="3716C2F2">
      <w:start w:val="1"/>
      <w:numFmt w:val="lowerLetter"/>
      <w:lvlText w:val="%5"/>
      <w:lvlJc w:val="left"/>
      <w:pPr>
        <w:ind w:left="3256"/>
      </w:pPr>
      <w:rPr>
        <w:rFonts w:ascii="Tahoma" w:eastAsia="Tahoma" w:hAnsi="Tahoma" w:cs="Tahoma"/>
        <w:b w:val="0"/>
        <w:i w:val="0"/>
        <w:strike w:val="0"/>
        <w:dstrike w:val="0"/>
        <w:color w:val="000000"/>
        <w:sz w:val="22"/>
        <w:szCs w:val="22"/>
        <w:u w:val="none" w:color="000000"/>
        <w:bdr w:val="none" w:sz="0" w:space="0" w:color="auto"/>
        <w:shd w:val="clear" w:color="auto" w:fill="auto"/>
        <w:vertAlign w:val="superscript"/>
      </w:rPr>
    </w:lvl>
    <w:lvl w:ilvl="5" w:tplc="79ECAD62">
      <w:start w:val="1"/>
      <w:numFmt w:val="lowerRoman"/>
      <w:lvlText w:val="%6"/>
      <w:lvlJc w:val="left"/>
      <w:pPr>
        <w:ind w:left="3976"/>
      </w:pPr>
      <w:rPr>
        <w:rFonts w:ascii="Tahoma" w:eastAsia="Tahoma" w:hAnsi="Tahoma" w:cs="Tahoma"/>
        <w:b w:val="0"/>
        <w:i w:val="0"/>
        <w:strike w:val="0"/>
        <w:dstrike w:val="0"/>
        <w:color w:val="000000"/>
        <w:sz w:val="22"/>
        <w:szCs w:val="22"/>
        <w:u w:val="none" w:color="000000"/>
        <w:bdr w:val="none" w:sz="0" w:space="0" w:color="auto"/>
        <w:shd w:val="clear" w:color="auto" w:fill="auto"/>
        <w:vertAlign w:val="superscript"/>
      </w:rPr>
    </w:lvl>
    <w:lvl w:ilvl="6" w:tplc="005E8062">
      <w:start w:val="1"/>
      <w:numFmt w:val="decimal"/>
      <w:lvlText w:val="%7"/>
      <w:lvlJc w:val="left"/>
      <w:pPr>
        <w:ind w:left="4696"/>
      </w:pPr>
      <w:rPr>
        <w:rFonts w:ascii="Tahoma" w:eastAsia="Tahoma" w:hAnsi="Tahoma" w:cs="Tahoma"/>
        <w:b w:val="0"/>
        <w:i w:val="0"/>
        <w:strike w:val="0"/>
        <w:dstrike w:val="0"/>
        <w:color w:val="000000"/>
        <w:sz w:val="22"/>
        <w:szCs w:val="22"/>
        <w:u w:val="none" w:color="000000"/>
        <w:bdr w:val="none" w:sz="0" w:space="0" w:color="auto"/>
        <w:shd w:val="clear" w:color="auto" w:fill="auto"/>
        <w:vertAlign w:val="superscript"/>
      </w:rPr>
    </w:lvl>
    <w:lvl w:ilvl="7" w:tplc="A4F26432">
      <w:start w:val="1"/>
      <w:numFmt w:val="lowerLetter"/>
      <w:lvlText w:val="%8"/>
      <w:lvlJc w:val="left"/>
      <w:pPr>
        <w:ind w:left="5416"/>
      </w:pPr>
      <w:rPr>
        <w:rFonts w:ascii="Tahoma" w:eastAsia="Tahoma" w:hAnsi="Tahoma" w:cs="Tahoma"/>
        <w:b w:val="0"/>
        <w:i w:val="0"/>
        <w:strike w:val="0"/>
        <w:dstrike w:val="0"/>
        <w:color w:val="000000"/>
        <w:sz w:val="22"/>
        <w:szCs w:val="22"/>
        <w:u w:val="none" w:color="000000"/>
        <w:bdr w:val="none" w:sz="0" w:space="0" w:color="auto"/>
        <w:shd w:val="clear" w:color="auto" w:fill="auto"/>
        <w:vertAlign w:val="superscript"/>
      </w:rPr>
    </w:lvl>
    <w:lvl w:ilvl="8" w:tplc="4F18C05A">
      <w:start w:val="1"/>
      <w:numFmt w:val="lowerRoman"/>
      <w:lvlText w:val="%9"/>
      <w:lvlJc w:val="left"/>
      <w:pPr>
        <w:ind w:left="6136"/>
      </w:pPr>
      <w:rPr>
        <w:rFonts w:ascii="Tahoma" w:eastAsia="Tahoma" w:hAnsi="Tahoma" w:cs="Tahoma"/>
        <w:b w:val="0"/>
        <w:i w:val="0"/>
        <w:strike w:val="0"/>
        <w:dstrike w:val="0"/>
        <w:color w:val="000000"/>
        <w:sz w:val="22"/>
        <w:szCs w:val="22"/>
        <w:u w:val="none" w:color="000000"/>
        <w:bdr w:val="none" w:sz="0" w:space="0" w:color="auto"/>
        <w:shd w:val="clear" w:color="auto" w:fill="auto"/>
        <w:vertAlign w:val="superscript"/>
      </w:rPr>
    </w:lvl>
  </w:abstractNum>
  <w:abstractNum w:abstractNumId="7" w15:restartNumberingAfterBreak="0">
    <w:nsid w:val="10AC3AAE"/>
    <w:multiLevelType w:val="hybridMultilevel"/>
    <w:tmpl w:val="BCE8A264"/>
    <w:lvl w:ilvl="0" w:tplc="7BAE5D10">
      <w:start w:val="1"/>
      <w:numFmt w:val="decimal"/>
      <w:lvlText w:val="%1."/>
      <w:lvlJc w:val="left"/>
      <w:pPr>
        <w:ind w:left="36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1" w:tplc="B5505D28">
      <w:start w:val="1"/>
      <w:numFmt w:val="lowerLetter"/>
      <w:lvlText w:val="%2"/>
      <w:lvlJc w:val="left"/>
      <w:pPr>
        <w:ind w:left="108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2" w:tplc="30209DE8">
      <w:start w:val="1"/>
      <w:numFmt w:val="lowerRoman"/>
      <w:lvlText w:val="%3"/>
      <w:lvlJc w:val="left"/>
      <w:pPr>
        <w:ind w:left="180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3" w:tplc="475E6A18">
      <w:start w:val="1"/>
      <w:numFmt w:val="decimal"/>
      <w:lvlText w:val="%4"/>
      <w:lvlJc w:val="left"/>
      <w:pPr>
        <w:ind w:left="252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4" w:tplc="B1B4DAC6">
      <w:start w:val="1"/>
      <w:numFmt w:val="lowerLetter"/>
      <w:lvlText w:val="%5"/>
      <w:lvlJc w:val="left"/>
      <w:pPr>
        <w:ind w:left="324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5" w:tplc="77AED59A">
      <w:start w:val="1"/>
      <w:numFmt w:val="lowerRoman"/>
      <w:lvlText w:val="%6"/>
      <w:lvlJc w:val="left"/>
      <w:pPr>
        <w:ind w:left="396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6" w:tplc="11CE80D6">
      <w:start w:val="1"/>
      <w:numFmt w:val="decimal"/>
      <w:lvlText w:val="%7"/>
      <w:lvlJc w:val="left"/>
      <w:pPr>
        <w:ind w:left="468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7" w:tplc="2C1ECD4A">
      <w:start w:val="1"/>
      <w:numFmt w:val="lowerLetter"/>
      <w:lvlText w:val="%8"/>
      <w:lvlJc w:val="left"/>
      <w:pPr>
        <w:ind w:left="540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8" w:tplc="3556A944">
      <w:start w:val="1"/>
      <w:numFmt w:val="lowerRoman"/>
      <w:lvlText w:val="%9"/>
      <w:lvlJc w:val="left"/>
      <w:pPr>
        <w:ind w:left="612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1B623EB4"/>
    <w:multiLevelType w:val="hybridMultilevel"/>
    <w:tmpl w:val="A1C6D000"/>
    <w:lvl w:ilvl="0" w:tplc="4496B152">
      <w:start w:val="1"/>
      <w:numFmt w:val="decimal"/>
      <w:lvlText w:val="%1."/>
      <w:lvlJc w:val="left"/>
      <w:pPr>
        <w:ind w:left="361"/>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1" w:tplc="2E861726">
      <w:start w:val="1"/>
      <w:numFmt w:val="lowerLetter"/>
      <w:lvlText w:val="%2"/>
      <w:lvlJc w:val="left"/>
      <w:pPr>
        <w:ind w:left="108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2" w:tplc="5D760392">
      <w:start w:val="1"/>
      <w:numFmt w:val="lowerRoman"/>
      <w:lvlText w:val="%3"/>
      <w:lvlJc w:val="left"/>
      <w:pPr>
        <w:ind w:left="180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3" w:tplc="69E86566">
      <w:start w:val="1"/>
      <w:numFmt w:val="decimal"/>
      <w:lvlText w:val="%4"/>
      <w:lvlJc w:val="left"/>
      <w:pPr>
        <w:ind w:left="252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4" w:tplc="63D4557C">
      <w:start w:val="1"/>
      <w:numFmt w:val="lowerLetter"/>
      <w:lvlText w:val="%5"/>
      <w:lvlJc w:val="left"/>
      <w:pPr>
        <w:ind w:left="324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5" w:tplc="D3FE7616">
      <w:start w:val="1"/>
      <w:numFmt w:val="lowerRoman"/>
      <w:lvlText w:val="%6"/>
      <w:lvlJc w:val="left"/>
      <w:pPr>
        <w:ind w:left="396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6" w:tplc="8D127A8C">
      <w:start w:val="1"/>
      <w:numFmt w:val="decimal"/>
      <w:lvlText w:val="%7"/>
      <w:lvlJc w:val="left"/>
      <w:pPr>
        <w:ind w:left="468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7" w:tplc="F0DE35E4">
      <w:start w:val="1"/>
      <w:numFmt w:val="lowerLetter"/>
      <w:lvlText w:val="%8"/>
      <w:lvlJc w:val="left"/>
      <w:pPr>
        <w:ind w:left="540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8" w:tplc="B960363E">
      <w:start w:val="1"/>
      <w:numFmt w:val="lowerRoman"/>
      <w:lvlText w:val="%9"/>
      <w:lvlJc w:val="left"/>
      <w:pPr>
        <w:ind w:left="612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2D5312B6"/>
    <w:multiLevelType w:val="hybridMultilevel"/>
    <w:tmpl w:val="014ADF66"/>
    <w:lvl w:ilvl="0" w:tplc="E31E8FDA">
      <w:start w:val="1"/>
      <w:numFmt w:val="decimal"/>
      <w:lvlText w:val="%1."/>
      <w:lvlJc w:val="left"/>
      <w:pPr>
        <w:ind w:left="361"/>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1" w:tplc="31086292">
      <w:start w:val="1"/>
      <w:numFmt w:val="lowerLetter"/>
      <w:lvlText w:val="%2"/>
      <w:lvlJc w:val="left"/>
      <w:pPr>
        <w:ind w:left="108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2" w:tplc="DB04E262">
      <w:start w:val="1"/>
      <w:numFmt w:val="lowerRoman"/>
      <w:lvlText w:val="%3"/>
      <w:lvlJc w:val="left"/>
      <w:pPr>
        <w:ind w:left="180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3" w:tplc="778E2000">
      <w:start w:val="1"/>
      <w:numFmt w:val="decimal"/>
      <w:lvlText w:val="%4"/>
      <w:lvlJc w:val="left"/>
      <w:pPr>
        <w:ind w:left="252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4" w:tplc="131676D0">
      <w:start w:val="1"/>
      <w:numFmt w:val="lowerLetter"/>
      <w:lvlText w:val="%5"/>
      <w:lvlJc w:val="left"/>
      <w:pPr>
        <w:ind w:left="324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5" w:tplc="A4246914">
      <w:start w:val="1"/>
      <w:numFmt w:val="lowerRoman"/>
      <w:lvlText w:val="%6"/>
      <w:lvlJc w:val="left"/>
      <w:pPr>
        <w:ind w:left="396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6" w:tplc="B352E794">
      <w:start w:val="1"/>
      <w:numFmt w:val="decimal"/>
      <w:lvlText w:val="%7"/>
      <w:lvlJc w:val="left"/>
      <w:pPr>
        <w:ind w:left="468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7" w:tplc="DF182DE8">
      <w:start w:val="1"/>
      <w:numFmt w:val="lowerLetter"/>
      <w:lvlText w:val="%8"/>
      <w:lvlJc w:val="left"/>
      <w:pPr>
        <w:ind w:left="540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8" w:tplc="6BAE88F4">
      <w:start w:val="1"/>
      <w:numFmt w:val="lowerRoman"/>
      <w:lvlText w:val="%9"/>
      <w:lvlJc w:val="left"/>
      <w:pPr>
        <w:ind w:left="612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3AFB6E68"/>
    <w:multiLevelType w:val="hybridMultilevel"/>
    <w:tmpl w:val="95E4B384"/>
    <w:lvl w:ilvl="0" w:tplc="5EE26FE4">
      <w:start w:val="1"/>
      <w:numFmt w:val="decimal"/>
      <w:lvlText w:val="%1."/>
      <w:lvlJc w:val="left"/>
      <w:pPr>
        <w:ind w:left="361"/>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1" w:tplc="DD0A69FE">
      <w:start w:val="1"/>
      <w:numFmt w:val="lowerLetter"/>
      <w:lvlText w:val="%2"/>
      <w:lvlJc w:val="left"/>
      <w:pPr>
        <w:ind w:left="108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2" w:tplc="D5D284AC">
      <w:start w:val="1"/>
      <w:numFmt w:val="lowerRoman"/>
      <w:lvlText w:val="%3"/>
      <w:lvlJc w:val="left"/>
      <w:pPr>
        <w:ind w:left="180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3" w:tplc="536CA8FA">
      <w:start w:val="1"/>
      <w:numFmt w:val="decimal"/>
      <w:lvlText w:val="%4"/>
      <w:lvlJc w:val="left"/>
      <w:pPr>
        <w:ind w:left="252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4" w:tplc="FA1821EC">
      <w:start w:val="1"/>
      <w:numFmt w:val="lowerLetter"/>
      <w:lvlText w:val="%5"/>
      <w:lvlJc w:val="left"/>
      <w:pPr>
        <w:ind w:left="324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5" w:tplc="DD3E4BC4">
      <w:start w:val="1"/>
      <w:numFmt w:val="lowerRoman"/>
      <w:lvlText w:val="%6"/>
      <w:lvlJc w:val="left"/>
      <w:pPr>
        <w:ind w:left="396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6" w:tplc="F6E6980E">
      <w:start w:val="1"/>
      <w:numFmt w:val="decimal"/>
      <w:lvlText w:val="%7"/>
      <w:lvlJc w:val="left"/>
      <w:pPr>
        <w:ind w:left="468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7" w:tplc="E6DC404E">
      <w:start w:val="1"/>
      <w:numFmt w:val="lowerLetter"/>
      <w:lvlText w:val="%8"/>
      <w:lvlJc w:val="left"/>
      <w:pPr>
        <w:ind w:left="540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8" w:tplc="7AB4BE1A">
      <w:start w:val="1"/>
      <w:numFmt w:val="lowerRoman"/>
      <w:lvlText w:val="%9"/>
      <w:lvlJc w:val="left"/>
      <w:pPr>
        <w:ind w:left="612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abstractNum>
  <w:abstractNum w:abstractNumId="11" w15:restartNumberingAfterBreak="0">
    <w:nsid w:val="3ECB4141"/>
    <w:multiLevelType w:val="hybridMultilevel"/>
    <w:tmpl w:val="4120B51A"/>
    <w:lvl w:ilvl="0" w:tplc="1E0E662E">
      <w:start w:val="1"/>
      <w:numFmt w:val="decimal"/>
      <w:lvlText w:val="%1."/>
      <w:lvlJc w:val="left"/>
      <w:pPr>
        <w:ind w:left="217"/>
      </w:pPr>
      <w:rPr>
        <w:rFonts w:ascii="Tahoma" w:eastAsia="Tahoma" w:hAnsi="Tahoma" w:cs="Tahoma"/>
        <w:b w:val="0"/>
        <w:i w:val="0"/>
        <w:strike w:val="0"/>
        <w:dstrike w:val="0"/>
        <w:color w:val="000000"/>
        <w:sz w:val="22"/>
        <w:szCs w:val="22"/>
        <w:u w:val="none" w:color="000000"/>
        <w:bdr w:val="none" w:sz="0" w:space="0" w:color="auto"/>
        <w:shd w:val="clear" w:color="auto" w:fill="auto"/>
        <w:vertAlign w:val="superscript"/>
      </w:rPr>
    </w:lvl>
    <w:lvl w:ilvl="1" w:tplc="48A67292">
      <w:start w:val="1"/>
      <w:numFmt w:val="lowerLetter"/>
      <w:lvlText w:val="%2"/>
      <w:lvlJc w:val="left"/>
      <w:pPr>
        <w:ind w:left="1080"/>
      </w:pPr>
      <w:rPr>
        <w:rFonts w:ascii="Tahoma" w:eastAsia="Tahoma" w:hAnsi="Tahoma" w:cs="Tahoma"/>
        <w:b w:val="0"/>
        <w:i w:val="0"/>
        <w:strike w:val="0"/>
        <w:dstrike w:val="0"/>
        <w:color w:val="000000"/>
        <w:sz w:val="22"/>
        <w:szCs w:val="22"/>
        <w:u w:val="none" w:color="000000"/>
        <w:bdr w:val="none" w:sz="0" w:space="0" w:color="auto"/>
        <w:shd w:val="clear" w:color="auto" w:fill="auto"/>
        <w:vertAlign w:val="superscript"/>
      </w:rPr>
    </w:lvl>
    <w:lvl w:ilvl="2" w:tplc="D8166846">
      <w:start w:val="1"/>
      <w:numFmt w:val="lowerRoman"/>
      <w:lvlText w:val="%3"/>
      <w:lvlJc w:val="left"/>
      <w:pPr>
        <w:ind w:left="1800"/>
      </w:pPr>
      <w:rPr>
        <w:rFonts w:ascii="Tahoma" w:eastAsia="Tahoma" w:hAnsi="Tahoma" w:cs="Tahoma"/>
        <w:b w:val="0"/>
        <w:i w:val="0"/>
        <w:strike w:val="0"/>
        <w:dstrike w:val="0"/>
        <w:color w:val="000000"/>
        <w:sz w:val="22"/>
        <w:szCs w:val="22"/>
        <w:u w:val="none" w:color="000000"/>
        <w:bdr w:val="none" w:sz="0" w:space="0" w:color="auto"/>
        <w:shd w:val="clear" w:color="auto" w:fill="auto"/>
        <w:vertAlign w:val="superscript"/>
      </w:rPr>
    </w:lvl>
    <w:lvl w:ilvl="3" w:tplc="9AC87CAC">
      <w:start w:val="1"/>
      <w:numFmt w:val="decimal"/>
      <w:lvlText w:val="%4"/>
      <w:lvlJc w:val="left"/>
      <w:pPr>
        <w:ind w:left="2520"/>
      </w:pPr>
      <w:rPr>
        <w:rFonts w:ascii="Tahoma" w:eastAsia="Tahoma" w:hAnsi="Tahoma" w:cs="Tahoma"/>
        <w:b w:val="0"/>
        <w:i w:val="0"/>
        <w:strike w:val="0"/>
        <w:dstrike w:val="0"/>
        <w:color w:val="000000"/>
        <w:sz w:val="22"/>
        <w:szCs w:val="22"/>
        <w:u w:val="none" w:color="000000"/>
        <w:bdr w:val="none" w:sz="0" w:space="0" w:color="auto"/>
        <w:shd w:val="clear" w:color="auto" w:fill="auto"/>
        <w:vertAlign w:val="superscript"/>
      </w:rPr>
    </w:lvl>
    <w:lvl w:ilvl="4" w:tplc="5A34DE7A">
      <w:start w:val="1"/>
      <w:numFmt w:val="lowerLetter"/>
      <w:lvlText w:val="%5"/>
      <w:lvlJc w:val="left"/>
      <w:pPr>
        <w:ind w:left="3240"/>
      </w:pPr>
      <w:rPr>
        <w:rFonts w:ascii="Tahoma" w:eastAsia="Tahoma" w:hAnsi="Tahoma" w:cs="Tahoma"/>
        <w:b w:val="0"/>
        <w:i w:val="0"/>
        <w:strike w:val="0"/>
        <w:dstrike w:val="0"/>
        <w:color w:val="000000"/>
        <w:sz w:val="22"/>
        <w:szCs w:val="22"/>
        <w:u w:val="none" w:color="000000"/>
        <w:bdr w:val="none" w:sz="0" w:space="0" w:color="auto"/>
        <w:shd w:val="clear" w:color="auto" w:fill="auto"/>
        <w:vertAlign w:val="superscript"/>
      </w:rPr>
    </w:lvl>
    <w:lvl w:ilvl="5" w:tplc="90B4D8A2">
      <w:start w:val="1"/>
      <w:numFmt w:val="lowerRoman"/>
      <w:lvlText w:val="%6"/>
      <w:lvlJc w:val="left"/>
      <w:pPr>
        <w:ind w:left="3960"/>
      </w:pPr>
      <w:rPr>
        <w:rFonts w:ascii="Tahoma" w:eastAsia="Tahoma" w:hAnsi="Tahoma" w:cs="Tahoma"/>
        <w:b w:val="0"/>
        <w:i w:val="0"/>
        <w:strike w:val="0"/>
        <w:dstrike w:val="0"/>
        <w:color w:val="000000"/>
        <w:sz w:val="22"/>
        <w:szCs w:val="22"/>
        <w:u w:val="none" w:color="000000"/>
        <w:bdr w:val="none" w:sz="0" w:space="0" w:color="auto"/>
        <w:shd w:val="clear" w:color="auto" w:fill="auto"/>
        <w:vertAlign w:val="superscript"/>
      </w:rPr>
    </w:lvl>
    <w:lvl w:ilvl="6" w:tplc="59A81754">
      <w:start w:val="1"/>
      <w:numFmt w:val="decimal"/>
      <w:lvlText w:val="%7"/>
      <w:lvlJc w:val="left"/>
      <w:pPr>
        <w:ind w:left="4680"/>
      </w:pPr>
      <w:rPr>
        <w:rFonts w:ascii="Tahoma" w:eastAsia="Tahoma" w:hAnsi="Tahoma" w:cs="Tahoma"/>
        <w:b w:val="0"/>
        <w:i w:val="0"/>
        <w:strike w:val="0"/>
        <w:dstrike w:val="0"/>
        <w:color w:val="000000"/>
        <w:sz w:val="22"/>
        <w:szCs w:val="22"/>
        <w:u w:val="none" w:color="000000"/>
        <w:bdr w:val="none" w:sz="0" w:space="0" w:color="auto"/>
        <w:shd w:val="clear" w:color="auto" w:fill="auto"/>
        <w:vertAlign w:val="superscript"/>
      </w:rPr>
    </w:lvl>
    <w:lvl w:ilvl="7" w:tplc="4F4EBD44">
      <w:start w:val="1"/>
      <w:numFmt w:val="lowerLetter"/>
      <w:lvlText w:val="%8"/>
      <w:lvlJc w:val="left"/>
      <w:pPr>
        <w:ind w:left="5400"/>
      </w:pPr>
      <w:rPr>
        <w:rFonts w:ascii="Tahoma" w:eastAsia="Tahoma" w:hAnsi="Tahoma" w:cs="Tahoma"/>
        <w:b w:val="0"/>
        <w:i w:val="0"/>
        <w:strike w:val="0"/>
        <w:dstrike w:val="0"/>
        <w:color w:val="000000"/>
        <w:sz w:val="22"/>
        <w:szCs w:val="22"/>
        <w:u w:val="none" w:color="000000"/>
        <w:bdr w:val="none" w:sz="0" w:space="0" w:color="auto"/>
        <w:shd w:val="clear" w:color="auto" w:fill="auto"/>
        <w:vertAlign w:val="superscript"/>
      </w:rPr>
    </w:lvl>
    <w:lvl w:ilvl="8" w:tplc="79563A68">
      <w:start w:val="1"/>
      <w:numFmt w:val="lowerRoman"/>
      <w:lvlText w:val="%9"/>
      <w:lvlJc w:val="left"/>
      <w:pPr>
        <w:ind w:left="6120"/>
      </w:pPr>
      <w:rPr>
        <w:rFonts w:ascii="Tahoma" w:eastAsia="Tahoma" w:hAnsi="Tahoma" w:cs="Tahoma"/>
        <w:b w:val="0"/>
        <w:i w:val="0"/>
        <w:strike w:val="0"/>
        <w:dstrike w:val="0"/>
        <w:color w:val="000000"/>
        <w:sz w:val="22"/>
        <w:szCs w:val="22"/>
        <w:u w:val="none" w:color="000000"/>
        <w:bdr w:val="none" w:sz="0" w:space="0" w:color="auto"/>
        <w:shd w:val="clear" w:color="auto" w:fill="auto"/>
        <w:vertAlign w:val="superscript"/>
      </w:rPr>
    </w:lvl>
  </w:abstractNum>
  <w:abstractNum w:abstractNumId="12" w15:restartNumberingAfterBreak="0">
    <w:nsid w:val="3F3A4FDD"/>
    <w:multiLevelType w:val="hybridMultilevel"/>
    <w:tmpl w:val="1FAA3AD0"/>
    <w:lvl w:ilvl="0" w:tplc="AD2E3904">
      <w:start w:val="1"/>
      <w:numFmt w:val="decimal"/>
      <w:lvlText w:val="%1."/>
      <w:lvlJc w:val="left"/>
      <w:pPr>
        <w:ind w:left="361"/>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1" w:tplc="C9DEC7A2">
      <w:start w:val="1"/>
      <w:numFmt w:val="lowerLetter"/>
      <w:lvlText w:val="%2"/>
      <w:lvlJc w:val="left"/>
      <w:pPr>
        <w:ind w:left="108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2" w:tplc="2EC6DE5E">
      <w:start w:val="1"/>
      <w:numFmt w:val="lowerRoman"/>
      <w:lvlText w:val="%3"/>
      <w:lvlJc w:val="left"/>
      <w:pPr>
        <w:ind w:left="180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3" w:tplc="5860B1EE">
      <w:start w:val="1"/>
      <w:numFmt w:val="decimal"/>
      <w:lvlText w:val="%4"/>
      <w:lvlJc w:val="left"/>
      <w:pPr>
        <w:ind w:left="252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4" w:tplc="A36006C6">
      <w:start w:val="1"/>
      <w:numFmt w:val="lowerLetter"/>
      <w:lvlText w:val="%5"/>
      <w:lvlJc w:val="left"/>
      <w:pPr>
        <w:ind w:left="324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5" w:tplc="5C6CF8B4">
      <w:start w:val="1"/>
      <w:numFmt w:val="lowerRoman"/>
      <w:lvlText w:val="%6"/>
      <w:lvlJc w:val="left"/>
      <w:pPr>
        <w:ind w:left="396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6" w:tplc="ACC0EE56">
      <w:start w:val="1"/>
      <w:numFmt w:val="decimal"/>
      <w:lvlText w:val="%7"/>
      <w:lvlJc w:val="left"/>
      <w:pPr>
        <w:ind w:left="468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7" w:tplc="FE66453E">
      <w:start w:val="1"/>
      <w:numFmt w:val="lowerLetter"/>
      <w:lvlText w:val="%8"/>
      <w:lvlJc w:val="left"/>
      <w:pPr>
        <w:ind w:left="540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8" w:tplc="AB38FA32">
      <w:start w:val="1"/>
      <w:numFmt w:val="lowerRoman"/>
      <w:lvlText w:val="%9"/>
      <w:lvlJc w:val="left"/>
      <w:pPr>
        <w:ind w:left="612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abstractNum>
  <w:abstractNum w:abstractNumId="13" w15:restartNumberingAfterBreak="0">
    <w:nsid w:val="43DD294A"/>
    <w:multiLevelType w:val="hybridMultilevel"/>
    <w:tmpl w:val="696E2300"/>
    <w:lvl w:ilvl="0" w:tplc="0D0A8930">
      <w:start w:val="1"/>
      <w:numFmt w:val="decimal"/>
      <w:lvlText w:val="%1"/>
      <w:lvlJc w:val="left"/>
      <w:pPr>
        <w:ind w:left="145"/>
      </w:pPr>
      <w:rPr>
        <w:rFonts w:ascii="Tahoma" w:eastAsia="Tahoma" w:hAnsi="Tahoma" w:cs="Tahoma"/>
        <w:b w:val="0"/>
        <w:i w:val="0"/>
        <w:strike w:val="0"/>
        <w:dstrike w:val="0"/>
        <w:color w:val="000000"/>
        <w:sz w:val="22"/>
        <w:szCs w:val="22"/>
        <w:u w:val="none" w:color="000000"/>
        <w:bdr w:val="none" w:sz="0" w:space="0" w:color="auto"/>
        <w:shd w:val="clear" w:color="auto" w:fill="auto"/>
        <w:vertAlign w:val="superscript"/>
      </w:rPr>
    </w:lvl>
    <w:lvl w:ilvl="1" w:tplc="97DAFDC6">
      <w:start w:val="1"/>
      <w:numFmt w:val="lowerLetter"/>
      <w:lvlText w:val="%2"/>
      <w:lvlJc w:val="left"/>
      <w:pPr>
        <w:ind w:left="1096"/>
      </w:pPr>
      <w:rPr>
        <w:rFonts w:ascii="Tahoma" w:eastAsia="Tahoma" w:hAnsi="Tahoma" w:cs="Tahoma"/>
        <w:b w:val="0"/>
        <w:i w:val="0"/>
        <w:strike w:val="0"/>
        <w:dstrike w:val="0"/>
        <w:color w:val="000000"/>
        <w:sz w:val="22"/>
        <w:szCs w:val="22"/>
        <w:u w:val="none" w:color="000000"/>
        <w:bdr w:val="none" w:sz="0" w:space="0" w:color="auto"/>
        <w:shd w:val="clear" w:color="auto" w:fill="auto"/>
        <w:vertAlign w:val="superscript"/>
      </w:rPr>
    </w:lvl>
    <w:lvl w:ilvl="2" w:tplc="5A5A8716">
      <w:start w:val="1"/>
      <w:numFmt w:val="lowerRoman"/>
      <w:lvlText w:val="%3"/>
      <w:lvlJc w:val="left"/>
      <w:pPr>
        <w:ind w:left="1816"/>
      </w:pPr>
      <w:rPr>
        <w:rFonts w:ascii="Tahoma" w:eastAsia="Tahoma" w:hAnsi="Tahoma" w:cs="Tahoma"/>
        <w:b w:val="0"/>
        <w:i w:val="0"/>
        <w:strike w:val="0"/>
        <w:dstrike w:val="0"/>
        <w:color w:val="000000"/>
        <w:sz w:val="22"/>
        <w:szCs w:val="22"/>
        <w:u w:val="none" w:color="000000"/>
        <w:bdr w:val="none" w:sz="0" w:space="0" w:color="auto"/>
        <w:shd w:val="clear" w:color="auto" w:fill="auto"/>
        <w:vertAlign w:val="superscript"/>
      </w:rPr>
    </w:lvl>
    <w:lvl w:ilvl="3" w:tplc="E9BC71AC">
      <w:start w:val="1"/>
      <w:numFmt w:val="decimal"/>
      <w:lvlText w:val="%4"/>
      <w:lvlJc w:val="left"/>
      <w:pPr>
        <w:ind w:left="2536"/>
      </w:pPr>
      <w:rPr>
        <w:rFonts w:ascii="Tahoma" w:eastAsia="Tahoma" w:hAnsi="Tahoma" w:cs="Tahoma"/>
        <w:b w:val="0"/>
        <w:i w:val="0"/>
        <w:strike w:val="0"/>
        <w:dstrike w:val="0"/>
        <w:color w:val="000000"/>
        <w:sz w:val="22"/>
        <w:szCs w:val="22"/>
        <w:u w:val="none" w:color="000000"/>
        <w:bdr w:val="none" w:sz="0" w:space="0" w:color="auto"/>
        <w:shd w:val="clear" w:color="auto" w:fill="auto"/>
        <w:vertAlign w:val="superscript"/>
      </w:rPr>
    </w:lvl>
    <w:lvl w:ilvl="4" w:tplc="6912473E">
      <w:start w:val="1"/>
      <w:numFmt w:val="lowerLetter"/>
      <w:lvlText w:val="%5"/>
      <w:lvlJc w:val="left"/>
      <w:pPr>
        <w:ind w:left="3256"/>
      </w:pPr>
      <w:rPr>
        <w:rFonts w:ascii="Tahoma" w:eastAsia="Tahoma" w:hAnsi="Tahoma" w:cs="Tahoma"/>
        <w:b w:val="0"/>
        <w:i w:val="0"/>
        <w:strike w:val="0"/>
        <w:dstrike w:val="0"/>
        <w:color w:val="000000"/>
        <w:sz w:val="22"/>
        <w:szCs w:val="22"/>
        <w:u w:val="none" w:color="000000"/>
        <w:bdr w:val="none" w:sz="0" w:space="0" w:color="auto"/>
        <w:shd w:val="clear" w:color="auto" w:fill="auto"/>
        <w:vertAlign w:val="superscript"/>
      </w:rPr>
    </w:lvl>
    <w:lvl w:ilvl="5" w:tplc="81807C16">
      <w:start w:val="1"/>
      <w:numFmt w:val="lowerRoman"/>
      <w:lvlText w:val="%6"/>
      <w:lvlJc w:val="left"/>
      <w:pPr>
        <w:ind w:left="3976"/>
      </w:pPr>
      <w:rPr>
        <w:rFonts w:ascii="Tahoma" w:eastAsia="Tahoma" w:hAnsi="Tahoma" w:cs="Tahoma"/>
        <w:b w:val="0"/>
        <w:i w:val="0"/>
        <w:strike w:val="0"/>
        <w:dstrike w:val="0"/>
        <w:color w:val="000000"/>
        <w:sz w:val="22"/>
        <w:szCs w:val="22"/>
        <w:u w:val="none" w:color="000000"/>
        <w:bdr w:val="none" w:sz="0" w:space="0" w:color="auto"/>
        <w:shd w:val="clear" w:color="auto" w:fill="auto"/>
        <w:vertAlign w:val="superscript"/>
      </w:rPr>
    </w:lvl>
    <w:lvl w:ilvl="6" w:tplc="E1344968">
      <w:start w:val="1"/>
      <w:numFmt w:val="decimal"/>
      <w:lvlText w:val="%7"/>
      <w:lvlJc w:val="left"/>
      <w:pPr>
        <w:ind w:left="4696"/>
      </w:pPr>
      <w:rPr>
        <w:rFonts w:ascii="Tahoma" w:eastAsia="Tahoma" w:hAnsi="Tahoma" w:cs="Tahoma"/>
        <w:b w:val="0"/>
        <w:i w:val="0"/>
        <w:strike w:val="0"/>
        <w:dstrike w:val="0"/>
        <w:color w:val="000000"/>
        <w:sz w:val="22"/>
        <w:szCs w:val="22"/>
        <w:u w:val="none" w:color="000000"/>
        <w:bdr w:val="none" w:sz="0" w:space="0" w:color="auto"/>
        <w:shd w:val="clear" w:color="auto" w:fill="auto"/>
        <w:vertAlign w:val="superscript"/>
      </w:rPr>
    </w:lvl>
    <w:lvl w:ilvl="7" w:tplc="6AD877D6">
      <w:start w:val="1"/>
      <w:numFmt w:val="lowerLetter"/>
      <w:lvlText w:val="%8"/>
      <w:lvlJc w:val="left"/>
      <w:pPr>
        <w:ind w:left="5416"/>
      </w:pPr>
      <w:rPr>
        <w:rFonts w:ascii="Tahoma" w:eastAsia="Tahoma" w:hAnsi="Tahoma" w:cs="Tahoma"/>
        <w:b w:val="0"/>
        <w:i w:val="0"/>
        <w:strike w:val="0"/>
        <w:dstrike w:val="0"/>
        <w:color w:val="000000"/>
        <w:sz w:val="22"/>
        <w:szCs w:val="22"/>
        <w:u w:val="none" w:color="000000"/>
        <w:bdr w:val="none" w:sz="0" w:space="0" w:color="auto"/>
        <w:shd w:val="clear" w:color="auto" w:fill="auto"/>
        <w:vertAlign w:val="superscript"/>
      </w:rPr>
    </w:lvl>
    <w:lvl w:ilvl="8" w:tplc="F17CD370">
      <w:start w:val="1"/>
      <w:numFmt w:val="lowerRoman"/>
      <w:lvlText w:val="%9"/>
      <w:lvlJc w:val="left"/>
      <w:pPr>
        <w:ind w:left="6136"/>
      </w:pPr>
      <w:rPr>
        <w:rFonts w:ascii="Tahoma" w:eastAsia="Tahoma" w:hAnsi="Tahoma" w:cs="Tahoma"/>
        <w:b w:val="0"/>
        <w:i w:val="0"/>
        <w:strike w:val="0"/>
        <w:dstrike w:val="0"/>
        <w:color w:val="000000"/>
        <w:sz w:val="22"/>
        <w:szCs w:val="22"/>
        <w:u w:val="none" w:color="000000"/>
        <w:bdr w:val="none" w:sz="0" w:space="0" w:color="auto"/>
        <w:shd w:val="clear" w:color="auto" w:fill="auto"/>
        <w:vertAlign w:val="superscript"/>
      </w:rPr>
    </w:lvl>
  </w:abstractNum>
  <w:abstractNum w:abstractNumId="14" w15:restartNumberingAfterBreak="0">
    <w:nsid w:val="4A6950F2"/>
    <w:multiLevelType w:val="hybridMultilevel"/>
    <w:tmpl w:val="13B41E4A"/>
    <w:lvl w:ilvl="0" w:tplc="6F547C98">
      <w:start w:val="1"/>
      <w:numFmt w:val="decimal"/>
      <w:lvlText w:val="%1."/>
      <w:lvlJc w:val="left"/>
      <w:pPr>
        <w:ind w:left="361"/>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1" w:tplc="5A84FA28">
      <w:start w:val="1"/>
      <w:numFmt w:val="lowerLetter"/>
      <w:lvlText w:val="%2"/>
      <w:lvlJc w:val="left"/>
      <w:pPr>
        <w:ind w:left="108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2" w:tplc="7DA80EDC">
      <w:start w:val="1"/>
      <w:numFmt w:val="lowerRoman"/>
      <w:lvlText w:val="%3"/>
      <w:lvlJc w:val="left"/>
      <w:pPr>
        <w:ind w:left="180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3" w:tplc="5344DDE2">
      <w:start w:val="1"/>
      <w:numFmt w:val="decimal"/>
      <w:lvlText w:val="%4"/>
      <w:lvlJc w:val="left"/>
      <w:pPr>
        <w:ind w:left="252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4" w:tplc="D1C40B86">
      <w:start w:val="1"/>
      <w:numFmt w:val="lowerLetter"/>
      <w:lvlText w:val="%5"/>
      <w:lvlJc w:val="left"/>
      <w:pPr>
        <w:ind w:left="324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5" w:tplc="740A3BF6">
      <w:start w:val="1"/>
      <w:numFmt w:val="lowerRoman"/>
      <w:lvlText w:val="%6"/>
      <w:lvlJc w:val="left"/>
      <w:pPr>
        <w:ind w:left="396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6" w:tplc="D8585084">
      <w:start w:val="1"/>
      <w:numFmt w:val="decimal"/>
      <w:lvlText w:val="%7"/>
      <w:lvlJc w:val="left"/>
      <w:pPr>
        <w:ind w:left="468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7" w:tplc="6FB27400">
      <w:start w:val="1"/>
      <w:numFmt w:val="lowerLetter"/>
      <w:lvlText w:val="%8"/>
      <w:lvlJc w:val="left"/>
      <w:pPr>
        <w:ind w:left="540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8" w:tplc="9198E0D8">
      <w:start w:val="1"/>
      <w:numFmt w:val="lowerRoman"/>
      <w:lvlText w:val="%9"/>
      <w:lvlJc w:val="left"/>
      <w:pPr>
        <w:ind w:left="612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abstractNum>
  <w:abstractNum w:abstractNumId="15" w15:restartNumberingAfterBreak="0">
    <w:nsid w:val="4EFF5CA4"/>
    <w:multiLevelType w:val="hybridMultilevel"/>
    <w:tmpl w:val="AA4EEC80"/>
    <w:lvl w:ilvl="0" w:tplc="87C6207C">
      <w:start w:val="1"/>
      <w:numFmt w:val="decimal"/>
      <w:lvlText w:val="%1."/>
      <w:lvlJc w:val="left"/>
      <w:pPr>
        <w:ind w:left="9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B4CF35C">
      <w:start w:val="1"/>
      <w:numFmt w:val="lowerLetter"/>
      <w:lvlText w:val="%2"/>
      <w:lvlJc w:val="left"/>
      <w:pPr>
        <w:ind w:left="11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CE60CFA0">
      <w:start w:val="1"/>
      <w:numFmt w:val="lowerRoman"/>
      <w:lvlText w:val="%3"/>
      <w:lvlJc w:val="left"/>
      <w:pPr>
        <w:ind w:left="18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4D8F9E8">
      <w:start w:val="1"/>
      <w:numFmt w:val="decimal"/>
      <w:lvlText w:val="%4"/>
      <w:lvlJc w:val="left"/>
      <w:pPr>
        <w:ind w:left="25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AA6AA26">
      <w:start w:val="1"/>
      <w:numFmt w:val="lowerLetter"/>
      <w:lvlText w:val="%5"/>
      <w:lvlJc w:val="left"/>
      <w:pPr>
        <w:ind w:left="32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3446604">
      <w:start w:val="1"/>
      <w:numFmt w:val="lowerRoman"/>
      <w:lvlText w:val="%6"/>
      <w:lvlJc w:val="left"/>
      <w:pPr>
        <w:ind w:left="40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A92AFF0">
      <w:start w:val="1"/>
      <w:numFmt w:val="decimal"/>
      <w:lvlText w:val="%7"/>
      <w:lvlJc w:val="left"/>
      <w:pPr>
        <w:ind w:left="47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A7215F0">
      <w:start w:val="1"/>
      <w:numFmt w:val="lowerLetter"/>
      <w:lvlText w:val="%8"/>
      <w:lvlJc w:val="left"/>
      <w:pPr>
        <w:ind w:left="54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8F0905C">
      <w:start w:val="1"/>
      <w:numFmt w:val="lowerRoman"/>
      <w:lvlText w:val="%9"/>
      <w:lvlJc w:val="left"/>
      <w:pPr>
        <w:ind w:left="61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54CE2322"/>
    <w:multiLevelType w:val="hybridMultilevel"/>
    <w:tmpl w:val="FF8403C2"/>
    <w:lvl w:ilvl="0" w:tplc="AC5E347C">
      <w:start w:val="1"/>
      <w:numFmt w:val="decimal"/>
      <w:lvlText w:val="%1."/>
      <w:lvlJc w:val="left"/>
      <w:pPr>
        <w:ind w:left="361"/>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1" w:tplc="DEB69A8E">
      <w:start w:val="1"/>
      <w:numFmt w:val="lowerLetter"/>
      <w:lvlText w:val="%2"/>
      <w:lvlJc w:val="left"/>
      <w:pPr>
        <w:ind w:left="108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2" w:tplc="A330D424">
      <w:start w:val="1"/>
      <w:numFmt w:val="lowerRoman"/>
      <w:lvlText w:val="%3"/>
      <w:lvlJc w:val="left"/>
      <w:pPr>
        <w:ind w:left="180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3" w:tplc="E3E6B57E">
      <w:start w:val="1"/>
      <w:numFmt w:val="decimal"/>
      <w:lvlText w:val="%4"/>
      <w:lvlJc w:val="left"/>
      <w:pPr>
        <w:ind w:left="252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4" w:tplc="4BF08CBA">
      <w:start w:val="1"/>
      <w:numFmt w:val="lowerLetter"/>
      <w:lvlText w:val="%5"/>
      <w:lvlJc w:val="left"/>
      <w:pPr>
        <w:ind w:left="324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5" w:tplc="38906098">
      <w:start w:val="1"/>
      <w:numFmt w:val="lowerRoman"/>
      <w:lvlText w:val="%6"/>
      <w:lvlJc w:val="left"/>
      <w:pPr>
        <w:ind w:left="396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6" w:tplc="195A0FF6">
      <w:start w:val="1"/>
      <w:numFmt w:val="decimal"/>
      <w:lvlText w:val="%7"/>
      <w:lvlJc w:val="left"/>
      <w:pPr>
        <w:ind w:left="468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7" w:tplc="A854446C">
      <w:start w:val="1"/>
      <w:numFmt w:val="lowerLetter"/>
      <w:lvlText w:val="%8"/>
      <w:lvlJc w:val="left"/>
      <w:pPr>
        <w:ind w:left="540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8" w:tplc="36CC94B4">
      <w:start w:val="1"/>
      <w:numFmt w:val="lowerRoman"/>
      <w:lvlText w:val="%9"/>
      <w:lvlJc w:val="left"/>
      <w:pPr>
        <w:ind w:left="612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abstractNum>
  <w:abstractNum w:abstractNumId="17" w15:restartNumberingAfterBreak="0">
    <w:nsid w:val="58515F90"/>
    <w:multiLevelType w:val="hybridMultilevel"/>
    <w:tmpl w:val="B12A37D0"/>
    <w:lvl w:ilvl="0" w:tplc="6E1CA9E0">
      <w:start w:val="1"/>
      <w:numFmt w:val="decimal"/>
      <w:lvlText w:val="%1."/>
      <w:lvlJc w:val="left"/>
      <w:pPr>
        <w:ind w:left="361"/>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1" w:tplc="AA40F522">
      <w:start w:val="1"/>
      <w:numFmt w:val="lowerLetter"/>
      <w:lvlText w:val="%2"/>
      <w:lvlJc w:val="left"/>
      <w:pPr>
        <w:ind w:left="1086"/>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2" w:tplc="A7A4C9FC">
      <w:start w:val="1"/>
      <w:numFmt w:val="lowerRoman"/>
      <w:lvlText w:val="%3"/>
      <w:lvlJc w:val="left"/>
      <w:pPr>
        <w:ind w:left="1806"/>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3" w:tplc="4DF2CE02">
      <w:start w:val="1"/>
      <w:numFmt w:val="decimal"/>
      <w:lvlText w:val="%4"/>
      <w:lvlJc w:val="left"/>
      <w:pPr>
        <w:ind w:left="2526"/>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4" w:tplc="9926B652">
      <w:start w:val="1"/>
      <w:numFmt w:val="lowerLetter"/>
      <w:lvlText w:val="%5"/>
      <w:lvlJc w:val="left"/>
      <w:pPr>
        <w:ind w:left="3246"/>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5" w:tplc="F07EB46E">
      <w:start w:val="1"/>
      <w:numFmt w:val="lowerRoman"/>
      <w:lvlText w:val="%6"/>
      <w:lvlJc w:val="left"/>
      <w:pPr>
        <w:ind w:left="3966"/>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6" w:tplc="571092A8">
      <w:start w:val="1"/>
      <w:numFmt w:val="decimal"/>
      <w:lvlText w:val="%7"/>
      <w:lvlJc w:val="left"/>
      <w:pPr>
        <w:ind w:left="4686"/>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7" w:tplc="E1949458">
      <w:start w:val="1"/>
      <w:numFmt w:val="lowerLetter"/>
      <w:lvlText w:val="%8"/>
      <w:lvlJc w:val="left"/>
      <w:pPr>
        <w:ind w:left="5406"/>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8" w:tplc="7B000A02">
      <w:start w:val="1"/>
      <w:numFmt w:val="lowerRoman"/>
      <w:lvlText w:val="%9"/>
      <w:lvlJc w:val="left"/>
      <w:pPr>
        <w:ind w:left="6126"/>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abstractNum>
  <w:abstractNum w:abstractNumId="18" w15:restartNumberingAfterBreak="0">
    <w:nsid w:val="5A4B37CD"/>
    <w:multiLevelType w:val="hybridMultilevel"/>
    <w:tmpl w:val="068CAB4C"/>
    <w:lvl w:ilvl="0" w:tplc="09A2F8F8">
      <w:start w:val="1"/>
      <w:numFmt w:val="decimal"/>
      <w:lvlText w:val="%1."/>
      <w:lvlJc w:val="left"/>
      <w:pPr>
        <w:ind w:left="463"/>
      </w:pPr>
      <w:rPr>
        <w:rFonts w:ascii="Tahoma" w:eastAsia="Tahoma" w:hAnsi="Tahoma" w:cs="Tahoma"/>
        <w:b w:val="0"/>
        <w:i w:val="0"/>
        <w:strike w:val="0"/>
        <w:dstrike w:val="0"/>
        <w:color w:val="000000"/>
        <w:sz w:val="22"/>
        <w:szCs w:val="22"/>
        <w:u w:val="none" w:color="000000"/>
        <w:bdr w:val="none" w:sz="0" w:space="0" w:color="auto"/>
        <w:shd w:val="clear" w:color="auto" w:fill="auto"/>
        <w:vertAlign w:val="superscript"/>
      </w:rPr>
    </w:lvl>
    <w:lvl w:ilvl="1" w:tplc="E02E0606">
      <w:start w:val="1"/>
      <w:numFmt w:val="lowerLetter"/>
      <w:lvlText w:val="%2"/>
      <w:lvlJc w:val="left"/>
      <w:pPr>
        <w:ind w:left="1327"/>
      </w:pPr>
      <w:rPr>
        <w:rFonts w:ascii="Tahoma" w:eastAsia="Tahoma" w:hAnsi="Tahoma" w:cs="Tahoma"/>
        <w:b w:val="0"/>
        <w:i w:val="0"/>
        <w:strike w:val="0"/>
        <w:dstrike w:val="0"/>
        <w:color w:val="000000"/>
        <w:sz w:val="22"/>
        <w:szCs w:val="22"/>
        <w:u w:val="none" w:color="000000"/>
        <w:bdr w:val="none" w:sz="0" w:space="0" w:color="auto"/>
        <w:shd w:val="clear" w:color="auto" w:fill="auto"/>
        <w:vertAlign w:val="superscript"/>
      </w:rPr>
    </w:lvl>
    <w:lvl w:ilvl="2" w:tplc="52A84CE8">
      <w:start w:val="1"/>
      <w:numFmt w:val="lowerRoman"/>
      <w:lvlText w:val="%3"/>
      <w:lvlJc w:val="left"/>
      <w:pPr>
        <w:ind w:left="2047"/>
      </w:pPr>
      <w:rPr>
        <w:rFonts w:ascii="Tahoma" w:eastAsia="Tahoma" w:hAnsi="Tahoma" w:cs="Tahoma"/>
        <w:b w:val="0"/>
        <w:i w:val="0"/>
        <w:strike w:val="0"/>
        <w:dstrike w:val="0"/>
        <w:color w:val="000000"/>
        <w:sz w:val="22"/>
        <w:szCs w:val="22"/>
        <w:u w:val="none" w:color="000000"/>
        <w:bdr w:val="none" w:sz="0" w:space="0" w:color="auto"/>
        <w:shd w:val="clear" w:color="auto" w:fill="auto"/>
        <w:vertAlign w:val="superscript"/>
      </w:rPr>
    </w:lvl>
    <w:lvl w:ilvl="3" w:tplc="C6CAE570">
      <w:start w:val="1"/>
      <w:numFmt w:val="decimal"/>
      <w:lvlText w:val="%4"/>
      <w:lvlJc w:val="left"/>
      <w:pPr>
        <w:ind w:left="2767"/>
      </w:pPr>
      <w:rPr>
        <w:rFonts w:ascii="Tahoma" w:eastAsia="Tahoma" w:hAnsi="Tahoma" w:cs="Tahoma"/>
        <w:b w:val="0"/>
        <w:i w:val="0"/>
        <w:strike w:val="0"/>
        <w:dstrike w:val="0"/>
        <w:color w:val="000000"/>
        <w:sz w:val="22"/>
        <w:szCs w:val="22"/>
        <w:u w:val="none" w:color="000000"/>
        <w:bdr w:val="none" w:sz="0" w:space="0" w:color="auto"/>
        <w:shd w:val="clear" w:color="auto" w:fill="auto"/>
        <w:vertAlign w:val="superscript"/>
      </w:rPr>
    </w:lvl>
    <w:lvl w:ilvl="4" w:tplc="7752FD04">
      <w:start w:val="1"/>
      <w:numFmt w:val="lowerLetter"/>
      <w:lvlText w:val="%5"/>
      <w:lvlJc w:val="left"/>
      <w:pPr>
        <w:ind w:left="3487"/>
      </w:pPr>
      <w:rPr>
        <w:rFonts w:ascii="Tahoma" w:eastAsia="Tahoma" w:hAnsi="Tahoma" w:cs="Tahoma"/>
        <w:b w:val="0"/>
        <w:i w:val="0"/>
        <w:strike w:val="0"/>
        <w:dstrike w:val="0"/>
        <w:color w:val="000000"/>
        <w:sz w:val="22"/>
        <w:szCs w:val="22"/>
        <w:u w:val="none" w:color="000000"/>
        <w:bdr w:val="none" w:sz="0" w:space="0" w:color="auto"/>
        <w:shd w:val="clear" w:color="auto" w:fill="auto"/>
        <w:vertAlign w:val="superscript"/>
      </w:rPr>
    </w:lvl>
    <w:lvl w:ilvl="5" w:tplc="082AB5E2">
      <w:start w:val="1"/>
      <w:numFmt w:val="lowerRoman"/>
      <w:lvlText w:val="%6"/>
      <w:lvlJc w:val="left"/>
      <w:pPr>
        <w:ind w:left="4207"/>
      </w:pPr>
      <w:rPr>
        <w:rFonts w:ascii="Tahoma" w:eastAsia="Tahoma" w:hAnsi="Tahoma" w:cs="Tahoma"/>
        <w:b w:val="0"/>
        <w:i w:val="0"/>
        <w:strike w:val="0"/>
        <w:dstrike w:val="0"/>
        <w:color w:val="000000"/>
        <w:sz w:val="22"/>
        <w:szCs w:val="22"/>
        <w:u w:val="none" w:color="000000"/>
        <w:bdr w:val="none" w:sz="0" w:space="0" w:color="auto"/>
        <w:shd w:val="clear" w:color="auto" w:fill="auto"/>
        <w:vertAlign w:val="superscript"/>
      </w:rPr>
    </w:lvl>
    <w:lvl w:ilvl="6" w:tplc="51D60FC0">
      <w:start w:val="1"/>
      <w:numFmt w:val="decimal"/>
      <w:lvlText w:val="%7"/>
      <w:lvlJc w:val="left"/>
      <w:pPr>
        <w:ind w:left="4927"/>
      </w:pPr>
      <w:rPr>
        <w:rFonts w:ascii="Tahoma" w:eastAsia="Tahoma" w:hAnsi="Tahoma" w:cs="Tahoma"/>
        <w:b w:val="0"/>
        <w:i w:val="0"/>
        <w:strike w:val="0"/>
        <w:dstrike w:val="0"/>
        <w:color w:val="000000"/>
        <w:sz w:val="22"/>
        <w:szCs w:val="22"/>
        <w:u w:val="none" w:color="000000"/>
        <w:bdr w:val="none" w:sz="0" w:space="0" w:color="auto"/>
        <w:shd w:val="clear" w:color="auto" w:fill="auto"/>
        <w:vertAlign w:val="superscript"/>
      </w:rPr>
    </w:lvl>
    <w:lvl w:ilvl="7" w:tplc="B3160764">
      <w:start w:val="1"/>
      <w:numFmt w:val="lowerLetter"/>
      <w:lvlText w:val="%8"/>
      <w:lvlJc w:val="left"/>
      <w:pPr>
        <w:ind w:left="5647"/>
      </w:pPr>
      <w:rPr>
        <w:rFonts w:ascii="Tahoma" w:eastAsia="Tahoma" w:hAnsi="Tahoma" w:cs="Tahoma"/>
        <w:b w:val="0"/>
        <w:i w:val="0"/>
        <w:strike w:val="0"/>
        <w:dstrike w:val="0"/>
        <w:color w:val="000000"/>
        <w:sz w:val="22"/>
        <w:szCs w:val="22"/>
        <w:u w:val="none" w:color="000000"/>
        <w:bdr w:val="none" w:sz="0" w:space="0" w:color="auto"/>
        <w:shd w:val="clear" w:color="auto" w:fill="auto"/>
        <w:vertAlign w:val="superscript"/>
      </w:rPr>
    </w:lvl>
    <w:lvl w:ilvl="8" w:tplc="FB12A0A4">
      <w:start w:val="1"/>
      <w:numFmt w:val="lowerRoman"/>
      <w:lvlText w:val="%9"/>
      <w:lvlJc w:val="left"/>
      <w:pPr>
        <w:ind w:left="6367"/>
      </w:pPr>
      <w:rPr>
        <w:rFonts w:ascii="Tahoma" w:eastAsia="Tahoma" w:hAnsi="Tahoma" w:cs="Tahoma"/>
        <w:b w:val="0"/>
        <w:i w:val="0"/>
        <w:strike w:val="0"/>
        <w:dstrike w:val="0"/>
        <w:color w:val="000000"/>
        <w:sz w:val="22"/>
        <w:szCs w:val="22"/>
        <w:u w:val="none" w:color="000000"/>
        <w:bdr w:val="none" w:sz="0" w:space="0" w:color="auto"/>
        <w:shd w:val="clear" w:color="auto" w:fill="auto"/>
        <w:vertAlign w:val="superscript"/>
      </w:rPr>
    </w:lvl>
  </w:abstractNum>
  <w:abstractNum w:abstractNumId="19" w15:restartNumberingAfterBreak="0">
    <w:nsid w:val="5C700494"/>
    <w:multiLevelType w:val="hybridMultilevel"/>
    <w:tmpl w:val="A6EAEFAC"/>
    <w:lvl w:ilvl="0" w:tplc="18FCB93C">
      <w:start w:val="4"/>
      <w:numFmt w:val="upperRoman"/>
      <w:lvlText w:val="%1."/>
      <w:lvlJc w:val="left"/>
      <w:pPr>
        <w:ind w:left="1"/>
      </w:pPr>
      <w:rPr>
        <w:rFonts w:ascii="Tahoma" w:eastAsia="Tahoma" w:hAnsi="Tahoma" w:cs="Tahoma"/>
        <w:b/>
        <w:bCs/>
        <w:i w:val="0"/>
        <w:strike w:val="0"/>
        <w:dstrike w:val="0"/>
        <w:color w:val="000000"/>
        <w:sz w:val="22"/>
        <w:szCs w:val="22"/>
        <w:u w:val="none" w:color="000000"/>
        <w:bdr w:val="none" w:sz="0" w:space="0" w:color="auto"/>
        <w:shd w:val="clear" w:color="auto" w:fill="auto"/>
        <w:vertAlign w:val="baseline"/>
      </w:rPr>
    </w:lvl>
    <w:lvl w:ilvl="1" w:tplc="EC922FEA">
      <w:start w:val="1"/>
      <w:numFmt w:val="lowerLetter"/>
      <w:lvlText w:val="%2"/>
      <w:lvlJc w:val="left"/>
      <w:pPr>
        <w:ind w:left="1096"/>
      </w:pPr>
      <w:rPr>
        <w:rFonts w:ascii="Tahoma" w:eastAsia="Tahoma" w:hAnsi="Tahoma" w:cs="Tahoma"/>
        <w:b/>
        <w:bCs/>
        <w:i w:val="0"/>
        <w:strike w:val="0"/>
        <w:dstrike w:val="0"/>
        <w:color w:val="000000"/>
        <w:sz w:val="22"/>
        <w:szCs w:val="22"/>
        <w:u w:val="none" w:color="000000"/>
        <w:bdr w:val="none" w:sz="0" w:space="0" w:color="auto"/>
        <w:shd w:val="clear" w:color="auto" w:fill="auto"/>
        <w:vertAlign w:val="baseline"/>
      </w:rPr>
    </w:lvl>
    <w:lvl w:ilvl="2" w:tplc="91C8486A">
      <w:start w:val="1"/>
      <w:numFmt w:val="lowerRoman"/>
      <w:lvlText w:val="%3"/>
      <w:lvlJc w:val="left"/>
      <w:pPr>
        <w:ind w:left="1816"/>
      </w:pPr>
      <w:rPr>
        <w:rFonts w:ascii="Tahoma" w:eastAsia="Tahoma" w:hAnsi="Tahoma" w:cs="Tahoma"/>
        <w:b/>
        <w:bCs/>
        <w:i w:val="0"/>
        <w:strike w:val="0"/>
        <w:dstrike w:val="0"/>
        <w:color w:val="000000"/>
        <w:sz w:val="22"/>
        <w:szCs w:val="22"/>
        <w:u w:val="none" w:color="000000"/>
        <w:bdr w:val="none" w:sz="0" w:space="0" w:color="auto"/>
        <w:shd w:val="clear" w:color="auto" w:fill="auto"/>
        <w:vertAlign w:val="baseline"/>
      </w:rPr>
    </w:lvl>
    <w:lvl w:ilvl="3" w:tplc="651EB488">
      <w:start w:val="1"/>
      <w:numFmt w:val="decimal"/>
      <w:lvlText w:val="%4"/>
      <w:lvlJc w:val="left"/>
      <w:pPr>
        <w:ind w:left="2536"/>
      </w:pPr>
      <w:rPr>
        <w:rFonts w:ascii="Tahoma" w:eastAsia="Tahoma" w:hAnsi="Tahoma" w:cs="Tahoma"/>
        <w:b/>
        <w:bCs/>
        <w:i w:val="0"/>
        <w:strike w:val="0"/>
        <w:dstrike w:val="0"/>
        <w:color w:val="000000"/>
        <w:sz w:val="22"/>
        <w:szCs w:val="22"/>
        <w:u w:val="none" w:color="000000"/>
        <w:bdr w:val="none" w:sz="0" w:space="0" w:color="auto"/>
        <w:shd w:val="clear" w:color="auto" w:fill="auto"/>
        <w:vertAlign w:val="baseline"/>
      </w:rPr>
    </w:lvl>
    <w:lvl w:ilvl="4" w:tplc="36968498">
      <w:start w:val="1"/>
      <w:numFmt w:val="lowerLetter"/>
      <w:lvlText w:val="%5"/>
      <w:lvlJc w:val="left"/>
      <w:pPr>
        <w:ind w:left="3256"/>
      </w:pPr>
      <w:rPr>
        <w:rFonts w:ascii="Tahoma" w:eastAsia="Tahoma" w:hAnsi="Tahoma" w:cs="Tahoma"/>
        <w:b/>
        <w:bCs/>
        <w:i w:val="0"/>
        <w:strike w:val="0"/>
        <w:dstrike w:val="0"/>
        <w:color w:val="000000"/>
        <w:sz w:val="22"/>
        <w:szCs w:val="22"/>
        <w:u w:val="none" w:color="000000"/>
        <w:bdr w:val="none" w:sz="0" w:space="0" w:color="auto"/>
        <w:shd w:val="clear" w:color="auto" w:fill="auto"/>
        <w:vertAlign w:val="baseline"/>
      </w:rPr>
    </w:lvl>
    <w:lvl w:ilvl="5" w:tplc="24D66EF8">
      <w:start w:val="1"/>
      <w:numFmt w:val="lowerRoman"/>
      <w:lvlText w:val="%6"/>
      <w:lvlJc w:val="left"/>
      <w:pPr>
        <w:ind w:left="3976"/>
      </w:pPr>
      <w:rPr>
        <w:rFonts w:ascii="Tahoma" w:eastAsia="Tahoma" w:hAnsi="Tahoma" w:cs="Tahoma"/>
        <w:b/>
        <w:bCs/>
        <w:i w:val="0"/>
        <w:strike w:val="0"/>
        <w:dstrike w:val="0"/>
        <w:color w:val="000000"/>
        <w:sz w:val="22"/>
        <w:szCs w:val="22"/>
        <w:u w:val="none" w:color="000000"/>
        <w:bdr w:val="none" w:sz="0" w:space="0" w:color="auto"/>
        <w:shd w:val="clear" w:color="auto" w:fill="auto"/>
        <w:vertAlign w:val="baseline"/>
      </w:rPr>
    </w:lvl>
    <w:lvl w:ilvl="6" w:tplc="A0905052">
      <w:start w:val="1"/>
      <w:numFmt w:val="decimal"/>
      <w:lvlText w:val="%7"/>
      <w:lvlJc w:val="left"/>
      <w:pPr>
        <w:ind w:left="4696"/>
      </w:pPr>
      <w:rPr>
        <w:rFonts w:ascii="Tahoma" w:eastAsia="Tahoma" w:hAnsi="Tahoma" w:cs="Tahoma"/>
        <w:b/>
        <w:bCs/>
        <w:i w:val="0"/>
        <w:strike w:val="0"/>
        <w:dstrike w:val="0"/>
        <w:color w:val="000000"/>
        <w:sz w:val="22"/>
        <w:szCs w:val="22"/>
        <w:u w:val="none" w:color="000000"/>
        <w:bdr w:val="none" w:sz="0" w:space="0" w:color="auto"/>
        <w:shd w:val="clear" w:color="auto" w:fill="auto"/>
        <w:vertAlign w:val="baseline"/>
      </w:rPr>
    </w:lvl>
    <w:lvl w:ilvl="7" w:tplc="A8823052">
      <w:start w:val="1"/>
      <w:numFmt w:val="lowerLetter"/>
      <w:lvlText w:val="%8"/>
      <w:lvlJc w:val="left"/>
      <w:pPr>
        <w:ind w:left="5416"/>
      </w:pPr>
      <w:rPr>
        <w:rFonts w:ascii="Tahoma" w:eastAsia="Tahoma" w:hAnsi="Tahoma" w:cs="Tahoma"/>
        <w:b/>
        <w:bCs/>
        <w:i w:val="0"/>
        <w:strike w:val="0"/>
        <w:dstrike w:val="0"/>
        <w:color w:val="000000"/>
        <w:sz w:val="22"/>
        <w:szCs w:val="22"/>
        <w:u w:val="none" w:color="000000"/>
        <w:bdr w:val="none" w:sz="0" w:space="0" w:color="auto"/>
        <w:shd w:val="clear" w:color="auto" w:fill="auto"/>
        <w:vertAlign w:val="baseline"/>
      </w:rPr>
    </w:lvl>
    <w:lvl w:ilvl="8" w:tplc="2F2AC882">
      <w:start w:val="1"/>
      <w:numFmt w:val="lowerRoman"/>
      <w:lvlText w:val="%9"/>
      <w:lvlJc w:val="left"/>
      <w:pPr>
        <w:ind w:left="6136"/>
      </w:pPr>
      <w:rPr>
        <w:rFonts w:ascii="Tahoma" w:eastAsia="Tahoma" w:hAnsi="Tahoma" w:cs="Tahoma"/>
        <w:b/>
        <w:bCs/>
        <w:i w:val="0"/>
        <w:strike w:val="0"/>
        <w:dstrike w:val="0"/>
        <w:color w:val="000000"/>
        <w:sz w:val="22"/>
        <w:szCs w:val="22"/>
        <w:u w:val="none" w:color="000000"/>
        <w:bdr w:val="none" w:sz="0" w:space="0" w:color="auto"/>
        <w:shd w:val="clear" w:color="auto" w:fill="auto"/>
        <w:vertAlign w:val="baseline"/>
      </w:rPr>
    </w:lvl>
  </w:abstractNum>
  <w:abstractNum w:abstractNumId="20" w15:restartNumberingAfterBreak="0">
    <w:nsid w:val="6D261C5B"/>
    <w:multiLevelType w:val="hybridMultilevel"/>
    <w:tmpl w:val="279620B8"/>
    <w:lvl w:ilvl="0" w:tplc="9F8C4C68">
      <w:start w:val="1"/>
      <w:numFmt w:val="decimal"/>
      <w:lvlText w:val="%1."/>
      <w:lvlJc w:val="left"/>
      <w:pPr>
        <w:ind w:left="361"/>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1" w:tplc="BF7C698A">
      <w:start w:val="1"/>
      <w:numFmt w:val="lowerLetter"/>
      <w:lvlText w:val="%2"/>
      <w:lvlJc w:val="left"/>
      <w:pPr>
        <w:ind w:left="108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2" w:tplc="5172F97C">
      <w:start w:val="1"/>
      <w:numFmt w:val="lowerRoman"/>
      <w:lvlText w:val="%3"/>
      <w:lvlJc w:val="left"/>
      <w:pPr>
        <w:ind w:left="180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3" w:tplc="C870E3C4">
      <w:start w:val="1"/>
      <w:numFmt w:val="decimal"/>
      <w:lvlText w:val="%4"/>
      <w:lvlJc w:val="left"/>
      <w:pPr>
        <w:ind w:left="252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4" w:tplc="5942A7B6">
      <w:start w:val="1"/>
      <w:numFmt w:val="lowerLetter"/>
      <w:lvlText w:val="%5"/>
      <w:lvlJc w:val="left"/>
      <w:pPr>
        <w:ind w:left="324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5" w:tplc="8034C3CE">
      <w:start w:val="1"/>
      <w:numFmt w:val="lowerRoman"/>
      <w:lvlText w:val="%6"/>
      <w:lvlJc w:val="left"/>
      <w:pPr>
        <w:ind w:left="396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6" w:tplc="6A6058DA">
      <w:start w:val="1"/>
      <w:numFmt w:val="decimal"/>
      <w:lvlText w:val="%7"/>
      <w:lvlJc w:val="left"/>
      <w:pPr>
        <w:ind w:left="468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7" w:tplc="2CBEC62E">
      <w:start w:val="1"/>
      <w:numFmt w:val="lowerLetter"/>
      <w:lvlText w:val="%8"/>
      <w:lvlJc w:val="left"/>
      <w:pPr>
        <w:ind w:left="540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8" w:tplc="90D818D0">
      <w:start w:val="1"/>
      <w:numFmt w:val="lowerRoman"/>
      <w:lvlText w:val="%9"/>
      <w:lvlJc w:val="left"/>
      <w:pPr>
        <w:ind w:left="6120"/>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abstractNum>
  <w:abstractNum w:abstractNumId="21" w15:restartNumberingAfterBreak="0">
    <w:nsid w:val="6D9D73CB"/>
    <w:multiLevelType w:val="hybridMultilevel"/>
    <w:tmpl w:val="0F2A1054"/>
    <w:lvl w:ilvl="0" w:tplc="DCB0D70E">
      <w:start w:val="1"/>
      <w:numFmt w:val="lowerLetter"/>
      <w:lvlText w:val="%1."/>
      <w:lvlJc w:val="left"/>
      <w:pPr>
        <w:ind w:left="594"/>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lvl w:ilvl="1" w:tplc="D87A713E">
      <w:start w:val="1"/>
      <w:numFmt w:val="lowerLetter"/>
      <w:lvlText w:val="%2"/>
      <w:lvlJc w:val="left"/>
      <w:pPr>
        <w:ind w:left="1548"/>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lvl w:ilvl="2" w:tplc="EB8AD34E">
      <w:start w:val="1"/>
      <w:numFmt w:val="lowerRoman"/>
      <w:lvlText w:val="%3"/>
      <w:lvlJc w:val="left"/>
      <w:pPr>
        <w:ind w:left="2268"/>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lvl w:ilvl="3" w:tplc="FB4C5D4A">
      <w:start w:val="1"/>
      <w:numFmt w:val="decimal"/>
      <w:lvlText w:val="%4"/>
      <w:lvlJc w:val="left"/>
      <w:pPr>
        <w:ind w:left="2988"/>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lvl w:ilvl="4" w:tplc="7B945D98">
      <w:start w:val="1"/>
      <w:numFmt w:val="lowerLetter"/>
      <w:lvlText w:val="%5"/>
      <w:lvlJc w:val="left"/>
      <w:pPr>
        <w:ind w:left="3708"/>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lvl w:ilvl="5" w:tplc="F37A3E62">
      <w:start w:val="1"/>
      <w:numFmt w:val="lowerRoman"/>
      <w:lvlText w:val="%6"/>
      <w:lvlJc w:val="left"/>
      <w:pPr>
        <w:ind w:left="4428"/>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lvl w:ilvl="6" w:tplc="AFE21032">
      <w:start w:val="1"/>
      <w:numFmt w:val="decimal"/>
      <w:lvlText w:val="%7"/>
      <w:lvlJc w:val="left"/>
      <w:pPr>
        <w:ind w:left="5148"/>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lvl w:ilvl="7" w:tplc="A9D83272">
      <w:start w:val="1"/>
      <w:numFmt w:val="lowerLetter"/>
      <w:lvlText w:val="%8"/>
      <w:lvlJc w:val="left"/>
      <w:pPr>
        <w:ind w:left="5868"/>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lvl w:ilvl="8" w:tplc="C5C0D4BA">
      <w:start w:val="1"/>
      <w:numFmt w:val="lowerRoman"/>
      <w:lvlText w:val="%9"/>
      <w:lvlJc w:val="left"/>
      <w:pPr>
        <w:ind w:left="6588"/>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abstractNum>
  <w:abstractNum w:abstractNumId="22" w15:restartNumberingAfterBreak="0">
    <w:nsid w:val="6EE7512D"/>
    <w:multiLevelType w:val="hybridMultilevel"/>
    <w:tmpl w:val="E98C1EE2"/>
    <w:lvl w:ilvl="0" w:tplc="1D3017C0">
      <w:start w:val="1"/>
      <w:numFmt w:val="decimal"/>
      <w:lvlText w:val="%1"/>
      <w:lvlJc w:val="left"/>
      <w:pPr>
        <w:ind w:left="147"/>
      </w:pPr>
      <w:rPr>
        <w:rFonts w:ascii="Tahoma" w:eastAsia="Tahoma" w:hAnsi="Tahoma" w:cs="Tahoma"/>
        <w:b w:val="0"/>
        <w:i w:val="0"/>
        <w:strike w:val="0"/>
        <w:dstrike w:val="0"/>
        <w:color w:val="000000"/>
        <w:sz w:val="22"/>
        <w:szCs w:val="22"/>
        <w:u w:val="none" w:color="000000"/>
        <w:bdr w:val="none" w:sz="0" w:space="0" w:color="auto"/>
        <w:shd w:val="clear" w:color="auto" w:fill="auto"/>
        <w:vertAlign w:val="superscript"/>
      </w:rPr>
    </w:lvl>
    <w:lvl w:ilvl="1" w:tplc="8E5E3FBA">
      <w:start w:val="1"/>
      <w:numFmt w:val="lowerLetter"/>
      <w:lvlText w:val="%2"/>
      <w:lvlJc w:val="left"/>
      <w:pPr>
        <w:ind w:left="1096"/>
      </w:pPr>
      <w:rPr>
        <w:rFonts w:ascii="Tahoma" w:eastAsia="Tahoma" w:hAnsi="Tahoma" w:cs="Tahoma"/>
        <w:b w:val="0"/>
        <w:i w:val="0"/>
        <w:strike w:val="0"/>
        <w:dstrike w:val="0"/>
        <w:color w:val="000000"/>
        <w:sz w:val="22"/>
        <w:szCs w:val="22"/>
        <w:u w:val="none" w:color="000000"/>
        <w:bdr w:val="none" w:sz="0" w:space="0" w:color="auto"/>
        <w:shd w:val="clear" w:color="auto" w:fill="auto"/>
        <w:vertAlign w:val="superscript"/>
      </w:rPr>
    </w:lvl>
    <w:lvl w:ilvl="2" w:tplc="128CFDD6">
      <w:start w:val="1"/>
      <w:numFmt w:val="lowerRoman"/>
      <w:lvlText w:val="%3"/>
      <w:lvlJc w:val="left"/>
      <w:pPr>
        <w:ind w:left="1816"/>
      </w:pPr>
      <w:rPr>
        <w:rFonts w:ascii="Tahoma" w:eastAsia="Tahoma" w:hAnsi="Tahoma" w:cs="Tahoma"/>
        <w:b w:val="0"/>
        <w:i w:val="0"/>
        <w:strike w:val="0"/>
        <w:dstrike w:val="0"/>
        <w:color w:val="000000"/>
        <w:sz w:val="22"/>
        <w:szCs w:val="22"/>
        <w:u w:val="none" w:color="000000"/>
        <w:bdr w:val="none" w:sz="0" w:space="0" w:color="auto"/>
        <w:shd w:val="clear" w:color="auto" w:fill="auto"/>
        <w:vertAlign w:val="superscript"/>
      </w:rPr>
    </w:lvl>
    <w:lvl w:ilvl="3" w:tplc="8624ACD6">
      <w:start w:val="1"/>
      <w:numFmt w:val="decimal"/>
      <w:lvlText w:val="%4"/>
      <w:lvlJc w:val="left"/>
      <w:pPr>
        <w:ind w:left="2536"/>
      </w:pPr>
      <w:rPr>
        <w:rFonts w:ascii="Tahoma" w:eastAsia="Tahoma" w:hAnsi="Tahoma" w:cs="Tahoma"/>
        <w:b w:val="0"/>
        <w:i w:val="0"/>
        <w:strike w:val="0"/>
        <w:dstrike w:val="0"/>
        <w:color w:val="000000"/>
        <w:sz w:val="22"/>
        <w:szCs w:val="22"/>
        <w:u w:val="none" w:color="000000"/>
        <w:bdr w:val="none" w:sz="0" w:space="0" w:color="auto"/>
        <w:shd w:val="clear" w:color="auto" w:fill="auto"/>
        <w:vertAlign w:val="superscript"/>
      </w:rPr>
    </w:lvl>
    <w:lvl w:ilvl="4" w:tplc="203E4610">
      <w:start w:val="1"/>
      <w:numFmt w:val="lowerLetter"/>
      <w:lvlText w:val="%5"/>
      <w:lvlJc w:val="left"/>
      <w:pPr>
        <w:ind w:left="3256"/>
      </w:pPr>
      <w:rPr>
        <w:rFonts w:ascii="Tahoma" w:eastAsia="Tahoma" w:hAnsi="Tahoma" w:cs="Tahoma"/>
        <w:b w:val="0"/>
        <w:i w:val="0"/>
        <w:strike w:val="0"/>
        <w:dstrike w:val="0"/>
        <w:color w:val="000000"/>
        <w:sz w:val="22"/>
        <w:szCs w:val="22"/>
        <w:u w:val="none" w:color="000000"/>
        <w:bdr w:val="none" w:sz="0" w:space="0" w:color="auto"/>
        <w:shd w:val="clear" w:color="auto" w:fill="auto"/>
        <w:vertAlign w:val="superscript"/>
      </w:rPr>
    </w:lvl>
    <w:lvl w:ilvl="5" w:tplc="4736535A">
      <w:start w:val="1"/>
      <w:numFmt w:val="lowerRoman"/>
      <w:lvlText w:val="%6"/>
      <w:lvlJc w:val="left"/>
      <w:pPr>
        <w:ind w:left="3976"/>
      </w:pPr>
      <w:rPr>
        <w:rFonts w:ascii="Tahoma" w:eastAsia="Tahoma" w:hAnsi="Tahoma" w:cs="Tahoma"/>
        <w:b w:val="0"/>
        <w:i w:val="0"/>
        <w:strike w:val="0"/>
        <w:dstrike w:val="0"/>
        <w:color w:val="000000"/>
        <w:sz w:val="22"/>
        <w:szCs w:val="22"/>
        <w:u w:val="none" w:color="000000"/>
        <w:bdr w:val="none" w:sz="0" w:space="0" w:color="auto"/>
        <w:shd w:val="clear" w:color="auto" w:fill="auto"/>
        <w:vertAlign w:val="superscript"/>
      </w:rPr>
    </w:lvl>
    <w:lvl w:ilvl="6" w:tplc="3A6CCB48">
      <w:start w:val="1"/>
      <w:numFmt w:val="decimal"/>
      <w:lvlText w:val="%7"/>
      <w:lvlJc w:val="left"/>
      <w:pPr>
        <w:ind w:left="4696"/>
      </w:pPr>
      <w:rPr>
        <w:rFonts w:ascii="Tahoma" w:eastAsia="Tahoma" w:hAnsi="Tahoma" w:cs="Tahoma"/>
        <w:b w:val="0"/>
        <w:i w:val="0"/>
        <w:strike w:val="0"/>
        <w:dstrike w:val="0"/>
        <w:color w:val="000000"/>
        <w:sz w:val="22"/>
        <w:szCs w:val="22"/>
        <w:u w:val="none" w:color="000000"/>
        <w:bdr w:val="none" w:sz="0" w:space="0" w:color="auto"/>
        <w:shd w:val="clear" w:color="auto" w:fill="auto"/>
        <w:vertAlign w:val="superscript"/>
      </w:rPr>
    </w:lvl>
    <w:lvl w:ilvl="7" w:tplc="3184DC26">
      <w:start w:val="1"/>
      <w:numFmt w:val="lowerLetter"/>
      <w:lvlText w:val="%8"/>
      <w:lvlJc w:val="left"/>
      <w:pPr>
        <w:ind w:left="5416"/>
      </w:pPr>
      <w:rPr>
        <w:rFonts w:ascii="Tahoma" w:eastAsia="Tahoma" w:hAnsi="Tahoma" w:cs="Tahoma"/>
        <w:b w:val="0"/>
        <w:i w:val="0"/>
        <w:strike w:val="0"/>
        <w:dstrike w:val="0"/>
        <w:color w:val="000000"/>
        <w:sz w:val="22"/>
        <w:szCs w:val="22"/>
        <w:u w:val="none" w:color="000000"/>
        <w:bdr w:val="none" w:sz="0" w:space="0" w:color="auto"/>
        <w:shd w:val="clear" w:color="auto" w:fill="auto"/>
        <w:vertAlign w:val="superscript"/>
      </w:rPr>
    </w:lvl>
    <w:lvl w:ilvl="8" w:tplc="2DCC6368">
      <w:start w:val="1"/>
      <w:numFmt w:val="lowerRoman"/>
      <w:lvlText w:val="%9"/>
      <w:lvlJc w:val="left"/>
      <w:pPr>
        <w:ind w:left="6136"/>
      </w:pPr>
      <w:rPr>
        <w:rFonts w:ascii="Tahoma" w:eastAsia="Tahoma" w:hAnsi="Tahoma" w:cs="Tahoma"/>
        <w:b w:val="0"/>
        <w:i w:val="0"/>
        <w:strike w:val="0"/>
        <w:dstrike w:val="0"/>
        <w:color w:val="000000"/>
        <w:sz w:val="22"/>
        <w:szCs w:val="22"/>
        <w:u w:val="none" w:color="000000"/>
        <w:bdr w:val="none" w:sz="0" w:space="0" w:color="auto"/>
        <w:shd w:val="clear" w:color="auto" w:fill="auto"/>
        <w:vertAlign w:val="superscript"/>
      </w:rPr>
    </w:lvl>
  </w:abstractNum>
  <w:abstractNum w:abstractNumId="23" w15:restartNumberingAfterBreak="0">
    <w:nsid w:val="76DA5BAF"/>
    <w:multiLevelType w:val="hybridMultilevel"/>
    <w:tmpl w:val="1632CFE6"/>
    <w:lvl w:ilvl="0" w:tplc="67F20AEE">
      <w:start w:val="1"/>
      <w:numFmt w:val="lowerLetter"/>
      <w:lvlText w:val="%1."/>
      <w:lvlJc w:val="left"/>
      <w:pPr>
        <w:ind w:left="828"/>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lvl w:ilvl="1" w:tplc="A502BD4A">
      <w:start w:val="1"/>
      <w:numFmt w:val="lowerLetter"/>
      <w:lvlText w:val="%2"/>
      <w:lvlJc w:val="left"/>
      <w:pPr>
        <w:ind w:left="1548"/>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lvl w:ilvl="2" w:tplc="6CA8C81E">
      <w:start w:val="1"/>
      <w:numFmt w:val="lowerRoman"/>
      <w:lvlText w:val="%3"/>
      <w:lvlJc w:val="left"/>
      <w:pPr>
        <w:ind w:left="2268"/>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lvl w:ilvl="3" w:tplc="AF3C18B6">
      <w:start w:val="1"/>
      <w:numFmt w:val="decimal"/>
      <w:lvlText w:val="%4"/>
      <w:lvlJc w:val="left"/>
      <w:pPr>
        <w:ind w:left="2988"/>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lvl w:ilvl="4" w:tplc="7CC4ECB4">
      <w:start w:val="1"/>
      <w:numFmt w:val="lowerLetter"/>
      <w:lvlText w:val="%5"/>
      <w:lvlJc w:val="left"/>
      <w:pPr>
        <w:ind w:left="3708"/>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lvl w:ilvl="5" w:tplc="3DE6011A">
      <w:start w:val="1"/>
      <w:numFmt w:val="lowerRoman"/>
      <w:lvlText w:val="%6"/>
      <w:lvlJc w:val="left"/>
      <w:pPr>
        <w:ind w:left="4428"/>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lvl w:ilvl="6" w:tplc="942491C6">
      <w:start w:val="1"/>
      <w:numFmt w:val="decimal"/>
      <w:lvlText w:val="%7"/>
      <w:lvlJc w:val="left"/>
      <w:pPr>
        <w:ind w:left="5148"/>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lvl w:ilvl="7" w:tplc="D2DCDE84">
      <w:start w:val="1"/>
      <w:numFmt w:val="lowerLetter"/>
      <w:lvlText w:val="%8"/>
      <w:lvlJc w:val="left"/>
      <w:pPr>
        <w:ind w:left="5868"/>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lvl w:ilvl="8" w:tplc="14822552">
      <w:start w:val="1"/>
      <w:numFmt w:val="lowerRoman"/>
      <w:lvlText w:val="%9"/>
      <w:lvlJc w:val="left"/>
      <w:pPr>
        <w:ind w:left="6588"/>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abstractNum>
  <w:abstractNum w:abstractNumId="24" w15:restartNumberingAfterBreak="0">
    <w:nsid w:val="7CCF631A"/>
    <w:multiLevelType w:val="hybridMultilevel"/>
    <w:tmpl w:val="378ED332"/>
    <w:lvl w:ilvl="0" w:tplc="AA74BE06">
      <w:start w:val="1"/>
      <w:numFmt w:val="decimal"/>
      <w:lvlText w:val="%1."/>
      <w:lvlJc w:val="left"/>
      <w:pPr>
        <w:ind w:left="376"/>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1" w:tplc="699A9332">
      <w:start w:val="1"/>
      <w:numFmt w:val="lowerLetter"/>
      <w:lvlText w:val="%2"/>
      <w:lvlJc w:val="left"/>
      <w:pPr>
        <w:ind w:left="1084"/>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2" w:tplc="766EDD4A">
      <w:start w:val="1"/>
      <w:numFmt w:val="lowerRoman"/>
      <w:lvlText w:val="%3"/>
      <w:lvlJc w:val="left"/>
      <w:pPr>
        <w:ind w:left="1804"/>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3" w:tplc="E1A2C5C0">
      <w:start w:val="1"/>
      <w:numFmt w:val="decimal"/>
      <w:lvlText w:val="%4"/>
      <w:lvlJc w:val="left"/>
      <w:pPr>
        <w:ind w:left="2524"/>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4" w:tplc="E58014DA">
      <w:start w:val="1"/>
      <w:numFmt w:val="lowerLetter"/>
      <w:lvlText w:val="%5"/>
      <w:lvlJc w:val="left"/>
      <w:pPr>
        <w:ind w:left="3244"/>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5" w:tplc="428EC9A8">
      <w:start w:val="1"/>
      <w:numFmt w:val="lowerRoman"/>
      <w:lvlText w:val="%6"/>
      <w:lvlJc w:val="left"/>
      <w:pPr>
        <w:ind w:left="3964"/>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6" w:tplc="AE6E5C2C">
      <w:start w:val="1"/>
      <w:numFmt w:val="decimal"/>
      <w:lvlText w:val="%7"/>
      <w:lvlJc w:val="left"/>
      <w:pPr>
        <w:ind w:left="4684"/>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7" w:tplc="9998E678">
      <w:start w:val="1"/>
      <w:numFmt w:val="lowerLetter"/>
      <w:lvlText w:val="%8"/>
      <w:lvlJc w:val="left"/>
      <w:pPr>
        <w:ind w:left="5404"/>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lvl w:ilvl="8" w:tplc="06D2FE50">
      <w:start w:val="1"/>
      <w:numFmt w:val="lowerRoman"/>
      <w:lvlText w:val="%9"/>
      <w:lvlJc w:val="left"/>
      <w:pPr>
        <w:ind w:left="6124"/>
      </w:pPr>
      <w:rPr>
        <w:rFonts w:ascii="Tahoma" w:eastAsia="Tahoma" w:hAnsi="Tahoma" w:cs="Tahoma"/>
        <w:b w:val="0"/>
        <w:i w:val="0"/>
        <w:strike w:val="0"/>
        <w:dstrike w:val="0"/>
        <w:color w:val="000000"/>
        <w:sz w:val="22"/>
        <w:szCs w:val="22"/>
        <w:u w:val="none" w:color="000000"/>
        <w:bdr w:val="none" w:sz="0" w:space="0" w:color="auto"/>
        <w:shd w:val="clear" w:color="auto" w:fill="auto"/>
        <w:vertAlign w:val="baseline"/>
      </w:rPr>
    </w:lvl>
  </w:abstractNum>
  <w:num w:numId="1" w16cid:durableId="1995134017">
    <w:abstractNumId w:val="15"/>
  </w:num>
  <w:num w:numId="2" w16cid:durableId="668406127">
    <w:abstractNumId w:val="18"/>
  </w:num>
  <w:num w:numId="3" w16cid:durableId="72240675">
    <w:abstractNumId w:val="2"/>
  </w:num>
  <w:num w:numId="4" w16cid:durableId="1643343179">
    <w:abstractNumId w:val="19"/>
  </w:num>
  <w:num w:numId="5" w16cid:durableId="250041849">
    <w:abstractNumId w:val="8"/>
  </w:num>
  <w:num w:numId="6" w16cid:durableId="236087375">
    <w:abstractNumId w:val="22"/>
  </w:num>
  <w:num w:numId="7" w16cid:durableId="1669333729">
    <w:abstractNumId w:val="16"/>
  </w:num>
  <w:num w:numId="8" w16cid:durableId="681782581">
    <w:abstractNumId w:val="4"/>
  </w:num>
  <w:num w:numId="9" w16cid:durableId="1149321012">
    <w:abstractNumId w:val="5"/>
  </w:num>
  <w:num w:numId="10" w16cid:durableId="1264411196">
    <w:abstractNumId w:val="6"/>
  </w:num>
  <w:num w:numId="11" w16cid:durableId="804589283">
    <w:abstractNumId w:val="17"/>
  </w:num>
  <w:num w:numId="12" w16cid:durableId="2036032393">
    <w:abstractNumId w:val="7"/>
  </w:num>
  <w:num w:numId="13" w16cid:durableId="1462916633">
    <w:abstractNumId w:val="11"/>
  </w:num>
  <w:num w:numId="14" w16cid:durableId="451444004">
    <w:abstractNumId w:val="20"/>
  </w:num>
  <w:num w:numId="15" w16cid:durableId="620497295">
    <w:abstractNumId w:val="3"/>
  </w:num>
  <w:num w:numId="16" w16cid:durableId="2060276984">
    <w:abstractNumId w:val="14"/>
  </w:num>
  <w:num w:numId="17" w16cid:durableId="1307977547">
    <w:abstractNumId w:val="9"/>
  </w:num>
  <w:num w:numId="18" w16cid:durableId="1694257599">
    <w:abstractNumId w:val="12"/>
  </w:num>
  <w:num w:numId="19" w16cid:durableId="202405043">
    <w:abstractNumId w:val="0"/>
  </w:num>
  <w:num w:numId="20" w16cid:durableId="1003631960">
    <w:abstractNumId w:val="13"/>
  </w:num>
  <w:num w:numId="21" w16cid:durableId="362631557">
    <w:abstractNumId w:val="10"/>
  </w:num>
  <w:num w:numId="22" w16cid:durableId="1984774510">
    <w:abstractNumId w:val="24"/>
  </w:num>
  <w:num w:numId="23" w16cid:durableId="65421439">
    <w:abstractNumId w:val="21"/>
  </w:num>
  <w:num w:numId="24" w16cid:durableId="1859387695">
    <w:abstractNumId w:val="1"/>
  </w:num>
  <w:num w:numId="25" w16cid:durableId="1828011903">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evenAndOddHeader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03BF5"/>
    <w:rsid w:val="00096D73"/>
    <w:rsid w:val="003836E0"/>
    <w:rsid w:val="00503BF5"/>
    <w:rsid w:val="00894F3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76031B"/>
  <w15:docId w15:val="{9D8B9679-7C48-48AA-B654-0239974B45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color w:val="000000"/>
    </w:rPr>
  </w:style>
  <w:style w:type="paragraph" w:styleId="Heading1">
    <w:name w:val="heading 1"/>
    <w:next w:val="Normal"/>
    <w:link w:val="Heading1Char"/>
    <w:uiPriority w:val="9"/>
    <w:qFormat/>
    <w:pPr>
      <w:keepNext/>
      <w:keepLines/>
      <w:spacing w:after="0"/>
      <w:ind w:left="247"/>
      <w:outlineLvl w:val="0"/>
    </w:pPr>
    <w:rPr>
      <w:rFonts w:ascii="Tahoma" w:eastAsia="Tahoma" w:hAnsi="Tahoma" w:cs="Tahoma"/>
      <w:b/>
      <w:color w:val="000000"/>
      <w:sz w:val="32"/>
    </w:rPr>
  </w:style>
  <w:style w:type="paragraph" w:styleId="Heading2">
    <w:name w:val="heading 2"/>
    <w:next w:val="Normal"/>
    <w:link w:val="Heading2Char"/>
    <w:uiPriority w:val="9"/>
    <w:unhideWhenUsed/>
    <w:qFormat/>
    <w:pPr>
      <w:keepNext/>
      <w:keepLines/>
      <w:spacing w:after="0"/>
      <w:ind w:left="4042"/>
      <w:jc w:val="center"/>
      <w:outlineLvl w:val="1"/>
    </w:pPr>
    <w:rPr>
      <w:rFonts w:ascii="Tahoma" w:eastAsia="Tahoma" w:hAnsi="Tahoma" w:cs="Tahoma"/>
      <w:b/>
      <w:color w:val="000000"/>
      <w:sz w:val="24"/>
    </w:rPr>
  </w:style>
  <w:style w:type="paragraph" w:styleId="Heading3">
    <w:name w:val="heading 3"/>
    <w:next w:val="Normal"/>
    <w:link w:val="Heading3Char"/>
    <w:uiPriority w:val="9"/>
    <w:unhideWhenUsed/>
    <w:qFormat/>
    <w:pPr>
      <w:keepNext/>
      <w:keepLines/>
      <w:spacing w:after="5" w:line="249" w:lineRule="auto"/>
      <w:ind w:left="26" w:hanging="10"/>
      <w:outlineLvl w:val="2"/>
    </w:pPr>
    <w:rPr>
      <w:rFonts w:ascii="Tahoma" w:eastAsia="Tahoma" w:hAnsi="Tahoma" w:cs="Tahoma"/>
      <w:b/>
      <w:color w:val="000000"/>
    </w:rPr>
  </w:style>
  <w:style w:type="paragraph" w:styleId="Heading4">
    <w:name w:val="heading 4"/>
    <w:next w:val="Normal"/>
    <w:link w:val="Heading4Char"/>
    <w:uiPriority w:val="9"/>
    <w:unhideWhenUsed/>
    <w:qFormat/>
    <w:pPr>
      <w:keepNext/>
      <w:keepLines/>
      <w:spacing w:after="0"/>
      <w:ind w:left="10" w:hanging="10"/>
      <w:outlineLvl w:val="3"/>
    </w:pPr>
    <w:rPr>
      <w:rFonts w:ascii="Tahoma" w:eastAsia="Tahoma" w:hAnsi="Tahoma" w:cs="Tahoma"/>
      <w:b/>
      <w:color w:val="000000"/>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link w:val="Heading3"/>
    <w:rPr>
      <w:rFonts w:ascii="Tahoma" w:eastAsia="Tahoma" w:hAnsi="Tahoma" w:cs="Tahoma"/>
      <w:b/>
      <w:color w:val="000000"/>
      <w:sz w:val="22"/>
    </w:rPr>
  </w:style>
  <w:style w:type="character" w:customStyle="1" w:styleId="Heading2Char">
    <w:name w:val="Heading 2 Char"/>
    <w:link w:val="Heading2"/>
    <w:rPr>
      <w:rFonts w:ascii="Tahoma" w:eastAsia="Tahoma" w:hAnsi="Tahoma" w:cs="Tahoma"/>
      <w:b/>
      <w:color w:val="000000"/>
      <w:sz w:val="24"/>
    </w:rPr>
  </w:style>
  <w:style w:type="character" w:customStyle="1" w:styleId="Heading1Char">
    <w:name w:val="Heading 1 Char"/>
    <w:link w:val="Heading1"/>
    <w:rPr>
      <w:rFonts w:ascii="Tahoma" w:eastAsia="Tahoma" w:hAnsi="Tahoma" w:cs="Tahoma"/>
      <w:b/>
      <w:color w:val="000000"/>
      <w:sz w:val="32"/>
    </w:rPr>
  </w:style>
  <w:style w:type="character" w:customStyle="1" w:styleId="Heading4Char">
    <w:name w:val="Heading 4 Char"/>
    <w:link w:val="Heading4"/>
    <w:rPr>
      <w:rFonts w:ascii="Tahoma" w:eastAsia="Tahoma" w:hAnsi="Tahoma" w:cs="Tahoma"/>
      <w:b/>
      <w:color w:val="000000"/>
      <w:sz w:val="18"/>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image" Target="media/image1.jpg"/><Relationship Id="rId18" Type="http://schemas.openxmlformats.org/officeDocument/2006/relationships/footer" Target="footer5.xml"/><Relationship Id="rId26" Type="http://schemas.openxmlformats.org/officeDocument/2006/relationships/header" Target="header7.xml"/><Relationship Id="rId3" Type="http://schemas.openxmlformats.org/officeDocument/2006/relationships/settings" Target="settings.xml"/><Relationship Id="rId21" Type="http://schemas.openxmlformats.org/officeDocument/2006/relationships/image" Target="media/image2.jpg"/><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footer" Target="footer4.xml"/><Relationship Id="rId25" Type="http://schemas.openxmlformats.org/officeDocument/2006/relationships/hyperlink" Target="https://www.ncbi.nlm.nih.gov/pubmed/?term=Omotoso%20GO%5BAuthor%5D&amp;cauthor=true&amp;cauthor_uid=29984057"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eader" Target="header5.xml"/><Relationship Id="rId20" Type="http://schemas.openxmlformats.org/officeDocument/2006/relationships/footer" Target="footer6.xml"/><Relationship Id="rId29" Type="http://schemas.openxmlformats.org/officeDocument/2006/relationships/footer" Target="footer8.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hyperlink" Target="https://doi.org/10.1038/s41598-017-01827-9" TargetMode="External"/><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eader" Target="header4.xml"/><Relationship Id="rId23" Type="http://schemas.openxmlformats.org/officeDocument/2006/relationships/image" Target="media/image4.png"/><Relationship Id="rId28" Type="http://schemas.openxmlformats.org/officeDocument/2006/relationships/footer" Target="footer7.xml"/><Relationship Id="rId10" Type="http://schemas.openxmlformats.org/officeDocument/2006/relationships/footer" Target="footer2.xml"/><Relationship Id="rId19" Type="http://schemas.openxmlformats.org/officeDocument/2006/relationships/header" Target="header6.xml"/><Relationship Id="rId31" Type="http://schemas.openxmlformats.org/officeDocument/2006/relationships/footer" Target="footer9.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yperlink" Target="https://orcid.org/0000-0002-2374-8754" TargetMode="External"/><Relationship Id="rId22" Type="http://schemas.openxmlformats.org/officeDocument/2006/relationships/image" Target="media/image3.jpg"/><Relationship Id="rId27" Type="http://schemas.openxmlformats.org/officeDocument/2006/relationships/header" Target="header8.xml"/><Relationship Id="rId30" Type="http://schemas.openxmlformats.org/officeDocument/2006/relationships/header" Target="header9.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15</Pages>
  <Words>6049</Words>
  <Characters>34484</Characters>
  <Application>Microsoft Office Word</Application>
  <DocSecurity>0</DocSecurity>
  <Lines>287</Lines>
  <Paragraphs>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cp:lastModifiedBy>Mubarak Oloduowo Ameen</cp:lastModifiedBy>
  <cp:revision>2</cp:revision>
  <dcterms:created xsi:type="dcterms:W3CDTF">2023-08-03T17:03:00Z</dcterms:created>
  <dcterms:modified xsi:type="dcterms:W3CDTF">2023-08-03T17:03:00Z</dcterms:modified>
</cp:coreProperties>
</file>