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charts/chart3.xml" ContentType="application/vnd.openxmlformats-officedocument.drawingml.chart+xml"/>
  <Override PartName="/word/endnotes.xml" ContentType="application/vnd.openxmlformats-officedocument.wordprocessingml.endnotes+xml"/>
  <Override PartName="/word/glossary/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glossary/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docProps/custom.xml" ContentType="application/vnd.openxmlformats-officedocument.custom-properties+xml"/>
  <Override PartName="/word/numbering.xml" ContentType="application/vnd.openxmlformats-officedocument.wordprocessingml.numbering+xml"/>
  <Override PartName="/word/header2.xml" ContentType="application/vnd.openxmlformats-officedocument.wordprocessingml.header+xml"/>
  <Override PartName="/word/webSettings.xml" ContentType="application/vnd.openxmlformats-officedocument.wordprocessingml.webSettings+xml"/>
  <Override PartName="/word/footnotes.xml" ContentType="application/vnd.openxmlformats-officedocument.wordprocessingml.footnotes+xml"/>
  <Override PartName="/word/glossary/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theme/themeOverride1.xml" ContentType="application/vnd.openxmlformats-officedocument.themeOverride+xml"/>
  <Override PartName="/docProps/core.xml" ContentType="application/vnd.openxmlformats-package.core-properties+xml"/>
  <Override PartName="/word/charts/chart2.xml" ContentType="application/vnd.openxmlformats-officedocument.drawingml.chart+xml"/>
  <Override PartName="/docProps/app.xml" ContentType="application/vnd.openxmlformats-officedocument.extended-properties+xml"/>
  <Override PartName="/word/charts/chart4.xml" ContentType="application/vnd.openxmlformats-officedocument.drawingml.chart+xml"/>
  <Override PartName="/word/glossary/document.xml" ContentType="application/vnd.openxmlformats-officedocument.wordprocessingml.document.glossary+xml"/>
  <Override PartName="/word/document.xml" ContentType="application/vnd.openxmlformats-officedocument.wordprocessingml.document.main+xml"/>
  <Override PartName="/word/fontTable.xml" ContentType="application/vnd.openxmlformats-officedocument.wordprocessingml.fontTable+xml"/>
  <Override PartName="/word/webextensions/taskpanes.xml" ContentType="application/vnd.ms-office.webextensiontaskpanes+xml"/>
  <Override PartName="/word/header3.xml" ContentType="application/vnd.openxmlformats-officedocument.wordprocessingml.header+xml"/>
  <Override PartName="/word/theme/theme1.xml" ContentType="application/vnd.openxmlformats-officedocument.theme+xml"/>
  <Override PartName="/word/header4.xml" ContentType="application/vnd.openxmlformats-officedocument.wordprocessingml.header+xml"/>
  <Override PartName="/word/charts/chart1.xml" ContentType="application/vnd.openxmlformats-officedocument.drawingml.chart+xml"/>
  <Override PartName="/word/glossary/settings.xml" ContentType="application/vnd.openxmlformats-officedocument.wordprocessingml.setting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body>
    <w:tbl>
      <w:tblPr>
        <w:tblStyle w:val="TableGrid"/>
        <w:tblW w:w="0" w:type="auto"/>
        <w:tblBorders>
          <w:left w:val="none" w:sz="4" w:space="0"/>
          <w:right w:val="none" w:sz="4" w:space="0"/>
        </w:tblBorders>
        <w:tblLook w:val="04A0"/>
      </w:tblPr>
      <w:tblGrid>
        <w:gridCol w:w="5974"/>
      </w:tblGrid>
      <w:tr>
        <w:trPr/>
        <w:tc>
          <w:tcPr>
            <w:cnfStyle w:val="101000000000"/>
            <w:tcW w:w="0" w:type="auto"/>
          </w:tcPr>
          <w:p w14:paraId="00000005">
            <w:pPr>
              <w:jc w:val="center"/>
              <w:rPr>
                <w:b/>
                <w:bCs/>
                <w:sz w:val="28"/>
                <w:szCs w:val="28"/>
              </w:rPr>
            </w:pPr>
            <w:r>
              <w:rPr>
                <w:b/>
                <w:bCs/>
                <w:sz w:val="28"/>
                <w:szCs w:val="28"/>
              </w:rPr>
              <w:t>Development and Characterization of Polyester Resin/Kenaf/Coconut Coir Reinforced Hybrid Composites</w:t>
            </w:r>
          </w:p>
          <w:p w14:paraId="00000006">
            <w:pPr>
              <w:spacing w:before="240" w:after="240"/>
              <w:jc w:val="both"/>
              <w:rPr>
                <w:rFonts w:cs="Calibri"/>
                <w:sz w:val="20"/>
                <w:szCs w:val="20"/>
                <w:vertAlign w:val="superscript"/>
                <w:lang w:val="en-GB"/>
              </w:rPr>
            </w:pPr>
            <w:r>
              <w:rPr>
                <w:rFonts w:cs="Calibri"/>
                <w:sz w:val="20"/>
                <w:szCs w:val="20"/>
              </w:rPr>
              <w:t>*</w:t>
            </w:r>
            <w:r>
              <w:rPr>
                <w:sz w:val="20"/>
                <w:szCs w:val="20"/>
                <w:vertAlign w:val="superscript"/>
              </w:rPr>
              <w:t>1</w:t>
            </w:r>
            <w:r>
              <w:rPr>
                <w:rFonts w:cs="Calibri"/>
                <w:sz w:val="20"/>
                <w:szCs w:val="20"/>
                <w:lang w:val="zh-CN"/>
              </w:rPr>
              <w:t>J</w:t>
            </w:r>
            <w:r>
              <w:rPr>
                <w:rFonts w:cs="Calibri"/>
                <w:sz w:val="20"/>
                <w:szCs w:val="20"/>
              </w:rPr>
              <w:t>ames</w:t>
            </w:r>
            <w:r>
              <w:rPr>
                <w:rFonts w:cs="Calibri"/>
                <w:sz w:val="20"/>
                <w:szCs w:val="20"/>
                <w:lang w:val="zh-CN"/>
              </w:rPr>
              <w:t xml:space="preserve"> O</w:t>
            </w:r>
            <w:r>
              <w:rPr>
                <w:rFonts w:cs="Calibri"/>
                <w:sz w:val="20"/>
                <w:szCs w:val="20"/>
              </w:rPr>
              <w:t xml:space="preserve">bafemi </w:t>
            </w:r>
            <w:r>
              <w:rPr>
                <w:rFonts w:cs="Calibri"/>
                <w:sz w:val="20"/>
                <w:szCs w:val="20"/>
                <w:lang w:val="zh-CN"/>
              </w:rPr>
              <w:t>ADEGBOLA,</w:t>
            </w:r>
            <w:r>
              <w:rPr>
                <w:rFonts w:cs="Calibri"/>
                <w:sz w:val="20"/>
                <w:szCs w:val="20"/>
                <w:vertAlign w:val="superscript"/>
              </w:rPr>
              <w:t xml:space="preserve"> 2</w:t>
            </w:r>
            <w:r>
              <w:rPr>
                <w:rFonts w:cs="Calibri"/>
                <w:sz w:val="20"/>
                <w:szCs w:val="20"/>
                <w:lang w:val="en-GB"/>
              </w:rPr>
              <w:t xml:space="preserve"> Opeyemi David ALLI, </w:t>
            </w:r>
            <w:r>
              <w:rPr>
                <w:rFonts w:cs="Calibri"/>
                <w:sz w:val="20"/>
                <w:szCs w:val="20"/>
                <w:vertAlign w:val="superscript"/>
                <w:lang w:val="en-GB"/>
              </w:rPr>
              <w:t xml:space="preserve">3 </w:t>
            </w:r>
            <w:r>
              <w:rPr>
                <w:rFonts w:cs="Calibri"/>
                <w:sz w:val="20"/>
                <w:szCs w:val="20"/>
                <w:lang w:val="en-GB"/>
              </w:rPr>
              <w:t xml:space="preserve">Timothy Opeyemi AKINGBADE, </w:t>
            </w:r>
            <w:r>
              <w:rPr>
                <w:rFonts w:cs="Calibri"/>
                <w:sz w:val="20"/>
                <w:szCs w:val="20"/>
                <w:vertAlign w:val="superscript"/>
                <w:lang w:val="en-GB"/>
              </w:rPr>
              <w:t>4</w:t>
            </w:r>
            <w:r>
              <w:rPr>
                <w:rFonts w:cstheme="minorBidi" w:eastAsiaTheme="minorHAnsi"/>
                <w:bCs/>
                <w:sz w:val="20"/>
                <w:szCs w:val="20"/>
              </w:rPr>
              <w:t xml:space="preserve"> </w:t>
            </w:r>
            <w:r>
              <w:rPr>
                <w:rFonts w:cs="Calibri"/>
                <w:bCs/>
                <w:sz w:val="20"/>
                <w:szCs w:val="20"/>
              </w:rPr>
              <w:t xml:space="preserve">Musa Oluwajuwon ABDULMOJEED, </w:t>
            </w:r>
            <w:r>
              <w:rPr>
                <w:rFonts w:cs="Calibri"/>
                <w:sz w:val="20"/>
                <w:szCs w:val="20"/>
                <w:vertAlign w:val="superscript"/>
                <w:lang w:val="en-GB"/>
              </w:rPr>
              <w:t xml:space="preserve">5 </w:t>
            </w:r>
            <w:r>
              <w:rPr>
                <w:rFonts w:cs="Calibri"/>
                <w:sz w:val="20"/>
                <w:szCs w:val="20"/>
                <w:lang w:val="en-GB"/>
              </w:rPr>
              <w:t>Ayofe Fatai BUHARI.</w:t>
            </w:r>
            <w:r>
              <w:rPr>
                <w:rFonts w:cs="Calibri"/>
                <w:bCs/>
                <w:sz w:val="20"/>
                <w:szCs w:val="20"/>
              </w:rPr>
              <w:t xml:space="preserve"> and </w:t>
            </w:r>
            <w:r>
              <w:rPr>
                <w:rFonts w:cs="Calibri"/>
                <w:sz w:val="20"/>
                <w:szCs w:val="20"/>
                <w:lang w:val="en-GB"/>
              </w:rPr>
              <w:t xml:space="preserve"> </w:t>
            </w:r>
            <w:r>
              <w:rPr>
                <w:rFonts w:cs="Calibri"/>
                <w:sz w:val="20"/>
                <w:szCs w:val="20"/>
                <w:vertAlign w:val="superscript"/>
                <w:lang w:val="en-GB"/>
              </w:rPr>
              <w:t>6</w:t>
            </w:r>
            <w:r>
              <w:rPr>
                <w:rFonts w:cs="Calibri"/>
                <w:bCs/>
                <w:sz w:val="20"/>
                <w:szCs w:val="20"/>
              </w:rPr>
              <w:t xml:space="preserve"> Ibrahim Owolabi AMBALI, </w:t>
            </w:r>
            <w:r>
              <w:rPr>
                <w:sz w:val="20"/>
                <w:szCs w:val="20"/>
              </w:rPr>
              <w:t>Oluwatoyin Peter JOSEPH</w:t>
            </w:r>
          </w:p>
          <w:p w14:paraId="00000007">
            <w:pPr>
              <w:pStyle w:val="TTPAddress"/>
              <w:spacing w:before="0"/>
              <w:rPr>
                <w:rFonts w:ascii="Times New Roman" w:cs="Times New Roman" w:hAnsi="Times New Roman"/>
                <w:i/>
                <w:iCs/>
                <w:sz w:val="20"/>
                <w:szCs w:val="20"/>
              </w:rPr>
            </w:pPr>
            <w:r>
              <w:rPr>
                <w:rFonts w:ascii="Times New Roman" w:cs="Times New Roman" w:hAnsi="Times New Roman"/>
                <w:i/>
                <w:iCs/>
                <w:sz w:val="20"/>
                <w:szCs w:val="20"/>
                <w:vertAlign w:val="superscript"/>
              </w:rPr>
              <w:t xml:space="preserve">1,4,6 </w:t>
            </w:r>
            <w:r>
              <w:rPr>
                <w:rFonts w:ascii="Times New Roman" w:cs="Times New Roman" w:hAnsi="Times New Roman"/>
                <w:i/>
                <w:iCs/>
                <w:sz w:val="20"/>
                <w:szCs w:val="20"/>
              </w:rPr>
              <w:t>Department of Materials and Mechanical Engineering, University of Ilorin, Ilorin, Kwara state, Nigeria</w:t>
            </w:r>
          </w:p>
          <w:p w14:paraId="00000008">
            <w:pPr>
              <w:pStyle w:val="TTPAddress"/>
              <w:spacing w:before="0"/>
              <w:rPr>
                <w:rFonts w:ascii="Times New Roman" w:cs="Times New Roman" w:hAnsi="Times New Roman"/>
                <w:i/>
                <w:iCs/>
                <w:sz w:val="20"/>
                <w:szCs w:val="20"/>
              </w:rPr>
            </w:pPr>
            <w:r>
              <w:rPr>
                <w:rFonts w:ascii="Times New Roman" w:cs="Times New Roman" w:hAnsi="Times New Roman"/>
                <w:i/>
                <w:iCs/>
                <w:sz w:val="20"/>
                <w:szCs w:val="20"/>
                <w:vertAlign w:val="superscript"/>
              </w:rPr>
              <w:t>2</w:t>
            </w:r>
            <w:r>
              <w:rPr>
                <w:rFonts w:ascii="Times New Roman" w:cs="Times New Roman" w:hAnsi="Times New Roman"/>
                <w:i/>
                <w:iCs/>
                <w:sz w:val="20"/>
                <w:szCs w:val="20"/>
              </w:rPr>
              <w:t>Department of Mechanical Engineering, Adeleke University, Ede, Osun State Nigeria</w:t>
            </w:r>
          </w:p>
          <w:p w14:paraId="00000009">
            <w:pPr>
              <w:pStyle w:val="TTPAddress"/>
              <w:spacing w:before="0"/>
              <w:rPr>
                <w:rFonts w:ascii="Times New Roman" w:cs="Times New Roman" w:hAnsi="Times New Roman"/>
                <w:i/>
                <w:iCs/>
                <w:sz w:val="20"/>
                <w:szCs w:val="20"/>
              </w:rPr>
            </w:pPr>
            <w:r>
              <w:rPr>
                <w:rFonts w:ascii="Times New Roman" w:cs="Times New Roman" w:hAnsi="Times New Roman"/>
                <w:i/>
                <w:iCs/>
                <w:sz w:val="20"/>
                <w:szCs w:val="20"/>
                <w:vertAlign w:val="superscript"/>
              </w:rPr>
              <w:t>3,5</w:t>
            </w:r>
            <w:r>
              <w:rPr>
                <w:rFonts w:ascii="Times New Roman" w:cs="Times New Roman" w:hAnsi="Times New Roman"/>
                <w:i/>
                <w:iCs/>
                <w:sz w:val="20"/>
                <w:szCs w:val="20"/>
              </w:rPr>
              <w:t>Department of Agricultural Engineering, Adeleke University, Ede, Osun State Nigeria</w:t>
            </w:r>
          </w:p>
          <w:p w14:paraId="0000000A">
            <w:pPr>
              <w:pStyle w:val="TTPAddress"/>
              <w:spacing w:before="0"/>
              <w:rPr>
                <w:rFonts w:ascii="Times New Roman" w:cs="Times New Roman" w:hAnsi="Times New Roman"/>
                <w:i/>
                <w:iCs/>
                <w:sz w:val="20"/>
                <w:szCs w:val="20"/>
                <w:vertAlign w:val="superscript"/>
              </w:rPr>
            </w:pPr>
            <w:r>
              <w:rPr>
                <w:rFonts w:ascii="Times New Roman" w:cs="Times New Roman" w:hAnsi="Times New Roman"/>
                <w:sz w:val="20"/>
                <w:szCs w:val="20"/>
                <w:vertAlign w:val="superscript"/>
              </w:rPr>
              <w:t>7</w:t>
            </w:r>
            <w:r>
              <w:rPr>
                <w:rFonts w:ascii="Times New Roman" w:cs="Times New Roman" w:hAnsi="Times New Roman"/>
                <w:sz w:val="20"/>
                <w:szCs w:val="20"/>
              </w:rPr>
              <w:t>Department of Civil Engineering, Faculty of Engineering Adeleke University, Ede, Osun State, Nigeria</w:t>
            </w:r>
          </w:p>
          <w:p w14:paraId="0000000B">
            <w:pPr>
              <w:pStyle w:val="TTPAddress"/>
              <w:spacing w:before="0"/>
              <w:jc w:val="left"/>
              <w:rPr>
                <w:rFonts w:ascii="Times New Roman" w:cs="Times New Roman" w:hAnsi="Times New Roman"/>
                <w:i/>
                <w:iCs/>
                <w:sz w:val="20"/>
                <w:szCs w:val="20"/>
              </w:rPr>
            </w:pPr>
          </w:p>
          <w:p w14:paraId="0000000C">
            <w:pPr>
              <w:jc w:val="center"/>
              <w:rPr>
                <w:rFonts w:cs="Calibri"/>
                <w:sz w:val="20"/>
                <w:szCs w:val="20"/>
              </w:rPr>
            </w:pPr>
            <w:r>
              <w:rPr>
                <w:sz w:val="20"/>
                <w:szCs w:val="20"/>
              </w:rPr>
              <w:t xml:space="preserve">Corresponding author: </w:t>
            </w:r>
            <w:r>
              <w:rPr>
                <w:b/>
                <w:bCs/>
                <w:i/>
                <w:iCs/>
                <w:sz w:val="20"/>
                <w:szCs w:val="20"/>
              </w:rPr>
              <w:t>*</w:t>
            </w:r>
            <w:r>
              <w:rPr>
                <w:rFonts w:eastAsiaTheme="minorHAnsi"/>
                <w:sz w:val="20"/>
                <w:szCs w:val="20"/>
              </w:rPr>
              <w:fldChar w:fldCharType="begin"/>
            </w:r>
            <w:r>
              <w:rPr>
                <w:rFonts w:eastAsiaTheme="minorHAnsi"/>
                <w:sz w:val="20"/>
                <w:szCs w:val="20"/>
              </w:rPr>
              <w:instrText xml:space="preserve">HYPERLINK "mailto:adegbola.jo@unilorin.edu.ng" </w:instrText>
            </w:r>
            <w:r>
              <w:rPr>
                <w:rFonts w:eastAsiaTheme="minorHAnsi"/>
                <w:sz w:val="20"/>
                <w:szCs w:val="20"/>
              </w:rPr>
              <w:fldChar w:fldCharType="separate"/>
            </w:r>
            <w:r>
              <w:rPr>
                <w:rFonts w:eastAsiaTheme="minorHAnsi"/>
                <w:sz w:val="20"/>
                <w:szCs w:val="20"/>
              </w:rPr>
              <w:t>adegbola.jo@unilorin.edu.ng</w:t>
            </w:r>
            <w:r>
              <w:rPr>
                <w:rFonts w:eastAsiaTheme="minorHAnsi"/>
                <w:sz w:val="20"/>
                <w:szCs w:val="20"/>
              </w:rPr>
              <w:fldChar w:fldCharType="end"/>
            </w:r>
            <w:r>
              <w:rPr>
                <w:rFonts w:eastAsiaTheme="minorHAnsi"/>
                <w:sz w:val="20"/>
                <w:szCs w:val="20"/>
              </w:rPr>
              <w:t xml:space="preserve"> </w:t>
            </w:r>
          </w:p>
          <w:p w14:paraId="0000000D">
            <w:pPr>
              <w:jc w:val="center"/>
              <w:rPr>
                <w:rFonts w:cs="Calibri"/>
                <w:sz w:val="20"/>
                <w:szCs w:val="20"/>
              </w:rPr>
            </w:pPr>
          </w:p>
        </w:tc>
      </w:tr>
      <w:tr>
        <w:trPr/>
        <w:tc>
          <w:tcPr>
            <w:cnfStyle w:val="001000100000"/>
            <w:tcW w:w="0" w:type="auto"/>
          </w:tcPr>
          <w:p w14:paraId="0000000E">
            <w:pPr>
              <w:pStyle w:val="Body"/>
              <w:spacing w:after="0"/>
              <w:rPr>
                <w:rFonts w:ascii="Times New Roman" w:eastAsia="Calibri" w:hAnsi="Times New Roman"/>
              </w:rPr>
            </w:pPr>
            <w:r>
              <w:rPr>
                <w:rFonts w:ascii="Times New Roman" w:eastAsia="Calibri" w:hAnsi="Times New Roman"/>
                <w:b/>
                <w:bCs/>
              </w:rPr>
              <w:t xml:space="preserve">Abstract: </w:t>
            </w:r>
            <w:r>
              <w:rPr>
                <w:rFonts w:ascii="Times New Roman" w:eastAsia="Calibri" w:hAnsi="Times New Roman"/>
              </w:rPr>
              <w:t xml:space="preserve">The project begins with extracting and processing coconut coir and Kenaf fibers to obtain suitable reinforcement materials. These natural fibers </w:t>
            </w:r>
            <w:r>
              <w:rPr>
                <w:rFonts w:ascii="Times New Roman" w:eastAsia="Calibri" w:hAnsi="Times New Roman"/>
              </w:rPr>
              <w:t>are chosen</w:t>
            </w:r>
            <w:r>
              <w:rPr>
                <w:rFonts w:ascii="Times New Roman" w:eastAsia="Calibri" w:hAnsi="Times New Roman"/>
              </w:rPr>
              <w:t xml:space="preserve"> for their desirable attributes, including low cost, lightweight nature, and environmental sustainability. The fibers are treated to enhance their compatibility with the polyester resin matrix, ensuring proper adhesion and minimizing moisture absorption The composites were developed using the Hand lay-up method involving the application of coconut coir and Kenaf fibers layer by layer onto a mold until the desired thickness of 5mm is attained using polyester resin as the matrix. A fixed load </w:t>
            </w:r>
            <w:r>
              <w:rPr>
                <w:rFonts w:ascii="Times New Roman" w:eastAsia="Calibri" w:hAnsi="Times New Roman"/>
              </w:rPr>
              <w:t>is applied to the top of the laminates and allowed to cure for 48 hours at room temperature</w:t>
            </w:r>
            <w:r>
              <w:rPr>
                <w:rFonts w:ascii="Times New Roman" w:eastAsia="Calibri" w:hAnsi="Times New Roman"/>
              </w:rPr>
              <w:t xml:space="preserve">. The resulting composite </w:t>
            </w:r>
            <w:r>
              <w:rPr>
                <w:rFonts w:ascii="Times New Roman" w:eastAsia="Calibri" w:hAnsi="Times New Roman"/>
              </w:rPr>
              <w:t>is assessed</w:t>
            </w:r>
            <w:r>
              <w:rPr>
                <w:rFonts w:ascii="Times New Roman" w:eastAsia="Calibri" w:hAnsi="Times New Roman"/>
              </w:rPr>
              <w:t xml:space="preserve"> for mechanical and morphological examination. Preliminary results indicate the laminate Kenaf/coconut coir/Kenaf potential with the ultimate tensile stress of 22.667MPa, an impact strength of 74.7 J/m, and a water absorption rate of 5.98% as a lightweight yet eco-friendly material for automotive structural components, offering fuel efficiency benefits. Further research is needed to explore wider applications and commercialization prospects</w:t>
            </w:r>
          </w:p>
          <w:p w14:paraId="0000000F">
            <w:pPr>
              <w:pStyle w:val="Body"/>
              <w:spacing w:after="0"/>
              <w:rPr>
                <w:rFonts w:ascii="Arial" w:cs="Arial" w:hAnsi="Arial"/>
                <w:b/>
                <w:bCs/>
                <w:i/>
              </w:rPr>
            </w:pPr>
          </w:p>
          <w:p w14:paraId="00000010">
            <w:pPr>
              <w:jc w:val="both"/>
              <w:rPr>
                <w:b/>
                <w:bCs/>
                <w:sz w:val="20"/>
                <w:szCs w:val="20"/>
              </w:rPr>
            </w:pPr>
            <w:r>
              <w:rPr>
                <w:rFonts w:ascii="Arial" w:cs="Arial" w:hAnsi="Arial"/>
                <w:b/>
                <w:bCs/>
                <w:i/>
                <w:sz w:val="20"/>
                <w:szCs w:val="20"/>
              </w:rPr>
              <w:t>Keywords:</w:t>
            </w:r>
            <w:r>
              <w:rPr>
                <w:rFonts w:ascii="Arial" w:cs="Arial" w:hAnsi="Arial"/>
                <w:i/>
                <w:sz w:val="20"/>
                <w:szCs w:val="20"/>
              </w:rPr>
              <w:t xml:space="preserve"> Kenaf; Materials, Hybridization, Synthesis, Reinforcement</w:t>
            </w:r>
          </w:p>
        </w:tc>
      </w:tr>
    </w:tbl>
    <w:p w14:paraId="00000011">
      <w:pPr>
        <w:jc w:val="both"/>
        <w:rPr>
          <w:rFonts w:cs="Calibri"/>
          <w:b/>
          <w:sz w:val="20"/>
          <w:szCs w:val="20"/>
        </w:rPr>
        <w:sectPr>
          <w:headerReference w:type="default" r:id="rId49"/>
          <w:headerReference w:type="first" r:id="rId50"/>
          <w:headerReference w:type="even" r:id="rId51"/>
          <w:footerReference w:type="default" r:id="rId52"/>
          <w:footerReference w:type="first" r:id="rId53"/>
          <w:footerReference w:type="even" r:id="rId54"/>
          <w:pgSz w:w="8391" w:h="11906"/>
          <w:pgMar w:top="864" w:right="1152" w:bottom="864" w:left="1260" w:header="540" w:footer="720" w:gutter="0"/>
          <w:pgNumType w:start="4785" w:fmt="decimal"/>
          <w:cols w:space="720"/>
        </w:sectPr>
      </w:pPr>
    </w:p>
    <w:p w14:paraId="00000012">
      <w:pPr>
        <w:jc w:val="both"/>
        <w:rPr>
          <w:rFonts w:cs="Calibri"/>
          <w:b/>
          <w:sz w:val="20"/>
          <w:szCs w:val="20"/>
        </w:rPr>
        <w:sectPr>
          <w:type w:val="continuous"/>
          <w:pgSz w:w="8391" w:h="11906"/>
          <w:pgMar w:top="864" w:right="839" w:bottom="864" w:left="1260" w:header="720" w:footer="720" w:gutter="0"/>
          <w:cols w:space="333" w:num="2"/>
        </w:sectPr>
      </w:pPr>
    </w:p>
    <w:p w14:paraId="00000013">
      <w:pPr>
        <w:pStyle w:val="Heading1"/>
        <w:spacing w:after="240"/>
        <w:rPr>
          <w:rFonts w:ascii="Times New Roman" w:cs="Times New Roman" w:hAnsi="Times New Roman"/>
          <w:b/>
          <w:color w:val="auto"/>
          <w:sz w:val="20"/>
          <w:szCs w:val="20"/>
        </w:rPr>
      </w:pPr>
      <w:r>
        <w:rPr>
          <w:rFonts w:ascii="Times New Roman" w:cs="Times New Roman" w:hAnsi="Times New Roman"/>
          <w:b/>
          <w:color w:val="auto"/>
          <w:sz w:val="20"/>
          <w:szCs w:val="20"/>
        </w:rPr>
        <w:t>1.0 INTRODUCTION</w:t>
      </w:r>
    </w:p>
    <w:p w14:paraId="00000014">
      <w:pPr>
        <w:jc w:val="both"/>
        <w:rPr>
          <w:sz w:val="20"/>
          <w:szCs w:val="20"/>
        </w:rPr>
      </w:pPr>
      <w:r>
        <w:rPr>
          <w:sz w:val="20"/>
          <w:szCs w:val="20"/>
        </w:rPr>
        <w:t xml:space="preserve">Composite materials are multiphase or multi-component materials that exhibit significant properties of both components such that a better overall property </w:t>
      </w:r>
      <w:r>
        <w:rPr>
          <w:sz w:val="20"/>
          <w:szCs w:val="20"/>
        </w:rPr>
        <w:t>is obtained</w:t>
      </w:r>
      <w:r>
        <w:rPr>
          <w:sz w:val="20"/>
          <w:szCs w:val="20"/>
        </w:rPr>
        <w:t xml:space="preserve"> and it is based on the combined action in which better property combinations are designed from two or more distinct materials with property trade-offs. However, it is important to note that the composites must constitute phases that are chemically dissimilar and separated by a di</w:t>
      </w:r>
      <w:r>
        <w:rPr>
          <w:sz w:val="20"/>
          <w:szCs w:val="20"/>
        </w:rPr>
        <w:t xml:space="preserve">stinct interface </w:t>
      </w:r>
      <w:r>
        <w:rPr>
          <w:sz w:val="20"/>
          <w:szCs w:val="20"/>
        </w:rPr>
        <w:t>(</w:t>
      </w:r>
      <w:r>
        <w:rPr>
          <w:sz w:val="20"/>
          <w:szCs w:val="20"/>
        </w:rPr>
        <w:t>Parashar</w:t>
      </w:r>
      <w:r>
        <w:rPr>
          <w:sz w:val="20"/>
          <w:szCs w:val="20"/>
        </w:rPr>
        <w:t xml:space="preserve"> &amp; Chawla, 2022)</w:t>
      </w:r>
      <w:r>
        <w:rPr>
          <w:sz w:val="20"/>
          <w:szCs w:val="20"/>
        </w:rPr>
        <w:t xml:space="preserve">. They are simply a combination of two or more constituent materials with different physical or chemical properties. Hence, the quest to develop composites with </w:t>
      </w:r>
      <w:bookmarkStart w:id="0" w:name="_GoBack"/>
      <w:bookmarkEnd w:id="0"/>
      <w:r>
        <w:rPr>
          <w:sz w:val="20"/>
          <w:szCs w:val="20"/>
        </w:rPr>
        <w:t>c</w:t>
      </w:r>
      <w:r>
        <w:rPr>
          <w:sz w:val="20"/>
          <w:szCs w:val="20"/>
        </w:rPr>
        <w:t xml:space="preserve">ompositions or constituents from nature is an important area in material science since nature has a plethora of biomaterials that have reliable mechanical and chemical properties that need to </w:t>
      </w:r>
      <w:r>
        <w:rPr>
          <w:sz w:val="20"/>
          <w:szCs w:val="20"/>
        </w:rPr>
        <w:t>be investigated</w:t>
      </w:r>
      <w:r>
        <w:rPr>
          <w:sz w:val="20"/>
          <w:szCs w:val="20"/>
        </w:rPr>
        <w:t xml:space="preserve"> </w:t>
      </w:r>
      <w:r>
        <w:rPr>
          <w:sz w:val="20"/>
          <w:szCs w:val="20"/>
        </w:rPr>
        <w:t xml:space="preserve">for suitable applications </w:t>
      </w:r>
      <w:r>
        <w:rPr>
          <w:color w:val="000000"/>
          <w:sz w:val="20"/>
          <w:szCs w:val="20"/>
        </w:rPr>
        <w:t>(</w:t>
      </w:r>
      <w:r>
        <w:rPr>
          <w:color w:val="000000"/>
          <w:sz w:val="20"/>
          <w:szCs w:val="20"/>
        </w:rPr>
        <w:t>Dattatreya</w:t>
      </w:r>
      <w:r>
        <w:rPr>
          <w:color w:val="000000"/>
          <w:sz w:val="20"/>
          <w:szCs w:val="20"/>
        </w:rPr>
        <w:t xml:space="preserve"> et al., 2023)</w:t>
      </w:r>
      <w:r>
        <w:rPr>
          <w:sz w:val="20"/>
          <w:szCs w:val="20"/>
        </w:rPr>
        <w:t>.</w:t>
      </w:r>
    </w:p>
    <w:p w14:paraId="00000015">
      <w:pPr>
        <w:jc w:val="both"/>
        <w:rPr>
          <w:sz w:val="20"/>
          <w:szCs w:val="20"/>
        </w:rPr>
      </w:pPr>
    </w:p>
    <w:p w14:paraId="00000016">
      <w:pPr>
        <w:jc w:val="both"/>
        <w:rPr>
          <w:sz w:val="20"/>
          <w:szCs w:val="20"/>
        </w:rPr>
      </w:pPr>
      <w:r>
        <w:rPr>
          <w:sz w:val="20"/>
          <w:szCs w:val="20"/>
        </w:rPr>
        <w:t xml:space="preserve">In the development of composites that are not biological such as metal matrix composite (MMC), a secondary material, typically in the form of particles, fibers, or whiskers, can be added to the metallic matrix or binder material to reinforce it. It was observed that metal, ceramic, or organic materials </w:t>
      </w:r>
      <w:r>
        <w:rPr>
          <w:sz w:val="20"/>
          <w:szCs w:val="20"/>
        </w:rPr>
        <w:t>can</w:t>
      </w:r>
      <w:r>
        <w:rPr>
          <w:sz w:val="20"/>
          <w:szCs w:val="20"/>
        </w:rPr>
        <w:t xml:space="preserve"> be used as reinforcement. In addition to graphite, reinforcements for such MMC materials such as silicon carbide, and boron fibers are functional </w:t>
      </w:r>
      <w:r>
        <w:rPr>
          <w:color w:val="000000"/>
          <w:sz w:val="20"/>
          <w:szCs w:val="20"/>
        </w:rPr>
        <w:t>(</w:t>
      </w:r>
      <w:r>
        <w:rPr>
          <w:color w:val="000000"/>
          <w:sz w:val="20"/>
          <w:szCs w:val="20"/>
        </w:rPr>
        <w:t>Marichelvam</w:t>
      </w:r>
      <w:r>
        <w:rPr>
          <w:color w:val="000000"/>
          <w:sz w:val="20"/>
          <w:szCs w:val="20"/>
        </w:rPr>
        <w:t xml:space="preserve"> et al., 2023)</w:t>
      </w:r>
      <w:r>
        <w:rPr>
          <w:sz w:val="20"/>
          <w:szCs w:val="20"/>
        </w:rPr>
        <w:t>.</w:t>
      </w:r>
    </w:p>
    <w:p w14:paraId="00000017">
      <w:pPr>
        <w:jc w:val="both"/>
        <w:rPr>
          <w:sz w:val="20"/>
          <w:szCs w:val="20"/>
        </w:rPr>
      </w:pPr>
    </w:p>
    <w:p w14:paraId="00000018">
      <w:pPr>
        <w:jc w:val="both"/>
        <w:rPr>
          <w:sz w:val="20"/>
          <w:szCs w:val="20"/>
        </w:rPr>
      </w:pPr>
      <w:r>
        <w:rPr>
          <w:sz w:val="20"/>
          <w:szCs w:val="20"/>
        </w:rPr>
        <w:t xml:space="preserve">Another composite that </w:t>
      </w:r>
      <w:r>
        <w:rPr>
          <w:sz w:val="20"/>
          <w:szCs w:val="20"/>
        </w:rPr>
        <w:t>has been developed</w:t>
      </w:r>
      <w:r>
        <w:rPr>
          <w:sz w:val="20"/>
          <w:szCs w:val="20"/>
        </w:rPr>
        <w:t xml:space="preserve"> for use is the ceramic matrix composite (CMC). It has reinforcements of ceramic, metallic, or organic fibers. When making a comparison to available ceramics, It was observed that they can withstand large thermal loads, they withstand higher stresses hence they do not get damaged in a short time of service condition, and they have high toughness before fracture can set in </w:t>
      </w:r>
      <w:r>
        <w:rPr>
          <w:color w:val="000000"/>
          <w:sz w:val="20"/>
          <w:szCs w:val="20"/>
        </w:rPr>
        <w:t>(</w:t>
      </w:r>
      <w:r>
        <w:rPr>
          <w:color w:val="000000"/>
          <w:sz w:val="20"/>
          <w:szCs w:val="20"/>
        </w:rPr>
        <w:t>Müssig</w:t>
      </w:r>
      <w:r>
        <w:rPr>
          <w:color w:val="000000"/>
          <w:sz w:val="20"/>
          <w:szCs w:val="20"/>
        </w:rPr>
        <w:t xml:space="preserve"> et al., 2024)</w:t>
      </w:r>
      <w:r>
        <w:rPr>
          <w:sz w:val="20"/>
          <w:szCs w:val="20"/>
        </w:rPr>
        <w:t>.</w:t>
      </w:r>
    </w:p>
    <w:p w14:paraId="00000019">
      <w:pPr>
        <w:jc w:val="both"/>
        <w:rPr>
          <w:sz w:val="20"/>
          <w:szCs w:val="20"/>
        </w:rPr>
      </w:pPr>
    </w:p>
    <w:p w14:paraId="0000001A">
      <w:pPr>
        <w:jc w:val="both"/>
        <w:rPr>
          <w:sz w:val="20"/>
          <w:szCs w:val="20"/>
        </w:rPr>
      </w:pPr>
      <w:r>
        <w:rPr>
          <w:sz w:val="20"/>
          <w:szCs w:val="20"/>
        </w:rPr>
        <w:t xml:space="preserve">For composite materials classified as hybrids, they </w:t>
      </w:r>
      <w:r>
        <w:rPr>
          <w:sz w:val="20"/>
          <w:szCs w:val="20"/>
        </w:rPr>
        <w:t>are known</w:t>
      </w:r>
      <w:r>
        <w:rPr>
          <w:sz w:val="20"/>
          <w:szCs w:val="20"/>
        </w:rPr>
        <w:t xml:space="preserve"> to consist of fibers in their matrix. This matrix is singular. However, they can consist of different types of fibers but two dissimilar fibers </w:t>
      </w:r>
      <w:r>
        <w:rPr>
          <w:sz w:val="20"/>
          <w:szCs w:val="20"/>
        </w:rPr>
        <w:t>are known</w:t>
      </w:r>
      <w:r>
        <w:rPr>
          <w:sz w:val="20"/>
          <w:szCs w:val="20"/>
        </w:rPr>
        <w:t xml:space="preserve"> to give optimal service performances. It </w:t>
      </w:r>
      <w:r>
        <w:rPr>
          <w:sz w:val="20"/>
          <w:szCs w:val="20"/>
        </w:rPr>
        <w:t>is also observed</w:t>
      </w:r>
      <w:r>
        <w:rPr>
          <w:sz w:val="20"/>
          <w:szCs w:val="20"/>
        </w:rPr>
        <w:t xml:space="preserve"> the disparity in hybrid composites falls in the mechanical properties of the materials and the chemical properties of the materials. However this is to </w:t>
      </w:r>
      <w:r>
        <w:rPr>
          <w:sz w:val="20"/>
          <w:szCs w:val="20"/>
        </w:rPr>
        <w:t>be achieved</w:t>
      </w:r>
      <w:r>
        <w:rPr>
          <w:sz w:val="20"/>
          <w:szCs w:val="20"/>
        </w:rPr>
        <w:t xml:space="preserve">, one salient fact </w:t>
      </w:r>
      <w:r>
        <w:rPr>
          <w:sz w:val="20"/>
          <w:szCs w:val="20"/>
        </w:rPr>
        <w:t xml:space="preserve">there must be a valuable material in the composition as reinforcements </w:t>
      </w:r>
      <w:r>
        <w:rPr>
          <w:color w:val="000000"/>
          <w:sz w:val="20"/>
          <w:szCs w:val="20"/>
        </w:rPr>
        <w:t>(</w:t>
      </w:r>
      <w:r>
        <w:rPr>
          <w:color w:val="000000"/>
          <w:sz w:val="20"/>
          <w:szCs w:val="20"/>
        </w:rPr>
        <w:t>Dashtizadeh</w:t>
      </w:r>
      <w:r>
        <w:rPr>
          <w:color w:val="000000"/>
          <w:sz w:val="20"/>
          <w:szCs w:val="20"/>
        </w:rPr>
        <w:t xml:space="preserve"> et al., 2020)</w:t>
      </w:r>
      <w:r>
        <w:rPr>
          <w:sz w:val="20"/>
          <w:szCs w:val="20"/>
        </w:rPr>
        <w:t>.</w:t>
      </w:r>
      <w:bookmarkStart w:id="1" w:name="_Toc146378463"/>
    </w:p>
    <w:p w14:paraId="0000001B">
      <w:pPr>
        <w:jc w:val="both"/>
        <w:rPr>
          <w:sz w:val="20"/>
          <w:szCs w:val="20"/>
        </w:rPr>
      </w:pPr>
    </w:p>
    <w:p w14:paraId="0000001C">
      <w:pPr>
        <w:jc w:val="both"/>
        <w:rPr>
          <w:sz w:val="20"/>
          <w:szCs w:val="20"/>
        </w:rPr>
      </w:pPr>
      <w:bookmarkEnd w:id="1"/>
      <w:r>
        <w:rPr>
          <w:sz w:val="20"/>
          <w:szCs w:val="20"/>
        </w:rPr>
        <w:t xml:space="preserve">Polyester resins are synthetic resins that are byproducts of the chemical reaction by cross-linking substances such as styrene. Hence, they </w:t>
      </w:r>
      <w:r>
        <w:rPr>
          <w:sz w:val="20"/>
          <w:szCs w:val="20"/>
        </w:rPr>
        <w:t>are used</w:t>
      </w:r>
      <w:r>
        <w:rPr>
          <w:sz w:val="20"/>
          <w:szCs w:val="20"/>
        </w:rPr>
        <w:t xml:space="preserve"> in aspects of production and as structur</w:t>
      </w:r>
      <w:r>
        <w:rPr>
          <w:sz w:val="20"/>
          <w:szCs w:val="20"/>
        </w:rPr>
        <w:t xml:space="preserve">al components in automobiles. </w:t>
      </w:r>
      <w:r>
        <w:rPr>
          <w:sz w:val="20"/>
          <w:szCs w:val="20"/>
        </w:rPr>
        <w:t xml:space="preserve">For Kenaf, they are plants known as Hibiscus </w:t>
      </w:r>
      <w:r>
        <w:rPr>
          <w:sz w:val="20"/>
          <w:szCs w:val="20"/>
        </w:rPr>
        <w:t>cannabinus</w:t>
      </w:r>
      <w:r>
        <w:rPr>
          <w:sz w:val="20"/>
          <w:szCs w:val="20"/>
        </w:rPr>
        <w:t xml:space="preserve"> native to Africa. However, Kenaf is useful as a candidate material in building some structural components for </w:t>
      </w:r>
      <w:r>
        <w:rPr>
          <w:sz w:val="20"/>
          <w:szCs w:val="20"/>
        </w:rPr>
        <w:t xml:space="preserve">automobiles </w:t>
      </w:r>
      <w:r>
        <w:rPr>
          <w:sz w:val="20"/>
          <w:szCs w:val="20"/>
        </w:rPr>
        <w:t xml:space="preserve"> </w:t>
      </w:r>
      <w:r>
        <w:rPr>
          <w:color w:val="000000"/>
          <w:sz w:val="20"/>
          <w:szCs w:val="20"/>
        </w:rPr>
        <w:t>(</w:t>
      </w:r>
      <w:r>
        <w:rPr>
          <w:color w:val="000000"/>
          <w:sz w:val="20"/>
          <w:szCs w:val="20"/>
        </w:rPr>
        <w:t>Sreenivas</w:t>
      </w:r>
      <w:r>
        <w:rPr>
          <w:color w:val="000000"/>
          <w:sz w:val="20"/>
          <w:szCs w:val="20"/>
        </w:rPr>
        <w:t xml:space="preserve"> et al., 2020)</w:t>
      </w:r>
      <w:r>
        <w:rPr>
          <w:sz w:val="20"/>
          <w:szCs w:val="20"/>
        </w:rPr>
        <w:t xml:space="preserve">. </w:t>
      </w:r>
    </w:p>
    <w:p w14:paraId="0000001D">
      <w:pPr>
        <w:jc w:val="both"/>
        <w:rPr>
          <w:sz w:val="20"/>
          <w:szCs w:val="20"/>
        </w:rPr>
      </w:pPr>
    </w:p>
    <w:p w14:paraId="0000001E">
      <w:pPr>
        <w:jc w:val="both"/>
        <w:rPr>
          <w:sz w:val="20"/>
          <w:szCs w:val="20"/>
        </w:rPr>
      </w:pPr>
      <w:r>
        <w:rPr>
          <w:sz w:val="20"/>
          <w:szCs w:val="20"/>
        </w:rPr>
        <w:t xml:space="preserve">For Coir, these substances are fibrous and </w:t>
      </w:r>
      <w:r>
        <w:rPr>
          <w:sz w:val="20"/>
          <w:szCs w:val="20"/>
        </w:rPr>
        <w:t>can be found</w:t>
      </w:r>
      <w:r>
        <w:rPr>
          <w:sz w:val="20"/>
          <w:szCs w:val="20"/>
        </w:rPr>
        <w:t xml:space="preserve"> between the inner shell and outer surfaces of a coconut.  </w:t>
      </w:r>
      <w:r>
        <w:rPr>
          <w:sz w:val="20"/>
          <w:szCs w:val="20"/>
        </w:rPr>
        <w:t>is</w:t>
      </w:r>
      <w:r>
        <w:rPr>
          <w:sz w:val="20"/>
          <w:szCs w:val="20"/>
        </w:rPr>
        <w:t xml:space="preserve"> the fibrous material found between the hard, internal shell and the out</w:t>
      </w:r>
      <w:r>
        <w:rPr>
          <w:sz w:val="20"/>
          <w:szCs w:val="20"/>
        </w:rPr>
        <w:t xml:space="preserve">er coat of a coconut  </w:t>
      </w:r>
      <w:r>
        <w:rPr>
          <w:color w:val="000000"/>
          <w:sz w:val="20"/>
          <w:szCs w:val="20"/>
        </w:rPr>
        <w:t>(Chee et al., 2020)</w:t>
      </w:r>
      <w:r>
        <w:rPr>
          <w:sz w:val="20"/>
          <w:szCs w:val="20"/>
        </w:rPr>
        <w:t>.</w:t>
      </w:r>
    </w:p>
    <w:p w14:paraId="0000001F">
      <w:pPr>
        <w:jc w:val="both"/>
        <w:rPr>
          <w:sz w:val="20"/>
          <w:szCs w:val="20"/>
        </w:rPr>
      </w:pPr>
    </w:p>
    <w:p w14:paraId="00000020">
      <w:pPr>
        <w:jc w:val="both"/>
        <w:rPr>
          <w:sz w:val="20"/>
          <w:szCs w:val="20"/>
        </w:rPr>
      </w:pPr>
      <w:r>
        <w:rPr>
          <w:sz w:val="20"/>
          <w:szCs w:val="20"/>
        </w:rPr>
        <w:t xml:space="preserve">In general, composite materials are made of the matrix, constituents with the largest quantity share other components and reinforce materials that are used to obtain projected properties hence, </w:t>
      </w:r>
      <w:r>
        <w:rPr>
          <w:sz w:val="20"/>
          <w:szCs w:val="20"/>
        </w:rPr>
        <w:t>they</w:t>
      </w:r>
      <w:r>
        <w:rPr>
          <w:sz w:val="20"/>
          <w:szCs w:val="20"/>
        </w:rPr>
        <w:t xml:space="preserve"> can be termed as hybrids. This study aims to develop a reinforced composite with polyester resin, Kenaf, and coconut coir as its principal components. This developed composite has to </w:t>
      </w:r>
      <w:r>
        <w:rPr>
          <w:sz w:val="20"/>
          <w:szCs w:val="20"/>
        </w:rPr>
        <w:t>be subjected</w:t>
      </w:r>
      <w:r>
        <w:rPr>
          <w:sz w:val="20"/>
          <w:szCs w:val="20"/>
        </w:rPr>
        <w:t xml:space="preserve"> to different characterization experiments to evaluate the material's physical and chemical properties.   </w:t>
      </w:r>
    </w:p>
    <w:p w14:paraId="00000021">
      <w:pPr>
        <w:keepNext w:val="on"/>
        <w:keepLines w:val="on"/>
        <w:spacing w:before="240" w:after="240"/>
        <w:rPr>
          <w:rFonts w:cs="SimSun" w:eastAsia="SimSun"/>
          <w:b/>
          <w:sz w:val="20"/>
          <w:szCs w:val="20"/>
          <w:lang w:val="en-GB"/>
        </w:rPr>
      </w:pPr>
      <w:r>
        <w:rPr>
          <w:rFonts w:cs="SimSun" w:eastAsia="SimSun"/>
          <w:b/>
          <w:sz w:val="20"/>
          <w:szCs w:val="20"/>
          <w:lang w:val="en-GB"/>
        </w:rPr>
        <w:t>2.0 MATERIALS AND METHODOLOGY</w:t>
      </w:r>
    </w:p>
    <w:p w14:paraId="00000022">
      <w:pPr>
        <w:pStyle w:val="Heading2"/>
        <w:numPr>
          <w:ilvl w:val="1"/>
          <w:numId w:val="2"/>
        </w:numPr>
        <w:spacing w:after="240"/>
        <w:rPr>
          <w:sz w:val="20"/>
          <w:szCs w:val="20"/>
        </w:rPr>
      </w:pPr>
      <w:r>
        <w:rPr>
          <w:sz w:val="20"/>
          <w:szCs w:val="20"/>
        </w:rPr>
        <w:t>Materials</w:t>
      </w:r>
    </w:p>
    <w:p w14:paraId="00000023">
      <w:pPr>
        <w:jc w:val="both"/>
        <w:rPr>
          <w:sz w:val="20"/>
          <w:szCs w:val="20"/>
        </w:rPr>
      </w:pPr>
      <w:r>
        <w:rPr>
          <w:sz w:val="20"/>
          <w:szCs w:val="20"/>
        </w:rPr>
        <w:t xml:space="preserve">The primary materials used for the development of the material are the Coconut coir and Polyester resin. The coconut coir </w:t>
      </w:r>
      <w:r>
        <w:rPr>
          <w:sz w:val="20"/>
          <w:szCs w:val="20"/>
        </w:rPr>
        <w:t>was obtained</w:t>
      </w:r>
      <w:r>
        <w:rPr>
          <w:sz w:val="20"/>
          <w:szCs w:val="20"/>
        </w:rPr>
        <w:t xml:space="preserve"> from a local market in Ilorin, Kwara state. The extraction of the fiber </w:t>
      </w:r>
      <w:r>
        <w:rPr>
          <w:sz w:val="20"/>
          <w:szCs w:val="20"/>
        </w:rPr>
        <w:t>was achieved</w:t>
      </w:r>
      <w:r>
        <w:rPr>
          <w:sz w:val="20"/>
          <w:szCs w:val="20"/>
        </w:rPr>
        <w:t xml:space="preserve"> by using milling and grinding machines. The Polyester resin </w:t>
      </w:r>
      <w:r>
        <w:rPr>
          <w:sz w:val="20"/>
          <w:szCs w:val="20"/>
        </w:rPr>
        <w:t>was acquired</w:t>
      </w:r>
      <w:r>
        <w:rPr>
          <w:sz w:val="20"/>
          <w:szCs w:val="20"/>
        </w:rPr>
        <w:t xml:space="preserve"> from Tony Nigeria Enterprises in Ojota, Lagos. </w:t>
      </w:r>
    </w:p>
    <w:p w14:paraId="00000024">
      <w:pPr>
        <w:jc w:val="both"/>
        <w:rPr>
          <w:sz w:val="20"/>
          <w:szCs w:val="20"/>
        </w:rPr>
      </w:pPr>
      <w:r>
        <w:rPr>
          <w:sz w:val="20"/>
          <w:szCs w:val="20"/>
        </w:rPr>
        <w:t xml:space="preserve"> The chemicals used included Methyl Ethyl Ketone Peroxide (MEKP) as a </w:t>
      </w:r>
      <w:r>
        <w:rPr>
          <w:sz w:val="20"/>
          <w:szCs w:val="20"/>
        </w:rPr>
        <w:t>catalyst,</w:t>
      </w:r>
      <w:r>
        <w:rPr>
          <w:sz w:val="20"/>
          <w:szCs w:val="20"/>
        </w:rPr>
        <w:t xml:space="preserve"> cobalt </w:t>
      </w:r>
      <w:r>
        <w:rPr>
          <w:sz w:val="20"/>
          <w:szCs w:val="20"/>
        </w:rPr>
        <w:t>octanoate</w:t>
      </w:r>
      <w:r>
        <w:rPr>
          <w:sz w:val="20"/>
          <w:szCs w:val="20"/>
        </w:rPr>
        <w:t xml:space="preserve"> was used as an accelerator, sodium hydroxide for the chemical treatment of coconut coir, and coconut oil as a releasing agent.</w:t>
      </w:r>
    </w:p>
    <w:p w14:paraId="00000025">
      <w:pPr>
        <w:spacing w:after="200"/>
        <w:jc w:val="both"/>
        <w:rPr>
          <w:sz w:val="20"/>
          <w:szCs w:val="20"/>
        </w:rPr>
      </w:pPr>
      <w:r>
        <w:rPr>
          <w:sz w:val="20"/>
          <w:szCs w:val="20"/>
        </w:rPr>
        <w:t xml:space="preserve">A mold made of wood was, fabricated to obtain several samples. These molds </w:t>
      </w:r>
      <w:r>
        <w:rPr>
          <w:sz w:val="20"/>
          <w:szCs w:val="20"/>
        </w:rPr>
        <w:t>were fabricated</w:t>
      </w:r>
      <w:r>
        <w:rPr>
          <w:sz w:val="20"/>
          <w:szCs w:val="20"/>
        </w:rPr>
        <w:t xml:space="preserve"> in a carpentry workshop to a good surface finish at the University of Ilorin.  A smart electronic load cell </w:t>
      </w:r>
      <w:r>
        <w:rPr>
          <w:sz w:val="20"/>
          <w:szCs w:val="20"/>
        </w:rPr>
        <w:t>was used</w:t>
      </w:r>
      <w:r>
        <w:rPr>
          <w:sz w:val="20"/>
          <w:szCs w:val="20"/>
        </w:rPr>
        <w:t xml:space="preserve"> to measure the masses of the samples; a sieve was used to obtain fine particle </w:t>
      </w:r>
      <w:r>
        <w:rPr>
          <w:sz w:val="20"/>
          <w:szCs w:val="20"/>
        </w:rPr>
        <w:t>distributions, a mixing bowl was used for mixing the materials and the chemicals, with the timing of the product formation being monitored with a stopwatch.  Gloves are necessary in handling the chemicals. For the characterization of the samples, a 50KN Universal testing machine (INSTRON 3369), and Scanning Electron Microscopy (SEM) were used.</w:t>
      </w:r>
    </w:p>
    <w:p w14:paraId="00000026">
      <w:pPr>
        <w:pStyle w:val="Heading2"/>
        <w:spacing w:after="240"/>
        <w:rPr>
          <w:sz w:val="20"/>
          <w:szCs w:val="20"/>
        </w:rPr>
      </w:pPr>
      <w:r>
        <w:rPr>
          <w:sz w:val="20"/>
          <w:szCs w:val="20"/>
        </w:rPr>
        <w:t>2.2 Method</w:t>
      </w:r>
      <w:bookmarkStart w:id="2" w:name="_Toc146378470"/>
    </w:p>
    <w:p w14:paraId="00000027">
      <w:pPr>
        <w:pStyle w:val="Heading3"/>
        <w:spacing w:after="240"/>
        <w:rPr>
          <w:sz w:val="20"/>
          <w:szCs w:val="20"/>
        </w:rPr>
      </w:pPr>
      <w:r>
        <w:rPr>
          <w:sz w:val="20"/>
          <w:szCs w:val="20"/>
        </w:rPr>
        <w:t>2.2.1 Chemical Preparation of Composites</w:t>
      </w:r>
      <w:bookmarkEnd w:id="2"/>
      <w:r>
        <w:rPr>
          <w:sz w:val="20"/>
          <w:szCs w:val="20"/>
        </w:rPr>
        <w:t xml:space="preserve"> </w:t>
      </w:r>
    </w:p>
    <w:p w14:paraId="00000028">
      <w:pPr>
        <w:jc w:val="both"/>
        <w:rPr>
          <w:sz w:val="20"/>
          <w:szCs w:val="20"/>
        </w:rPr>
      </w:pPr>
      <w:r>
        <w:rPr>
          <w:sz w:val="20"/>
          <w:szCs w:val="20"/>
        </w:rPr>
        <w:t xml:space="preserve">The fibers used for this study are Kenaf and coir. The coir fibers </w:t>
      </w:r>
      <w:r>
        <w:rPr>
          <w:sz w:val="20"/>
          <w:szCs w:val="20"/>
        </w:rPr>
        <w:t>were cut</w:t>
      </w:r>
      <w:r>
        <w:rPr>
          <w:sz w:val="20"/>
          <w:szCs w:val="20"/>
        </w:rPr>
        <w:t xml:space="preserve"> to lengths of 120-140 mm. The polyester resin with Methyl Ethyl Ketone Peroxide (MEKP) as a catalyst and Cobalt </w:t>
      </w:r>
      <w:r>
        <w:rPr>
          <w:sz w:val="20"/>
          <w:szCs w:val="20"/>
        </w:rPr>
        <w:t>Octanoate</w:t>
      </w:r>
      <w:r>
        <w:rPr>
          <w:sz w:val="20"/>
          <w:szCs w:val="20"/>
        </w:rPr>
        <w:t xml:space="preserve"> was, used as an accelerator. The oil from the coconut was, used as a releasing agent. Surface impurities from the fiber; such as pectin and lignin were, removed by using NaOH. The NaOH solution was, prepared by dissolving NaOH pellets (by 10% of its weight) in distilled water (90% by its weight) and making it a uniform solution by effective mixing. The fibers are then soaked in NaOH for 12 hours. This </w:t>
      </w:r>
      <w:r>
        <w:rPr>
          <w:sz w:val="20"/>
          <w:szCs w:val="20"/>
        </w:rPr>
        <w:t>is done</w:t>
      </w:r>
      <w:r>
        <w:rPr>
          <w:sz w:val="20"/>
          <w:szCs w:val="20"/>
        </w:rPr>
        <w:t xml:space="preserve"> to effectively remove the impurities and celluloses.  </w:t>
      </w:r>
    </w:p>
    <w:p w14:paraId="00000029">
      <w:pPr>
        <w:rPr>
          <w:sz w:val="20"/>
          <w:szCs w:val="20"/>
        </w:rPr>
      </w:pPr>
      <w:r>
        <w:rPr>
          <w:sz w:val="20"/>
          <w:szCs w:val="20"/>
        </w:rPr>
        <w:t xml:space="preserve">After 12 hours of soaking, the fibers, are removed and rinsed in distilled water and then exposed to sunlight for two days in order to dry. To ensure a uniformly blended polymer matrix, the fibers were, joined into 350 to 450mm lengths.  This process is then, followed by drying at a temperature of 100⁰C for 48 hours. The moisture content of the fibers were also determined by comparing the oven-dried weight with the wet weight of the samples before treatment. The laminates formed during the making of the samples </w:t>
      </w:r>
      <w:r>
        <w:rPr>
          <w:sz w:val="20"/>
          <w:szCs w:val="20"/>
        </w:rPr>
        <w:t>are shown</w:t>
      </w:r>
      <w:r>
        <w:rPr>
          <w:sz w:val="20"/>
          <w:szCs w:val="20"/>
        </w:rPr>
        <w:t xml:space="preserve"> in Figure 1.</w:t>
      </w:r>
    </w:p>
    <w:tbl>
      <w:tblPr>
        <w:tblStyle w:val="TableGrid"/>
        <w:tblW w:w="0" w:type="auto"/>
        <w:tblBorders>
          <w:top w:val="none" w:sz="4" w:space="0"/>
          <w:left w:val="none" w:sz="4" w:space="0"/>
          <w:bottom w:val="none" w:sz="4" w:space="0"/>
          <w:right w:val="none" w:sz="4" w:space="0"/>
          <w:insideH w:val="none" w:sz="4" w:space="0"/>
          <w:insideV w:val="none" w:sz="4" w:space="0"/>
        </w:tblBorders>
        <w:tblLook w:val="04A0"/>
      </w:tblPr>
      <w:tblGrid>
        <w:gridCol w:w="5979"/>
      </w:tblGrid>
      <w:tr>
        <w:trPr/>
        <w:tc>
          <w:tcPr>
            <w:cnfStyle w:val="101000000000"/>
            <w:tcW w:w="0" w:type="auto"/>
          </w:tcPr>
          <w:p w14:paraId="0000002A">
            <w:pPr>
              <w:rPr>
                <w:sz w:val="20"/>
                <w:szCs w:val="20"/>
              </w:rPr>
            </w:pPr>
            <w:r>
              <w:rPr>
                <w:sz w:val="20"/>
                <w:szCs w:val="20"/>
              </w:rPr>
              <w:drawing xmlns:mc="http://schemas.openxmlformats.org/markup-compatibility/2006">
                <wp:inline distT="0" distB="0" distL="0" distR="0">
                  <wp:extent cx="5806440" cy="1958340"/>
                  <wp:effectExtent l="0" t="0" r="0" b="0"/>
                  <wp:docPr id="860514993"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0514945" name="Picture 7"/>
                          <pic:cNvPicPr>
                            <a:picLocks noChangeAspect="1"/>
                          </pic:cNvPicPr>
                        </pic:nvPicPr>
                        <pic:blipFill>
                          <a:blip r:embed="rId55"/>
                          <a:srcRect/>
                          <a:stretch>
                            <a:fillRect/>
                          </a:stretch>
                        </pic:blipFill>
                        <pic:spPr>
                          <a:xfrm>
                            <a:off x="0" y="0"/>
                            <a:ext cx="5806440" cy="1958340"/>
                          </a:xfrm>
                          <a:prstGeom prst="rect">
                            <a:avLst/>
                          </a:prstGeom>
                        </pic:spPr>
                      </pic:pic>
                    </a:graphicData>
                  </a:graphic>
                </wp:inline>
              </w:drawing>
            </w:r>
          </w:p>
        </w:tc>
      </w:tr>
      <w:tr>
        <w:trPr/>
        <w:tc>
          <w:tcPr>
            <w:cnfStyle w:val="001000100000"/>
            <w:tcW w:w="0" w:type="auto"/>
          </w:tcPr>
          <w:p w14:paraId="0000002B">
            <w:pPr>
              <w:rPr>
                <w:sz w:val="20"/>
                <w:szCs w:val="20"/>
              </w:rPr>
            </w:pPr>
            <w:r>
              <w:rPr>
                <w:b/>
                <w:sz w:val="20"/>
                <w:szCs w:val="20"/>
              </w:rPr>
              <w:t>Figure 1</w:t>
            </w:r>
            <w:r>
              <w:rPr>
                <w:sz w:val="20"/>
                <w:szCs w:val="20"/>
              </w:rPr>
              <w:t>: Laminates forming in the process</w:t>
            </w:r>
          </w:p>
        </w:tc>
      </w:tr>
    </w:tbl>
    <w:p w14:paraId="0000002C">
      <w:pPr>
        <w:rPr>
          <w:sz w:val="20"/>
          <w:szCs w:val="20"/>
        </w:rPr>
      </w:pPr>
    </w:p>
    <w:p w14:paraId="0000002D">
      <w:pPr>
        <w:pStyle w:val="Heading3"/>
        <w:rPr>
          <w:sz w:val="20"/>
          <w:szCs w:val="20"/>
        </w:rPr>
      </w:pPr>
      <w:r>
        <w:rPr>
          <w:sz w:val="20"/>
          <w:szCs w:val="20"/>
        </w:rPr>
        <w:t>2.2.2 Mechanical Test</w:t>
      </w:r>
    </w:p>
    <w:p w14:paraId="0000002E">
      <w:pPr>
        <w:rPr>
          <w:sz w:val="20"/>
          <w:szCs w:val="20"/>
        </w:rPr>
      </w:pPr>
    </w:p>
    <w:p w14:paraId="0000002F">
      <w:pPr>
        <w:pStyle w:val="Heading4"/>
        <w:spacing w:after="240"/>
        <w:rPr>
          <w:sz w:val="20"/>
          <w:szCs w:val="20"/>
        </w:rPr>
      </w:pPr>
      <w:r>
        <w:rPr>
          <w:sz w:val="20"/>
          <w:szCs w:val="20"/>
        </w:rPr>
        <w:t>2.2.2.1 Tensile Test</w:t>
      </w:r>
    </w:p>
    <w:p w14:paraId="00000030">
      <w:pPr>
        <w:spacing w:after="240"/>
        <w:jc w:val="both"/>
        <w:rPr>
          <w:sz w:val="20"/>
          <w:szCs w:val="20"/>
        </w:rPr>
      </w:pPr>
      <w:r>
        <w:rPr>
          <w:sz w:val="20"/>
          <w:szCs w:val="20"/>
        </w:rPr>
        <w:t xml:space="preserve">This test </w:t>
      </w:r>
      <w:r>
        <w:rPr>
          <w:sz w:val="20"/>
          <w:szCs w:val="20"/>
        </w:rPr>
        <w:t>was reproduced</w:t>
      </w:r>
      <w:r>
        <w:rPr>
          <w:sz w:val="20"/>
          <w:szCs w:val="20"/>
        </w:rPr>
        <w:t xml:space="preserve"> after the following ASTM D638 standards. It </w:t>
      </w:r>
      <w:r>
        <w:rPr>
          <w:sz w:val="20"/>
          <w:szCs w:val="20"/>
        </w:rPr>
        <w:t>was carried out</w:t>
      </w:r>
      <w:r>
        <w:rPr>
          <w:sz w:val="20"/>
          <w:szCs w:val="20"/>
        </w:rPr>
        <w:t xml:space="preserve"> to measure the force required to cause the specimens to fracture as well as the extent of their elongation. The universal testing machine </w:t>
      </w:r>
      <w:r>
        <w:rPr>
          <w:sz w:val="20"/>
          <w:szCs w:val="20"/>
        </w:rPr>
        <w:t>is shown</w:t>
      </w:r>
      <w:r>
        <w:rPr>
          <w:sz w:val="20"/>
          <w:szCs w:val="20"/>
        </w:rPr>
        <w:t xml:space="preserve"> in Figure 2.</w:t>
      </w:r>
    </w:p>
    <w:tbl>
      <w:tblPr>
        <w:tblStyle w:val="TableGrid"/>
        <w:tblW w:w="0" w:type="auto"/>
        <w:tblBorders>
          <w:top w:val="none" w:sz="4" w:space="0"/>
          <w:left w:val="none" w:sz="4" w:space="0"/>
          <w:bottom w:val="none" w:sz="4" w:space="0"/>
          <w:right w:val="none" w:sz="4" w:space="0"/>
          <w:insideH w:val="none" w:sz="4" w:space="0"/>
          <w:insideV w:val="none" w:sz="4" w:space="0"/>
        </w:tblBorders>
        <w:tblLook w:val="04A0"/>
      </w:tblPr>
      <w:tblGrid>
        <w:gridCol w:w="5979"/>
      </w:tblGrid>
      <w:tr>
        <w:trPr/>
        <w:tc>
          <w:tcPr>
            <w:cnfStyle w:val="101000000000"/>
            <w:tcW w:w="0" w:type="auto"/>
          </w:tcPr>
          <w:p w14:paraId="00000031">
            <w:pPr>
              <w:jc w:val="both"/>
              <w:rPr>
                <w:sz w:val="20"/>
                <w:szCs w:val="20"/>
              </w:rPr>
            </w:pPr>
            <w:r>
              <w:rPr>
                <w:sz w:val="20"/>
                <w:szCs w:val="20"/>
              </w:rPr>
              <w:drawing xmlns:mc="http://schemas.openxmlformats.org/markup-compatibility/2006">
                <wp:inline distT="0" distB="0" distL="0" distR="0">
                  <wp:extent cx="5897880" cy="1463040"/>
                  <wp:effectExtent l="0" t="0" r="0" b="0"/>
                  <wp:docPr id="860514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514946" name="Picture 1"/>
                          <pic:cNvPicPr>
                            <a:picLocks noChangeAspect="1" noChangeArrowheads="1"/>
                          </pic:cNvPicPr>
                        </pic:nvPicPr>
                        <pic:blipFill>
                          <a:blip r:embed="rId56"/>
                          <a:srcRect/>
                          <a:stretch>
                            <a:fillRect/>
                          </a:stretch>
                        </pic:blipFill>
                        <pic:spPr>
                          <a:xfrm>
                            <a:off x="0" y="0"/>
                            <a:ext cx="5897880" cy="1463040"/>
                          </a:xfrm>
                          <a:prstGeom prst="rect">
                            <a:avLst/>
                          </a:prstGeom>
                          <a:noFill/>
                          <a:ln w="9525">
                            <a:noFill/>
                            <a:miter lim="800000"/>
                          </a:ln>
                        </pic:spPr>
                      </pic:pic>
                    </a:graphicData>
                  </a:graphic>
                </wp:inline>
              </w:drawing>
            </w:r>
          </w:p>
        </w:tc>
      </w:tr>
      <w:tr>
        <w:trPr/>
        <w:tc>
          <w:tcPr>
            <w:cnfStyle w:val="001000100000"/>
            <w:tcW w:w="0" w:type="auto"/>
          </w:tcPr>
          <w:p w14:paraId="00000032">
            <w:pPr>
              <w:pStyle w:val="Caption"/>
              <w:spacing w:after="0"/>
              <w:rPr>
                <w:rFonts w:ascii="Times New Roman" w:hAnsi="Times New Roman"/>
                <w:b w:val="off"/>
                <w:color w:val="auto"/>
                <w:sz w:val="20"/>
                <w:szCs w:val="20"/>
              </w:rPr>
            </w:pPr>
            <w:bookmarkStart w:id="3" w:name="_Toc132111715"/>
            <w:r>
              <w:rPr>
                <w:rFonts w:ascii="Times New Roman" w:hAnsi="Times New Roman"/>
                <w:color w:val="auto"/>
                <w:sz w:val="20"/>
                <w:szCs w:val="20"/>
              </w:rPr>
              <w:t>Figure 2</w:t>
            </w:r>
            <w:r>
              <w:rPr>
                <w:rFonts w:ascii="Times New Roman" w:hAnsi="Times New Roman"/>
                <w:b w:val="off"/>
                <w:color w:val="auto"/>
                <w:sz w:val="20"/>
                <w:szCs w:val="20"/>
              </w:rPr>
              <w:t>: The Instron universal testing machine</w:t>
            </w:r>
            <w:bookmarkEnd w:id="3"/>
            <w:r>
              <w:rPr>
                <w:rFonts w:ascii="Times New Roman" w:hAnsi="Times New Roman"/>
                <w:b w:val="off"/>
                <w:color w:val="auto"/>
                <w:sz w:val="20"/>
                <w:szCs w:val="20"/>
              </w:rPr>
              <w:t xml:space="preserve"> used for determining the tensile strength of the specimen</w:t>
            </w:r>
            <w:r>
              <w:rPr>
                <w:sz w:val="20"/>
                <w:szCs w:val="20"/>
              </w:rPr>
              <w:t xml:space="preserve">     </w:t>
            </w:r>
          </w:p>
        </w:tc>
      </w:tr>
    </w:tbl>
    <w:p w14:paraId="00000033">
      <w:pPr>
        <w:spacing w:after="240"/>
        <w:jc w:val="both"/>
        <w:rPr>
          <w:sz w:val="20"/>
          <w:szCs w:val="20"/>
        </w:rPr>
      </w:pPr>
    </w:p>
    <w:p w14:paraId="00000034">
      <w:pPr>
        <w:rPr>
          <w:sz w:val="20"/>
          <w:szCs w:val="20"/>
        </w:rPr>
      </w:pPr>
    </w:p>
    <w:p w14:paraId="00000035">
      <w:pPr>
        <w:pStyle w:val="Heading4"/>
        <w:spacing w:after="240"/>
        <w:rPr>
          <w:sz w:val="20"/>
          <w:szCs w:val="20"/>
        </w:rPr>
      </w:pPr>
      <w:r>
        <w:rPr>
          <w:sz w:val="20"/>
          <w:szCs w:val="20"/>
        </w:rPr>
        <w:t>2.2.2.2 Impact Test</w:t>
      </w:r>
    </w:p>
    <w:p w14:paraId="00000036">
      <w:pPr>
        <w:spacing w:after="240"/>
        <w:jc w:val="both"/>
        <w:rPr>
          <w:sz w:val="20"/>
          <w:szCs w:val="20"/>
        </w:rPr>
      </w:pPr>
      <w:r>
        <w:rPr>
          <w:sz w:val="20"/>
          <w:szCs w:val="20"/>
        </w:rPr>
        <w:t xml:space="preserve">In order to determine the amount of energy that can be absorbed by the specimens, an Izod impact-testing machine </w:t>
      </w:r>
      <w:r>
        <w:rPr>
          <w:sz w:val="20"/>
          <w:szCs w:val="20"/>
        </w:rPr>
        <w:t>was used</w:t>
      </w:r>
      <w:r>
        <w:rPr>
          <w:sz w:val="20"/>
          <w:szCs w:val="20"/>
        </w:rPr>
        <w:t xml:space="preserve"> to investigate their toughness as shown in Figure 3. This </w:t>
      </w:r>
      <w:r>
        <w:rPr>
          <w:sz w:val="20"/>
          <w:szCs w:val="20"/>
        </w:rPr>
        <w:t>was effectively carried out</w:t>
      </w:r>
      <w:r>
        <w:rPr>
          <w:sz w:val="20"/>
          <w:szCs w:val="20"/>
        </w:rPr>
        <w:t xml:space="preserve"> by creating notches in the specimens according to the ASTM D256 standards. </w:t>
      </w:r>
    </w:p>
    <w:tbl>
      <w:tblPr>
        <w:tblStyle w:val="TableGrid"/>
        <w:tblW w:w="0" w:type="auto"/>
        <w:jc w:val="center"/>
        <w:tblBorders>
          <w:top w:val="none" w:sz="4" w:space="0"/>
          <w:left w:val="none" w:sz="4" w:space="0"/>
          <w:bottom w:val="none" w:sz="4" w:space="0"/>
          <w:right w:val="none" w:sz="4" w:space="0"/>
          <w:insideH w:val="none" w:sz="4" w:space="0"/>
          <w:insideV w:val="none" w:sz="4" w:space="0"/>
        </w:tblBorders>
        <w:tblLook w:val="04A0"/>
      </w:tblPr>
      <w:tblGrid>
        <w:gridCol w:w="5410"/>
      </w:tblGrid>
      <w:tr>
        <w:trPr>
          <w:jc w:val="center"/>
        </w:trPr>
        <w:tc>
          <w:tcPr>
            <w:cnfStyle w:val="101000000000"/>
            <w:tcW w:w="0" w:type="auto"/>
          </w:tcPr>
          <w:p w14:paraId="00000037">
            <w:pPr>
              <w:rPr>
                <w:sz w:val="20"/>
                <w:szCs w:val="20"/>
              </w:rPr>
            </w:pPr>
            <w:r>
              <w:rPr>
                <w:sz w:val="20"/>
                <w:szCs w:val="20"/>
              </w:rPr>
              <w:drawing xmlns:mc="http://schemas.openxmlformats.org/markup-compatibility/2006">
                <wp:anchor allowOverlap="1" behindDoc="0" distT="0" distB="0" distL="114300" distR="114300" layoutInCell="1" locked="0" relativeHeight="251659264" simplePos="0">
                  <wp:simplePos x="0" y="0"/>
                  <wp:positionH relativeFrom="margin">
                    <wp:posOffset>-62230</wp:posOffset>
                  </wp:positionH>
                  <wp:positionV relativeFrom="paragraph">
                    <wp:posOffset>635</wp:posOffset>
                  </wp:positionV>
                  <wp:extent cx="5593080" cy="3009900"/>
                  <wp:effectExtent l="0" t="0" r="0" b="0"/>
                  <wp:wrapSquare wrapText="bothSides"/>
                  <wp:docPr id="86051499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0514947" name="Picture 1"/>
                          <pic:cNvPicPr>
                            <a:picLocks noChangeAspect="1" noChangeArrowheads="1"/>
                          </pic:cNvPicPr>
                        </pic:nvPicPr>
                        <pic:blipFill>
                          <a:blip r:embed="rId57"/>
                          <a:srcRect/>
                          <a:stretch>
                            <a:fillRect/>
                          </a:stretch>
                        </pic:blipFill>
                        <pic:spPr>
                          <a:xfrm>
                            <a:off x="0" y="0"/>
                            <a:ext cx="5593080" cy="30099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trPr>
          <w:jc w:val="center"/>
        </w:trPr>
        <w:tc>
          <w:tcPr>
            <w:cnfStyle w:val="001000100000"/>
            <w:tcW w:w="0" w:type="auto"/>
          </w:tcPr>
          <w:p w14:paraId="00000038">
            <w:pPr>
              <w:rPr>
                <w:sz w:val="20"/>
                <w:szCs w:val="20"/>
              </w:rPr>
            </w:pPr>
            <w:r>
              <w:rPr>
                <w:b/>
                <w:sz w:val="20"/>
                <w:szCs w:val="20"/>
              </w:rPr>
              <w:t>Figure 3</w:t>
            </w:r>
            <w:r>
              <w:rPr>
                <w:sz w:val="20"/>
                <w:szCs w:val="20"/>
              </w:rPr>
              <w:t>: The Izod and Charpy impact testing machine</w:t>
            </w:r>
          </w:p>
        </w:tc>
      </w:tr>
    </w:tbl>
    <w:p w14:paraId="00000039">
      <w:pPr>
        <w:jc w:val="center"/>
        <w:rPr>
          <w:sz w:val="20"/>
          <w:szCs w:val="20"/>
        </w:rPr>
      </w:pPr>
      <w:bookmarkStart w:id="4" w:name="_Toc132111716"/>
      <w:bookmarkEnd w:id="4"/>
    </w:p>
    <w:p w14:paraId="0000003A">
      <w:pPr>
        <w:pStyle w:val="Heading4"/>
        <w:spacing w:after="240"/>
        <w:rPr>
          <w:sz w:val="20"/>
          <w:szCs w:val="20"/>
        </w:rPr>
      </w:pPr>
      <w:r>
        <w:rPr>
          <w:sz w:val="20"/>
          <w:szCs w:val="20"/>
        </w:rPr>
        <w:t>2.2.2.3Water Absorption Test</w:t>
      </w:r>
    </w:p>
    <w:p w14:paraId="0000003B">
      <w:pPr>
        <w:spacing w:after="240"/>
        <w:jc w:val="both"/>
        <w:rPr>
          <w:sz w:val="20"/>
          <w:szCs w:val="20"/>
        </w:rPr>
      </w:pPr>
      <w:r>
        <w:rPr>
          <w:sz w:val="20"/>
          <w:szCs w:val="20"/>
        </w:rPr>
        <w:t xml:space="preserve">The test was, conducted according to the ASTM D570 standards. The samples were soaked in water for 7 days. The soaked samples were, weighed to determine their mass. The change in mass by comparing to the </w:t>
      </w:r>
      <w:r>
        <w:rPr>
          <w:sz w:val="20"/>
          <w:szCs w:val="20"/>
        </w:rPr>
        <w:t xml:space="preserve">dry mass and taking it as a ratio with the dry mass </w:t>
      </w:r>
      <w:r>
        <w:rPr>
          <w:sz w:val="20"/>
          <w:szCs w:val="20"/>
        </w:rPr>
        <w:t>was used</w:t>
      </w:r>
      <w:r>
        <w:rPr>
          <w:sz w:val="20"/>
          <w:szCs w:val="20"/>
        </w:rPr>
        <w:t xml:space="preserve"> to obtain the water absorption. </w:t>
      </w:r>
    </w:p>
    <w:p w14:paraId="0000003C">
      <w:pPr>
        <w:pStyle w:val="Heading4"/>
        <w:spacing w:after="240"/>
        <w:rPr>
          <w:sz w:val="20"/>
          <w:szCs w:val="20"/>
        </w:rPr>
      </w:pPr>
      <w:r>
        <w:rPr>
          <w:sz w:val="20"/>
          <w:szCs w:val="20"/>
        </w:rPr>
        <w:t>2.2.2.4 Microstructural Analysis</w:t>
      </w:r>
    </w:p>
    <w:p w14:paraId="0000003D">
      <w:pPr>
        <w:spacing w:after="240"/>
        <w:jc w:val="both"/>
        <w:rPr>
          <w:sz w:val="20"/>
          <w:szCs w:val="20"/>
        </w:rPr>
      </w:pPr>
      <w:r>
        <w:rPr>
          <w:sz w:val="20"/>
          <w:szCs w:val="20"/>
        </w:rPr>
        <w:t xml:space="preserve">A test to investigate the microstructural compositions of the material samples </w:t>
      </w:r>
      <w:r>
        <w:rPr>
          <w:sz w:val="20"/>
          <w:szCs w:val="20"/>
        </w:rPr>
        <w:t>was done</w:t>
      </w:r>
      <w:r>
        <w:rPr>
          <w:sz w:val="20"/>
          <w:szCs w:val="20"/>
        </w:rPr>
        <w:t xml:space="preserve"> with the aid of a scanning electron microscope (SEM) which is shown in Figure 4. Insights to the microstructural features of the composite </w:t>
      </w:r>
      <w:r>
        <w:rPr>
          <w:sz w:val="20"/>
          <w:szCs w:val="20"/>
        </w:rPr>
        <w:t>was revealed</w:t>
      </w:r>
      <w:r>
        <w:rPr>
          <w:sz w:val="20"/>
          <w:szCs w:val="20"/>
        </w:rPr>
        <w:t xml:space="preserve">. This includes the reinforcement materials and the polymers. </w:t>
      </w:r>
    </w:p>
    <w:tbl>
      <w:tblPr>
        <w:tblStyle w:val="TableGrid"/>
        <w:tblW w:w="0" w:type="auto"/>
        <w:tblBorders>
          <w:top w:val="none" w:sz="4" w:space="0"/>
          <w:left w:val="none" w:sz="4" w:space="0"/>
          <w:bottom w:val="none" w:sz="4" w:space="0"/>
          <w:right w:val="none" w:sz="4" w:space="0"/>
          <w:insideH w:val="none" w:sz="4" w:space="0"/>
          <w:insideV w:val="none" w:sz="4" w:space="0"/>
        </w:tblBorders>
        <w:tblLook w:val="04A0"/>
      </w:tblPr>
      <w:tblGrid>
        <w:gridCol w:w="5979"/>
      </w:tblGrid>
      <w:tr>
        <w:trPr/>
        <w:tc>
          <w:tcPr>
            <w:cnfStyle w:val="101000000000"/>
            <w:tcW w:w="0" w:type="auto"/>
          </w:tcPr>
          <w:p w14:paraId="0000003E">
            <w:pPr>
              <w:spacing w:after="240"/>
              <w:rPr>
                <w:sz w:val="20"/>
                <w:szCs w:val="20"/>
              </w:rPr>
            </w:pPr>
            <w:r>
              <w:rPr>
                <w:b/>
                <w:sz w:val="20"/>
                <w:szCs w:val="20"/>
              </w:rPr>
              <w:drawing xmlns:mc="http://schemas.openxmlformats.org/markup-compatibility/2006">
                <wp:inline distT="0" distB="0" distL="114300" distR="114300">
                  <wp:extent cx="5783580" cy="3634740"/>
                  <wp:effectExtent l="0" t="0" r="0" b="0"/>
                  <wp:docPr id="86051499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514948" name="Picture 11"/>
                          <pic:cNvPicPr>
                            <a:picLocks noChangeAspect="1" noChangeArrowheads="1"/>
                          </pic:cNvPicPr>
                        </pic:nvPicPr>
                        <pic:blipFill>
                          <a:blip r:embed="rId58"/>
                          <a:srcRect/>
                          <a:stretch>
                            <a:fillRect/>
                          </a:stretch>
                        </pic:blipFill>
                        <pic:spPr>
                          <a:xfrm>
                            <a:off x="0" y="0"/>
                            <a:ext cx="5783580" cy="3634740"/>
                          </a:xfrm>
                          <a:prstGeom prst="rect">
                            <a:avLst/>
                          </a:prstGeom>
                          <a:noFill/>
                          <a:ln w="9525">
                            <a:noFill/>
                            <a:miter lim="800000"/>
                          </a:ln>
                        </pic:spPr>
                      </pic:pic>
                    </a:graphicData>
                  </a:graphic>
                </wp:inline>
              </w:drawing>
            </w:r>
          </w:p>
        </w:tc>
      </w:tr>
      <w:tr>
        <w:trPr/>
        <w:tc>
          <w:tcPr>
            <w:cnfStyle w:val="001000100000"/>
            <w:tcW w:w="0" w:type="auto"/>
          </w:tcPr>
          <w:p w14:paraId="0000003F">
            <w:pPr>
              <w:rPr>
                <w:sz w:val="20"/>
                <w:szCs w:val="20"/>
              </w:rPr>
            </w:pPr>
            <w:r>
              <w:rPr>
                <w:b/>
                <w:sz w:val="20"/>
                <w:szCs w:val="20"/>
              </w:rPr>
              <w:t>Figure 4</w:t>
            </w:r>
            <w:r>
              <w:rPr>
                <w:sz w:val="20"/>
                <w:szCs w:val="20"/>
              </w:rPr>
              <w:t>:SEM equipment used for the microstructural analysis of the specimen EDX machine</w:t>
            </w:r>
          </w:p>
          <w:p w14:paraId="00000040">
            <w:pPr>
              <w:rPr>
                <w:sz w:val="20"/>
                <w:szCs w:val="20"/>
              </w:rPr>
            </w:pPr>
          </w:p>
        </w:tc>
      </w:tr>
    </w:tbl>
    <w:p w14:paraId="00000041">
      <w:pPr>
        <w:pStyle w:val="Heading1"/>
        <w:spacing w:after="240"/>
        <w:rPr>
          <w:rFonts w:ascii="Times New Roman" w:cs="Times New Roman" w:hAnsi="Times New Roman"/>
          <w:b/>
          <w:color w:val="auto"/>
          <w:sz w:val="20"/>
          <w:szCs w:val="20"/>
        </w:rPr>
      </w:pPr>
      <w:r>
        <w:rPr>
          <w:rFonts w:ascii="Times New Roman" w:cs="Times New Roman" w:hAnsi="Times New Roman"/>
          <w:b/>
          <w:color w:val="auto"/>
          <w:sz w:val="20"/>
          <w:szCs w:val="20"/>
        </w:rPr>
        <w:t>3. RESULTS AND DISCUSSION</w:t>
      </w:r>
    </w:p>
    <w:p w14:paraId="00000042">
      <w:pPr>
        <w:pStyle w:val="Heading2"/>
        <w:spacing w:after="240"/>
        <w:rPr>
          <w:sz w:val="20"/>
          <w:szCs w:val="20"/>
        </w:rPr>
      </w:pPr>
      <w:r>
        <w:rPr>
          <w:sz w:val="20"/>
          <w:szCs w:val="20"/>
        </w:rPr>
        <w:t>3.1 Morphological Examination</w:t>
      </w:r>
    </w:p>
    <w:p w14:paraId="00000043">
      <w:pPr>
        <w:jc w:val="both"/>
        <w:rPr>
          <w:sz w:val="20"/>
          <w:szCs w:val="20"/>
        </w:rPr>
      </w:pPr>
      <w:r>
        <w:rPr>
          <w:sz w:val="20"/>
          <w:szCs w:val="20"/>
        </w:rPr>
        <w:t>Three hybrid composites were developed. By using the SEM equipment, the surface topography of the polyester resin matrix and the developed three different types of hybrid composites</w:t>
      </w:r>
      <w:r>
        <w:rPr>
          <w:sz w:val="20"/>
          <w:szCs w:val="20"/>
        </w:rPr>
        <w:t>;</w:t>
      </w:r>
      <w:r>
        <w:rPr>
          <w:sz w:val="20"/>
          <w:szCs w:val="20"/>
        </w:rPr>
        <w:t xml:space="preserve"> coconut fiber coir/Kenaf/coconut fiber coir (CKC), Kenaf/coconut fiber coir/Kenaf (KCK), and coconut fiber coir/coconut fiber coir/coconut fiber coir (CCC) were analyzed. The SEM analysis allowed for a comprehensive examination of the interfaces and fractured mechanical surfaces.</w:t>
      </w:r>
    </w:p>
    <w:tbl>
      <w:tblPr>
        <w:tblStyle w:val="TableGrid"/>
        <w:tblW w:w="0" w:type="auto"/>
        <w:tblBorders>
          <w:top w:val="none" w:sz="4" w:space="0"/>
          <w:left w:val="none" w:sz="4" w:space="0"/>
          <w:bottom w:val="none" w:sz="4" w:space="0"/>
          <w:right w:val="none" w:sz="4" w:space="0"/>
          <w:insideH w:val="none" w:sz="4" w:space="0"/>
          <w:insideV w:val="none" w:sz="4" w:space="0"/>
        </w:tblBorders>
        <w:tblLook w:val="04A0"/>
      </w:tblPr>
      <w:tblGrid>
        <w:gridCol w:w="2267"/>
        <w:gridCol w:w="1942"/>
        <w:gridCol w:w="1770"/>
      </w:tblGrid>
      <w:tr>
        <w:trPr>
          <w:trHeight w:val="4330"/>
        </w:trPr>
        <w:tc>
          <w:tcPr>
            <w:cnfStyle w:val="101000000000"/>
            <w:tcW w:w="0" w:type="auto"/>
          </w:tcPr>
          <w:p w14:paraId="00000044">
            <w:pPr>
              <w:jc w:val="both"/>
              <w:rPr>
                <w:sz w:val="20"/>
                <w:szCs w:val="20"/>
              </w:rPr>
            </w:pPr>
            <w:r>
              <w:rPr>
                <w:sz w:val="20"/>
                <w:szCs w:val="20"/>
              </w:rPr>
              <w:drawing xmlns:mc="http://schemas.openxmlformats.org/markup-compatibility/2006">
                <wp:inline distT="0" distB="0" distL="114300" distR="114300">
                  <wp:extent cx="2095500" cy="2674620"/>
                  <wp:effectExtent l="0" t="0" r="0" b="0"/>
                  <wp:docPr id="86051499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0514949" name="Picture 1"/>
                          <pic:cNvPicPr>
                            <a:picLocks noChangeAspect="1"/>
                          </pic:cNvPicPr>
                        </pic:nvPicPr>
                        <pic:blipFill>
                          <a:blip r:embed="rId59"/>
                          <a:srcRect/>
                          <a:stretch>
                            <a:fillRect/>
                          </a:stretch>
                        </pic:blipFill>
                        <pic:spPr>
                          <a:xfrm>
                            <a:off x="0" y="0"/>
                            <a:ext cx="2095500" cy="2674620"/>
                          </a:xfrm>
                          <a:prstGeom prst="rect">
                            <a:avLst/>
                          </a:prstGeom>
                        </pic:spPr>
                      </pic:pic>
                    </a:graphicData>
                  </a:graphic>
                </wp:inline>
              </w:drawing>
            </w:r>
          </w:p>
        </w:tc>
        <w:tc>
          <w:tcPr>
            <w:cnfStyle w:val="100000000000"/>
            <w:tcW w:w="0" w:type="auto"/>
          </w:tcPr>
          <w:p w14:paraId="00000045">
            <w:pPr>
              <w:jc w:val="both"/>
              <w:rPr>
                <w:sz w:val="20"/>
                <w:szCs w:val="20"/>
              </w:rPr>
            </w:pPr>
            <w:r>
              <w:rPr>
                <w:sz w:val="20"/>
                <w:szCs w:val="20"/>
              </w:rPr>
              <w:drawing xmlns:mc="http://schemas.openxmlformats.org/markup-compatibility/2006">
                <wp:inline distT="0" distB="0" distL="114300" distR="114300">
                  <wp:extent cx="1775460" cy="2674620"/>
                  <wp:effectExtent l="0" t="0" r="0" b="0"/>
                  <wp:docPr id="860514998" name="Picture 10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0514950" name="Picture 1031"/>
                          <pic:cNvPicPr>
                            <a:picLocks noChangeArrowheads="1"/>
                          </pic:cNvPicPr>
                        </pic:nvPicPr>
                        <pic:blipFill>
                          <a:blip r:embed="rId60"/>
                          <a:srcRect/>
                          <a:stretch>
                            <a:fillRect/>
                          </a:stretch>
                        </pic:blipFill>
                        <pic:spPr>
                          <a:xfrm>
                            <a:off x="0" y="0"/>
                            <a:ext cx="1775460" cy="2674620"/>
                          </a:xfrm>
                          <a:prstGeom prst="rect">
                            <a:avLst/>
                          </a:prstGeom>
                          <a:noFill/>
                          <a:ln>
                            <a:noFill/>
                          </a:ln>
                        </pic:spPr>
                      </pic:pic>
                    </a:graphicData>
                  </a:graphic>
                </wp:inline>
              </w:drawing>
            </w:r>
          </w:p>
        </w:tc>
        <w:tc>
          <w:tcPr>
            <w:cnfStyle w:val="100000000000"/>
            <w:tcW w:w="0" w:type="auto"/>
          </w:tcPr>
          <w:p w14:paraId="00000046">
            <w:pPr>
              <w:jc w:val="both"/>
              <w:rPr>
                <w:sz w:val="20"/>
                <w:szCs w:val="20"/>
              </w:rPr>
            </w:pPr>
            <w:r>
              <w:rPr>
                <w:sz w:val="20"/>
                <w:szCs w:val="20"/>
              </w:rPr>
              <w:drawing xmlns:mc="http://schemas.openxmlformats.org/markup-compatibility/2006">
                <wp:inline distT="0" distB="0" distL="114300" distR="114300">
                  <wp:extent cx="1605280" cy="2674620"/>
                  <wp:effectExtent l="0" t="0" r="0" b="0"/>
                  <wp:docPr id="8605149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514951" name="Picture 7"/>
                          <pic:cNvPicPr>
                            <a:picLocks noChangeAspect="1" noChangeArrowheads="1"/>
                          </pic:cNvPicPr>
                        </pic:nvPicPr>
                        <pic:blipFill>
                          <a:blip r:embed="rId61"/>
                          <a:srcRect/>
                          <a:stretch>
                            <a:fillRect/>
                          </a:stretch>
                        </pic:blipFill>
                        <pic:spPr>
                          <a:xfrm flipV="1">
                            <a:off x="0" y="0"/>
                            <a:ext cx="1605280" cy="2674620"/>
                          </a:xfrm>
                          <a:prstGeom prst="rect">
                            <a:avLst/>
                          </a:prstGeom>
                          <a:noFill/>
                          <a:ln w="9525">
                            <a:noFill/>
                            <a:miter lim="800000"/>
                          </a:ln>
                        </pic:spPr>
                      </pic:pic>
                    </a:graphicData>
                  </a:graphic>
                </wp:inline>
              </w:drawing>
            </w:r>
          </w:p>
        </w:tc>
      </w:tr>
      <w:tr>
        <w:trPr/>
        <w:tc>
          <w:tcPr>
            <w:cnfStyle w:val="001000100000"/>
            <w:tcW w:w="0" w:type="auto"/>
          </w:tcPr>
          <w:p w14:paraId="00000047">
            <w:pPr>
              <w:jc w:val="center"/>
              <w:rPr>
                <w:b/>
                <w:sz w:val="20"/>
                <w:szCs w:val="20"/>
              </w:rPr>
            </w:pPr>
            <w:r>
              <w:rPr>
                <w:b/>
                <w:sz w:val="20"/>
                <w:szCs w:val="20"/>
              </w:rPr>
              <w:t>(a)</w:t>
            </w:r>
          </w:p>
        </w:tc>
        <w:tc>
          <w:tcPr>
            <w:cnfStyle w:val="000000100000"/>
            <w:tcW w:w="0" w:type="auto"/>
          </w:tcPr>
          <w:p w14:paraId="00000048">
            <w:pPr>
              <w:jc w:val="center"/>
              <w:rPr>
                <w:b/>
                <w:sz w:val="20"/>
                <w:szCs w:val="20"/>
              </w:rPr>
            </w:pPr>
            <w:r>
              <w:rPr>
                <w:b/>
                <w:sz w:val="20"/>
                <w:szCs w:val="20"/>
              </w:rPr>
              <w:t>(b)</w:t>
            </w:r>
          </w:p>
        </w:tc>
        <w:tc>
          <w:tcPr>
            <w:cnfStyle w:val="000000100000"/>
            <w:tcW w:w="0" w:type="auto"/>
          </w:tcPr>
          <w:p w14:paraId="00000049">
            <w:pPr>
              <w:jc w:val="center"/>
              <w:rPr>
                <w:b/>
                <w:sz w:val="20"/>
                <w:szCs w:val="20"/>
              </w:rPr>
            </w:pPr>
            <w:r>
              <w:rPr>
                <w:b/>
                <w:sz w:val="20"/>
                <w:szCs w:val="20"/>
              </w:rPr>
              <w:t>(c)</w:t>
            </w:r>
          </w:p>
        </w:tc>
      </w:tr>
      <w:tr>
        <w:trPr/>
        <w:tc>
          <w:tcPr>
            <w:cnfStyle w:val="001000010000"/>
            <w:tcW w:w="0" w:type="auto"/>
            <w:gridSpan w:val="3"/>
          </w:tcPr>
          <w:p w14:paraId="0000004A">
            <w:pPr>
              <w:jc w:val="both"/>
              <w:rPr>
                <w:sz w:val="20"/>
                <w:szCs w:val="20"/>
              </w:rPr>
            </w:pPr>
            <w:r>
              <w:rPr>
                <w:b/>
                <w:sz w:val="20"/>
                <w:szCs w:val="20"/>
              </w:rPr>
              <w:t xml:space="preserve">Figure 5: </w:t>
            </w:r>
            <w:r>
              <w:rPr>
                <w:sz w:val="20"/>
                <w:szCs w:val="20"/>
              </w:rPr>
              <w:t xml:space="preserve">Shown in </w:t>
            </w:r>
            <w:r>
              <w:rPr>
                <w:b/>
                <w:sz w:val="20"/>
                <w:szCs w:val="20"/>
              </w:rPr>
              <w:t xml:space="preserve">(a) </w:t>
            </w:r>
            <w:r>
              <w:rPr>
                <w:sz w:val="20"/>
                <w:szCs w:val="20"/>
              </w:rPr>
              <w:t xml:space="preserve">is the topography of CKC at 15 kV , </w:t>
            </w:r>
            <w:r>
              <w:rPr>
                <w:b/>
                <w:sz w:val="20"/>
                <w:szCs w:val="20"/>
              </w:rPr>
              <w:t xml:space="preserve">(b) </w:t>
            </w:r>
            <w:r>
              <w:rPr>
                <w:sz w:val="20"/>
                <w:szCs w:val="20"/>
              </w:rPr>
              <w:t xml:space="preserve">is the topography of CCC at 20 kV and </w:t>
            </w:r>
            <w:r>
              <w:rPr>
                <w:b/>
                <w:sz w:val="20"/>
                <w:szCs w:val="20"/>
              </w:rPr>
              <w:t xml:space="preserve">(c) </w:t>
            </w:r>
            <w:r>
              <w:rPr>
                <w:sz w:val="20"/>
                <w:szCs w:val="20"/>
              </w:rPr>
              <w:t>is the topography of KCK at 15 kV</w:t>
            </w:r>
          </w:p>
        </w:tc>
      </w:tr>
    </w:tbl>
    <w:p w14:paraId="0000004B">
      <w:pPr>
        <w:jc w:val="both"/>
        <w:rPr>
          <w:sz w:val="20"/>
          <w:szCs w:val="20"/>
        </w:rPr>
      </w:pPr>
    </w:p>
    <w:p w14:paraId="0000004C">
      <w:pPr>
        <w:jc w:val="both"/>
        <w:rPr>
          <w:sz w:val="20"/>
          <w:szCs w:val="20"/>
        </w:rPr>
      </w:pPr>
      <w:r>
        <w:rPr>
          <w:sz w:val="20"/>
          <w:szCs w:val="20"/>
        </w:rPr>
        <w:t xml:space="preserve">It </w:t>
      </w:r>
      <w:r>
        <w:rPr>
          <w:sz w:val="20"/>
          <w:szCs w:val="20"/>
        </w:rPr>
        <w:t>is seen</w:t>
      </w:r>
      <w:r>
        <w:rPr>
          <w:sz w:val="20"/>
          <w:szCs w:val="20"/>
        </w:rPr>
        <w:t xml:space="preserve"> from Figure 5a and Figure 5b the boundaries of separation for the middle components in CKC and KCK respectively at fracture. The CCC material appears to be of haphazard contour distribution with no cleavages to show a distinct path for crack propagation at fracture. </w:t>
      </w:r>
    </w:p>
    <w:p w14:paraId="0000004D">
      <w:pPr>
        <w:jc w:val="both"/>
        <w:rPr>
          <w:sz w:val="20"/>
          <w:szCs w:val="20"/>
        </w:rPr>
      </w:pPr>
    </w:p>
    <w:p w14:paraId="0000004E">
      <w:pPr>
        <w:jc w:val="both"/>
        <w:rPr>
          <w:sz w:val="20"/>
          <w:szCs w:val="20"/>
        </w:rPr>
      </w:pPr>
      <w:r>
        <w:rPr>
          <w:sz w:val="20"/>
          <w:szCs w:val="20"/>
        </w:rPr>
        <w:t>From F</w:t>
      </w:r>
      <w:r>
        <w:rPr>
          <w:sz w:val="20"/>
          <w:szCs w:val="20"/>
        </w:rPr>
        <w:t xml:space="preserve">igure 6, the Kenaf fiber-reinforced polyester </w:t>
      </w:r>
      <w:r>
        <w:rPr>
          <w:sz w:val="20"/>
          <w:szCs w:val="20"/>
        </w:rPr>
        <w:t>can be seen</w:t>
      </w:r>
      <w:r>
        <w:rPr>
          <w:sz w:val="20"/>
          <w:szCs w:val="20"/>
        </w:rPr>
        <w:t xml:space="preserve"> to contain elements like silicon, carbon, aluminum, calcium, sodium, magnesium, iron, cadmium, potassium, and nitrogen in the synthesized composite nanostructure in the EDX spectrum. In the spectrum, carbon is seen to have the highest </w:t>
      </w:r>
      <w:r>
        <w:rPr>
          <w:sz w:val="20"/>
          <w:szCs w:val="20"/>
        </w:rPr>
        <w:t>composition which</w:t>
      </w:r>
      <w:r>
        <w:rPr>
          <w:sz w:val="20"/>
          <w:szCs w:val="20"/>
        </w:rPr>
        <w:t xml:space="preserve"> is 85.84%, then Nitrogen at 10.41%, and silicon at 0.87% as seen in the table 1 below. </w:t>
      </w:r>
    </w:p>
    <w:p w14:paraId="0000004F">
      <w:pPr>
        <w:jc w:val="both"/>
        <w:rPr>
          <w:sz w:val="20"/>
          <w:szCs w:val="20"/>
        </w:rPr>
      </w:pPr>
    </w:p>
    <w:tbl>
      <w:tblPr>
        <w:tblStyle w:val="TableGrid"/>
        <w:tblW w:w="0" w:type="auto"/>
        <w:tblBorders>
          <w:top w:val="none" w:sz="4" w:space="0"/>
          <w:left w:val="none" w:sz="4" w:space="0"/>
          <w:bottom w:val="none" w:sz="4" w:space="0"/>
          <w:right w:val="none" w:sz="4" w:space="0"/>
          <w:insideH w:val="none" w:sz="4" w:space="0"/>
          <w:insideV w:val="none" w:sz="4" w:space="0"/>
        </w:tblBorders>
        <w:tblLook w:val="04A0"/>
      </w:tblPr>
      <w:tblGrid>
        <w:gridCol w:w="5979"/>
      </w:tblGrid>
      <w:tr>
        <w:trPr/>
        <w:tc>
          <w:tcPr>
            <w:cnfStyle w:val="101000000000"/>
            <w:tcW w:w="0" w:type="auto"/>
          </w:tcPr>
          <w:p w14:paraId="00000050">
            <w:pPr>
              <w:jc w:val="both"/>
              <w:rPr>
                <w:sz w:val="20"/>
                <w:szCs w:val="20"/>
              </w:rPr>
            </w:pPr>
            <w:r>
              <w:rPr>
                <w:sz w:val="20"/>
                <w:szCs w:val="20"/>
              </w:rPr>
              <w:drawing xmlns:mc="http://schemas.openxmlformats.org/markup-compatibility/2006">
                <wp:inline distT="0" distB="0" distL="114300" distR="114300">
                  <wp:extent cx="5791200" cy="2522220"/>
                  <wp:effectExtent l="0" t="0" r="0" b="0"/>
                  <wp:docPr id="86051500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0514952" name="Picture 1"/>
                          <pic:cNvPicPr>
                            <a:picLocks noChangeAspect="1"/>
                          </pic:cNvPicPr>
                        </pic:nvPicPr>
                        <pic:blipFill>
                          <a:blip r:embed="rId62"/>
                          <a:srcRect/>
                          <a:stretch>
                            <a:fillRect/>
                          </a:stretch>
                        </pic:blipFill>
                        <pic:spPr>
                          <a:xfrm>
                            <a:off x="0" y="0"/>
                            <a:ext cx="5791200" cy="2522220"/>
                          </a:xfrm>
                          <a:prstGeom prst="rect">
                            <a:avLst/>
                          </a:prstGeom>
                        </pic:spPr>
                      </pic:pic>
                    </a:graphicData>
                  </a:graphic>
                </wp:inline>
              </w:drawing>
            </w:r>
          </w:p>
        </w:tc>
      </w:tr>
      <w:tr>
        <w:trPr/>
        <w:tc>
          <w:tcPr>
            <w:cnfStyle w:val="001000100000"/>
            <w:tcW w:w="0" w:type="auto"/>
          </w:tcPr>
          <w:p w14:paraId="00000051">
            <w:pPr>
              <w:rPr>
                <w:sz w:val="20"/>
                <w:szCs w:val="20"/>
              </w:rPr>
            </w:pPr>
            <w:r>
              <w:rPr>
                <w:b/>
                <w:sz w:val="20"/>
                <w:szCs w:val="20"/>
              </w:rPr>
              <w:t>Figure 6:</w:t>
            </w:r>
            <w:r>
              <w:rPr>
                <w:sz w:val="20"/>
                <w:szCs w:val="20"/>
              </w:rPr>
              <w:t xml:space="preserve"> EDX measurement of Kenaf/Coconut coir/Kenaf fiber </w:t>
            </w:r>
          </w:p>
        </w:tc>
      </w:tr>
    </w:tbl>
    <w:p w14:paraId="00000052">
      <w:pPr>
        <w:rPr>
          <w:sz w:val="20"/>
          <w:szCs w:val="20"/>
        </w:rPr>
      </w:pPr>
    </w:p>
    <w:p w14:paraId="00000053">
      <w:pPr>
        <w:rPr>
          <w:sz w:val="20"/>
          <w:szCs w:val="20"/>
        </w:rPr>
      </w:pPr>
    </w:p>
    <w:tbl>
      <w:tblPr>
        <w:tblStyle w:val="TableGrid"/>
        <w:tblW w:w="5000" w:type="pct"/>
        <w:tblLook w:val="04A0"/>
      </w:tblPr>
      <w:tblGrid>
        <w:gridCol w:w="1160"/>
        <w:gridCol w:w="1159"/>
        <w:gridCol w:w="1540"/>
        <w:gridCol w:w="1068"/>
        <w:gridCol w:w="1052"/>
      </w:tblGrid>
      <w:tr>
        <w:trPr/>
        <w:tc>
          <w:tcPr>
            <w:cnfStyle w:val="101000000000"/>
            <w:tcW w:w="5000" w:type="pct"/>
            <w:gridSpan w:val="5"/>
            <w:tcBorders>
              <w:top w:val="nil" w:sz="4" w:space="0"/>
              <w:left w:val="nil" w:sz="4" w:space="0"/>
              <w:bottom w:val="single" w:color="auto" w:sz="4" w:space="0"/>
              <w:right w:val="nil" w:sz="4" w:space="0"/>
            </w:tcBorders>
          </w:tcPr>
          <w:p w14:paraId="00000054">
            <w:pPr>
              <w:rPr>
                <w:sz w:val="20"/>
                <w:szCs w:val="20"/>
              </w:rPr>
            </w:pPr>
            <w:r>
              <w:rPr>
                <w:b/>
                <w:sz w:val="20"/>
                <w:szCs w:val="20"/>
              </w:rPr>
              <w:t xml:space="preserve">Table 1: </w:t>
            </w:r>
            <w:r>
              <w:rPr>
                <w:sz w:val="20"/>
                <w:szCs w:val="20"/>
              </w:rPr>
              <w:t>Compositions of the element make up for the developed polyester reinforced Kenaf-coir hybrid</w:t>
            </w:r>
          </w:p>
        </w:tc>
      </w:tr>
      <w:tr>
        <w:trPr/>
        <w:tc>
          <w:tcPr>
            <w:cnfStyle w:val="001000100000"/>
            <w:tcW w:w="970" w:type="pct"/>
            <w:tcBorders>
              <w:left w:val="nil" w:sz="4" w:space="0"/>
              <w:bottom w:val="single" w:color="auto" w:sz="4" w:space="0"/>
              <w:right w:val="nil" w:sz="4" w:space="0"/>
            </w:tcBorders>
          </w:tcPr>
          <w:p w14:paraId="00000055">
            <w:pPr>
              <w:jc w:val="both"/>
              <w:rPr>
                <w:b/>
                <w:sz w:val="20"/>
                <w:szCs w:val="20"/>
              </w:rPr>
            </w:pPr>
            <w:r>
              <w:rPr>
                <w:b/>
                <w:sz w:val="20"/>
                <w:szCs w:val="20"/>
              </w:rPr>
              <w:t>Element</w:t>
            </w:r>
            <w:r>
              <w:rPr>
                <w:b/>
                <w:sz w:val="20"/>
                <w:szCs w:val="20"/>
              </w:rPr>
              <w:br w:type="textWrapping"/>
            </w:r>
            <w:r>
              <w:rPr>
                <w:b/>
                <w:sz w:val="20"/>
                <w:szCs w:val="20"/>
              </w:rPr>
              <w:t>Number</w:t>
            </w:r>
          </w:p>
        </w:tc>
        <w:tc>
          <w:tcPr>
            <w:cnfStyle w:val="000000100000"/>
            <w:tcW w:w="969" w:type="pct"/>
            <w:tcBorders>
              <w:left w:val="nil" w:sz="4" w:space="0"/>
              <w:bottom w:val="single" w:color="auto" w:sz="4" w:space="0"/>
              <w:right w:val="nil" w:sz="4" w:space="0"/>
            </w:tcBorders>
          </w:tcPr>
          <w:p w14:paraId="00000056">
            <w:pPr>
              <w:jc w:val="both"/>
              <w:rPr>
                <w:b/>
                <w:sz w:val="20"/>
                <w:szCs w:val="20"/>
              </w:rPr>
            </w:pPr>
            <w:r>
              <w:rPr>
                <w:b/>
                <w:sz w:val="20"/>
                <w:szCs w:val="20"/>
              </w:rPr>
              <w:t>Element</w:t>
            </w:r>
            <w:r>
              <w:rPr>
                <w:b/>
                <w:sz w:val="20"/>
                <w:szCs w:val="20"/>
              </w:rPr>
              <w:br w:type="textWrapping"/>
            </w:r>
            <w:r>
              <w:rPr>
                <w:b/>
                <w:sz w:val="20"/>
                <w:szCs w:val="20"/>
              </w:rPr>
              <w:t>Symbol</w:t>
            </w:r>
          </w:p>
        </w:tc>
        <w:tc>
          <w:tcPr>
            <w:cnfStyle w:val="000000100000"/>
            <w:tcW w:w="1288" w:type="pct"/>
            <w:tcBorders>
              <w:left w:val="nil" w:sz="4" w:space="0"/>
              <w:bottom w:val="single" w:color="auto" w:sz="4" w:space="0"/>
              <w:right w:val="nil" w:sz="4" w:space="0"/>
            </w:tcBorders>
          </w:tcPr>
          <w:p w14:paraId="00000057">
            <w:pPr>
              <w:jc w:val="both"/>
              <w:rPr>
                <w:b/>
                <w:sz w:val="20"/>
                <w:szCs w:val="20"/>
              </w:rPr>
            </w:pPr>
            <w:r>
              <w:rPr>
                <w:b/>
                <w:sz w:val="20"/>
                <w:szCs w:val="20"/>
              </w:rPr>
              <w:t>Element</w:t>
            </w:r>
            <w:r>
              <w:rPr>
                <w:b/>
                <w:sz w:val="20"/>
                <w:szCs w:val="20"/>
              </w:rPr>
              <w:br w:type="textWrapping"/>
            </w:r>
            <w:r>
              <w:rPr>
                <w:b/>
                <w:sz w:val="20"/>
                <w:szCs w:val="20"/>
              </w:rPr>
              <w:t>Name</w:t>
            </w:r>
          </w:p>
        </w:tc>
        <w:tc>
          <w:tcPr>
            <w:cnfStyle w:val="000000100000"/>
            <w:tcW w:w="893" w:type="pct"/>
            <w:tcBorders>
              <w:left w:val="nil" w:sz="4" w:space="0"/>
              <w:bottom w:val="single" w:color="auto" w:sz="4" w:space="0"/>
              <w:right w:val="nil" w:sz="4" w:space="0"/>
            </w:tcBorders>
          </w:tcPr>
          <w:p w14:paraId="00000058">
            <w:pPr>
              <w:jc w:val="both"/>
              <w:rPr>
                <w:b/>
                <w:sz w:val="20"/>
                <w:szCs w:val="20"/>
              </w:rPr>
            </w:pPr>
            <w:r>
              <w:rPr>
                <w:b/>
                <w:sz w:val="20"/>
                <w:szCs w:val="20"/>
              </w:rPr>
              <w:t>Atomic</w:t>
            </w:r>
            <w:r>
              <w:rPr>
                <w:b/>
                <w:sz w:val="20"/>
                <w:szCs w:val="20"/>
              </w:rPr>
              <w:br w:type="textWrapping"/>
            </w:r>
            <w:r>
              <w:rPr>
                <w:b/>
                <w:sz w:val="20"/>
                <w:szCs w:val="20"/>
              </w:rPr>
              <w:t>Conc.</w:t>
            </w:r>
          </w:p>
        </w:tc>
        <w:tc>
          <w:tcPr>
            <w:cnfStyle w:val="000000100000"/>
            <w:tcW w:w="880" w:type="pct"/>
            <w:tcBorders>
              <w:left w:val="nil" w:sz="4" w:space="0"/>
              <w:bottom w:val="single" w:color="auto" w:sz="4" w:space="0"/>
              <w:right w:val="nil" w:sz="4" w:space="0"/>
            </w:tcBorders>
          </w:tcPr>
          <w:p w14:paraId="00000059">
            <w:pPr>
              <w:jc w:val="both"/>
              <w:rPr>
                <w:b/>
                <w:sz w:val="20"/>
                <w:szCs w:val="20"/>
              </w:rPr>
            </w:pPr>
            <w:r>
              <w:rPr>
                <w:b/>
                <w:sz w:val="20"/>
                <w:szCs w:val="20"/>
              </w:rPr>
              <w:t>Weight</w:t>
            </w:r>
            <w:r>
              <w:rPr>
                <w:b/>
                <w:sz w:val="20"/>
                <w:szCs w:val="20"/>
              </w:rPr>
              <w:br w:type="textWrapping"/>
            </w:r>
            <w:r>
              <w:rPr>
                <w:b/>
                <w:sz w:val="20"/>
                <w:szCs w:val="20"/>
              </w:rPr>
              <w:t>Conc.</w:t>
            </w:r>
          </w:p>
        </w:tc>
      </w:tr>
      <w:tr>
        <w:trPr/>
        <w:tc>
          <w:tcPr>
            <w:cnfStyle w:val="001000010000"/>
            <w:tcW w:w="970" w:type="pct"/>
            <w:tcBorders>
              <w:left w:val="nil" w:sz="4" w:space="0"/>
              <w:bottom w:val="nil" w:sz="4" w:space="0"/>
              <w:right w:val="nil" w:sz="4" w:space="0"/>
            </w:tcBorders>
          </w:tcPr>
          <w:p w14:paraId="0000005A">
            <w:pPr>
              <w:rPr>
                <w:sz w:val="20"/>
                <w:szCs w:val="20"/>
              </w:rPr>
            </w:pPr>
            <w:r>
              <w:rPr>
                <w:sz w:val="20"/>
                <w:szCs w:val="20"/>
              </w:rPr>
              <w:t>6</w:t>
            </w:r>
          </w:p>
        </w:tc>
        <w:tc>
          <w:tcPr>
            <w:cnfStyle w:val="000000010000"/>
            <w:tcW w:w="969" w:type="pct"/>
            <w:tcBorders>
              <w:left w:val="nil" w:sz="4" w:space="0"/>
              <w:bottom w:val="nil" w:sz="4" w:space="0"/>
              <w:right w:val="nil" w:sz="4" w:space="0"/>
            </w:tcBorders>
          </w:tcPr>
          <w:p w14:paraId="0000005B">
            <w:pPr>
              <w:rPr>
                <w:sz w:val="20"/>
                <w:szCs w:val="20"/>
              </w:rPr>
            </w:pPr>
            <w:r>
              <w:rPr>
                <w:sz w:val="20"/>
                <w:szCs w:val="20"/>
              </w:rPr>
              <w:t>C</w:t>
            </w:r>
          </w:p>
        </w:tc>
        <w:tc>
          <w:tcPr>
            <w:cnfStyle w:val="000000010000"/>
            <w:tcW w:w="1288" w:type="pct"/>
            <w:tcBorders>
              <w:left w:val="nil" w:sz="4" w:space="0"/>
              <w:bottom w:val="nil" w:sz="4" w:space="0"/>
              <w:right w:val="nil" w:sz="4" w:space="0"/>
            </w:tcBorders>
          </w:tcPr>
          <w:p w14:paraId="0000005C">
            <w:pPr>
              <w:rPr>
                <w:sz w:val="20"/>
                <w:szCs w:val="20"/>
              </w:rPr>
            </w:pPr>
            <w:r>
              <w:rPr>
                <w:sz w:val="20"/>
                <w:szCs w:val="20"/>
              </w:rPr>
              <w:t>Carbon</w:t>
            </w:r>
          </w:p>
        </w:tc>
        <w:tc>
          <w:tcPr>
            <w:cnfStyle w:val="000000010000"/>
            <w:tcW w:w="893" w:type="pct"/>
            <w:tcBorders>
              <w:left w:val="nil" w:sz="4" w:space="0"/>
              <w:bottom w:val="nil" w:sz="4" w:space="0"/>
              <w:right w:val="nil" w:sz="4" w:space="0"/>
            </w:tcBorders>
          </w:tcPr>
          <w:p w14:paraId="0000005D">
            <w:pPr>
              <w:rPr>
                <w:sz w:val="20"/>
                <w:szCs w:val="20"/>
              </w:rPr>
            </w:pPr>
            <w:r>
              <w:rPr>
                <w:sz w:val="20"/>
                <w:szCs w:val="20"/>
              </w:rPr>
              <w:t>89.11</w:t>
            </w:r>
          </w:p>
        </w:tc>
        <w:tc>
          <w:tcPr>
            <w:cnfStyle w:val="000000010000"/>
            <w:tcW w:w="880" w:type="pct"/>
            <w:tcBorders>
              <w:left w:val="nil" w:sz="4" w:space="0"/>
              <w:bottom w:val="nil" w:sz="4" w:space="0"/>
              <w:right w:val="nil" w:sz="4" w:space="0"/>
            </w:tcBorders>
          </w:tcPr>
          <w:p w14:paraId="0000005E">
            <w:pPr>
              <w:rPr>
                <w:sz w:val="20"/>
                <w:szCs w:val="20"/>
              </w:rPr>
            </w:pPr>
            <w:r>
              <w:rPr>
                <w:sz w:val="20"/>
                <w:szCs w:val="20"/>
              </w:rPr>
              <w:t>85.84</w:t>
            </w:r>
          </w:p>
        </w:tc>
      </w:tr>
      <w:tr>
        <w:trPr/>
        <w:tc>
          <w:tcPr>
            <w:cnfStyle w:val="001000100000"/>
            <w:tcW w:w="970" w:type="pct"/>
            <w:tcBorders>
              <w:top w:val="nil" w:sz="4" w:space="0"/>
              <w:left w:val="nil" w:sz="4" w:space="0"/>
              <w:bottom w:val="nil" w:sz="4" w:space="0"/>
              <w:right w:val="nil" w:sz="4" w:space="0"/>
            </w:tcBorders>
          </w:tcPr>
          <w:p w14:paraId="0000005F">
            <w:pPr>
              <w:rPr>
                <w:sz w:val="20"/>
                <w:szCs w:val="20"/>
              </w:rPr>
            </w:pPr>
            <w:r>
              <w:rPr>
                <w:sz w:val="20"/>
                <w:szCs w:val="20"/>
              </w:rPr>
              <w:t>7</w:t>
            </w:r>
          </w:p>
        </w:tc>
        <w:tc>
          <w:tcPr>
            <w:cnfStyle w:val="000000100000"/>
            <w:tcW w:w="969" w:type="pct"/>
            <w:tcBorders>
              <w:top w:val="nil" w:sz="4" w:space="0"/>
              <w:left w:val="nil" w:sz="4" w:space="0"/>
              <w:bottom w:val="nil" w:sz="4" w:space="0"/>
              <w:right w:val="nil" w:sz="4" w:space="0"/>
            </w:tcBorders>
          </w:tcPr>
          <w:p w14:paraId="00000060">
            <w:pPr>
              <w:rPr>
                <w:sz w:val="20"/>
                <w:szCs w:val="20"/>
              </w:rPr>
            </w:pPr>
            <w:r>
              <w:rPr>
                <w:sz w:val="20"/>
                <w:szCs w:val="20"/>
              </w:rPr>
              <w:t>N</w:t>
            </w:r>
          </w:p>
        </w:tc>
        <w:tc>
          <w:tcPr>
            <w:cnfStyle w:val="000000100000"/>
            <w:tcW w:w="1288" w:type="pct"/>
            <w:tcBorders>
              <w:top w:val="nil" w:sz="4" w:space="0"/>
              <w:left w:val="nil" w:sz="4" w:space="0"/>
              <w:bottom w:val="nil" w:sz="4" w:space="0"/>
              <w:right w:val="nil" w:sz="4" w:space="0"/>
            </w:tcBorders>
          </w:tcPr>
          <w:p w14:paraId="00000061">
            <w:pPr>
              <w:rPr>
                <w:sz w:val="20"/>
                <w:szCs w:val="20"/>
              </w:rPr>
            </w:pPr>
            <w:r>
              <w:rPr>
                <w:sz w:val="20"/>
                <w:szCs w:val="20"/>
              </w:rPr>
              <w:t>Nitrogen</w:t>
            </w:r>
          </w:p>
        </w:tc>
        <w:tc>
          <w:tcPr>
            <w:cnfStyle w:val="000000100000"/>
            <w:tcW w:w="893" w:type="pct"/>
            <w:tcBorders>
              <w:top w:val="nil" w:sz="4" w:space="0"/>
              <w:left w:val="nil" w:sz="4" w:space="0"/>
              <w:bottom w:val="nil" w:sz="4" w:space="0"/>
              <w:right w:val="nil" w:sz="4" w:space="0"/>
            </w:tcBorders>
          </w:tcPr>
          <w:p w14:paraId="00000062">
            <w:pPr>
              <w:rPr>
                <w:sz w:val="20"/>
                <w:szCs w:val="20"/>
              </w:rPr>
            </w:pPr>
            <w:r>
              <w:rPr>
                <w:sz w:val="20"/>
                <w:szCs w:val="20"/>
              </w:rPr>
              <w:t>9.27</w:t>
            </w:r>
          </w:p>
        </w:tc>
        <w:tc>
          <w:tcPr>
            <w:cnfStyle w:val="000000100000"/>
            <w:tcW w:w="880" w:type="pct"/>
            <w:tcBorders>
              <w:top w:val="nil" w:sz="4" w:space="0"/>
              <w:left w:val="nil" w:sz="4" w:space="0"/>
              <w:bottom w:val="nil" w:sz="4" w:space="0"/>
              <w:right w:val="nil" w:sz="4" w:space="0"/>
            </w:tcBorders>
          </w:tcPr>
          <w:p w14:paraId="00000063">
            <w:pPr>
              <w:rPr>
                <w:sz w:val="20"/>
                <w:szCs w:val="20"/>
              </w:rPr>
            </w:pPr>
            <w:r>
              <w:rPr>
                <w:sz w:val="20"/>
                <w:szCs w:val="20"/>
              </w:rPr>
              <w:t>10.41</w:t>
            </w:r>
          </w:p>
        </w:tc>
      </w:tr>
      <w:tr>
        <w:trPr/>
        <w:tc>
          <w:tcPr>
            <w:cnfStyle w:val="001000010000"/>
            <w:tcW w:w="970" w:type="pct"/>
            <w:tcBorders>
              <w:top w:val="nil" w:sz="4" w:space="0"/>
              <w:left w:val="nil" w:sz="4" w:space="0"/>
              <w:bottom w:val="nil" w:sz="4" w:space="0"/>
              <w:right w:val="nil" w:sz="4" w:space="0"/>
            </w:tcBorders>
          </w:tcPr>
          <w:p w14:paraId="00000064">
            <w:pPr>
              <w:rPr>
                <w:sz w:val="20"/>
                <w:szCs w:val="20"/>
              </w:rPr>
            </w:pPr>
            <w:r>
              <w:rPr>
                <w:sz w:val="20"/>
                <w:szCs w:val="20"/>
              </w:rPr>
              <w:t>14</w:t>
            </w:r>
          </w:p>
        </w:tc>
        <w:tc>
          <w:tcPr>
            <w:cnfStyle w:val="000000010000"/>
            <w:tcW w:w="969" w:type="pct"/>
            <w:tcBorders>
              <w:top w:val="nil" w:sz="4" w:space="0"/>
              <w:left w:val="nil" w:sz="4" w:space="0"/>
              <w:bottom w:val="nil" w:sz="4" w:space="0"/>
              <w:right w:val="nil" w:sz="4" w:space="0"/>
            </w:tcBorders>
          </w:tcPr>
          <w:p w14:paraId="00000065">
            <w:pPr>
              <w:rPr>
                <w:sz w:val="20"/>
                <w:szCs w:val="20"/>
              </w:rPr>
            </w:pPr>
            <w:r>
              <w:rPr>
                <w:sz w:val="20"/>
                <w:szCs w:val="20"/>
              </w:rPr>
              <w:t>Si</w:t>
            </w:r>
          </w:p>
        </w:tc>
        <w:tc>
          <w:tcPr>
            <w:cnfStyle w:val="000000010000"/>
            <w:tcW w:w="1288" w:type="pct"/>
            <w:tcBorders>
              <w:top w:val="nil" w:sz="4" w:space="0"/>
              <w:left w:val="nil" w:sz="4" w:space="0"/>
              <w:bottom w:val="nil" w:sz="4" w:space="0"/>
              <w:right w:val="nil" w:sz="4" w:space="0"/>
            </w:tcBorders>
          </w:tcPr>
          <w:p w14:paraId="00000066">
            <w:pPr>
              <w:rPr>
                <w:sz w:val="20"/>
                <w:szCs w:val="20"/>
              </w:rPr>
            </w:pPr>
            <w:r>
              <w:rPr>
                <w:sz w:val="20"/>
                <w:szCs w:val="20"/>
              </w:rPr>
              <w:t>Silicon</w:t>
            </w:r>
          </w:p>
        </w:tc>
        <w:tc>
          <w:tcPr>
            <w:cnfStyle w:val="000000010000"/>
            <w:tcW w:w="893" w:type="pct"/>
            <w:tcBorders>
              <w:top w:val="nil" w:sz="4" w:space="0"/>
              <w:left w:val="nil" w:sz="4" w:space="0"/>
              <w:bottom w:val="nil" w:sz="4" w:space="0"/>
              <w:right w:val="nil" w:sz="4" w:space="0"/>
            </w:tcBorders>
          </w:tcPr>
          <w:p w14:paraId="00000067">
            <w:pPr>
              <w:rPr>
                <w:sz w:val="20"/>
                <w:szCs w:val="20"/>
              </w:rPr>
            </w:pPr>
            <w:r>
              <w:rPr>
                <w:sz w:val="20"/>
                <w:szCs w:val="20"/>
              </w:rPr>
              <w:t>0.39</w:t>
            </w:r>
          </w:p>
        </w:tc>
        <w:tc>
          <w:tcPr>
            <w:cnfStyle w:val="000000010000"/>
            <w:tcW w:w="880" w:type="pct"/>
            <w:tcBorders>
              <w:top w:val="nil" w:sz="4" w:space="0"/>
              <w:left w:val="nil" w:sz="4" w:space="0"/>
              <w:bottom w:val="nil" w:sz="4" w:space="0"/>
              <w:right w:val="nil" w:sz="4" w:space="0"/>
            </w:tcBorders>
          </w:tcPr>
          <w:p w14:paraId="00000068">
            <w:pPr>
              <w:rPr>
                <w:sz w:val="20"/>
                <w:szCs w:val="20"/>
              </w:rPr>
            </w:pPr>
            <w:r>
              <w:rPr>
                <w:sz w:val="20"/>
                <w:szCs w:val="20"/>
              </w:rPr>
              <w:t>0.87</w:t>
            </w:r>
          </w:p>
        </w:tc>
      </w:tr>
      <w:tr>
        <w:trPr/>
        <w:tc>
          <w:tcPr>
            <w:cnfStyle w:val="001000100000"/>
            <w:tcW w:w="970" w:type="pct"/>
            <w:tcBorders>
              <w:top w:val="nil" w:sz="4" w:space="0"/>
              <w:left w:val="nil" w:sz="4" w:space="0"/>
              <w:bottom w:val="nil" w:sz="4" w:space="0"/>
              <w:right w:val="nil" w:sz="4" w:space="0"/>
            </w:tcBorders>
          </w:tcPr>
          <w:p w14:paraId="00000069">
            <w:pPr>
              <w:rPr>
                <w:sz w:val="20"/>
                <w:szCs w:val="20"/>
              </w:rPr>
            </w:pPr>
            <w:r>
              <w:rPr>
                <w:sz w:val="20"/>
                <w:szCs w:val="20"/>
              </w:rPr>
              <w:t>16</w:t>
            </w:r>
          </w:p>
        </w:tc>
        <w:tc>
          <w:tcPr>
            <w:cnfStyle w:val="000000100000"/>
            <w:tcW w:w="969" w:type="pct"/>
            <w:tcBorders>
              <w:top w:val="nil" w:sz="4" w:space="0"/>
              <w:left w:val="nil" w:sz="4" w:space="0"/>
              <w:bottom w:val="nil" w:sz="4" w:space="0"/>
              <w:right w:val="nil" w:sz="4" w:space="0"/>
            </w:tcBorders>
          </w:tcPr>
          <w:p w14:paraId="0000006A">
            <w:pPr>
              <w:rPr>
                <w:sz w:val="20"/>
                <w:szCs w:val="20"/>
              </w:rPr>
            </w:pPr>
            <w:r>
              <w:rPr>
                <w:sz w:val="20"/>
                <w:szCs w:val="20"/>
              </w:rPr>
              <w:t>S</w:t>
            </w:r>
          </w:p>
        </w:tc>
        <w:tc>
          <w:tcPr>
            <w:cnfStyle w:val="000000100000"/>
            <w:tcW w:w="1288" w:type="pct"/>
            <w:tcBorders>
              <w:top w:val="nil" w:sz="4" w:space="0"/>
              <w:left w:val="nil" w:sz="4" w:space="0"/>
              <w:bottom w:val="nil" w:sz="4" w:space="0"/>
              <w:right w:val="nil" w:sz="4" w:space="0"/>
            </w:tcBorders>
          </w:tcPr>
          <w:p w14:paraId="0000006B">
            <w:pPr>
              <w:rPr>
                <w:sz w:val="20"/>
                <w:szCs w:val="20"/>
              </w:rPr>
            </w:pPr>
            <w:r>
              <w:rPr>
                <w:sz w:val="20"/>
                <w:szCs w:val="20"/>
              </w:rPr>
              <w:t>Sulfur</w:t>
            </w:r>
          </w:p>
        </w:tc>
        <w:tc>
          <w:tcPr>
            <w:cnfStyle w:val="000000100000"/>
            <w:tcW w:w="893" w:type="pct"/>
            <w:tcBorders>
              <w:top w:val="nil" w:sz="4" w:space="0"/>
              <w:left w:val="nil" w:sz="4" w:space="0"/>
              <w:bottom w:val="nil" w:sz="4" w:space="0"/>
              <w:right w:val="nil" w:sz="4" w:space="0"/>
            </w:tcBorders>
          </w:tcPr>
          <w:p w14:paraId="0000006C">
            <w:pPr>
              <w:rPr>
                <w:sz w:val="20"/>
                <w:szCs w:val="20"/>
              </w:rPr>
            </w:pPr>
            <w:r>
              <w:rPr>
                <w:sz w:val="20"/>
                <w:szCs w:val="20"/>
              </w:rPr>
              <w:t>0.20</w:t>
            </w:r>
          </w:p>
        </w:tc>
        <w:tc>
          <w:tcPr>
            <w:cnfStyle w:val="000000100000"/>
            <w:tcW w:w="880" w:type="pct"/>
            <w:tcBorders>
              <w:top w:val="nil" w:sz="4" w:space="0"/>
              <w:left w:val="nil" w:sz="4" w:space="0"/>
              <w:bottom w:val="nil" w:sz="4" w:space="0"/>
              <w:right w:val="nil" w:sz="4" w:space="0"/>
            </w:tcBorders>
          </w:tcPr>
          <w:p w14:paraId="0000006D">
            <w:pPr>
              <w:rPr>
                <w:sz w:val="20"/>
                <w:szCs w:val="20"/>
              </w:rPr>
            </w:pPr>
            <w:r>
              <w:rPr>
                <w:sz w:val="20"/>
                <w:szCs w:val="20"/>
              </w:rPr>
              <w:t>0.52</w:t>
            </w:r>
          </w:p>
        </w:tc>
      </w:tr>
      <w:tr>
        <w:trPr/>
        <w:tc>
          <w:tcPr>
            <w:cnfStyle w:val="001000010000"/>
            <w:tcW w:w="970" w:type="pct"/>
            <w:tcBorders>
              <w:top w:val="nil" w:sz="4" w:space="0"/>
              <w:left w:val="nil" w:sz="4" w:space="0"/>
              <w:bottom w:val="nil" w:sz="4" w:space="0"/>
              <w:right w:val="nil" w:sz="4" w:space="0"/>
            </w:tcBorders>
          </w:tcPr>
          <w:p w14:paraId="0000006E">
            <w:pPr>
              <w:rPr>
                <w:sz w:val="20"/>
                <w:szCs w:val="20"/>
              </w:rPr>
            </w:pPr>
            <w:r>
              <w:rPr>
                <w:sz w:val="20"/>
                <w:szCs w:val="20"/>
              </w:rPr>
              <w:t>12</w:t>
            </w:r>
          </w:p>
        </w:tc>
        <w:tc>
          <w:tcPr>
            <w:cnfStyle w:val="000000010000"/>
            <w:tcW w:w="969" w:type="pct"/>
            <w:tcBorders>
              <w:top w:val="nil" w:sz="4" w:space="0"/>
              <w:left w:val="nil" w:sz="4" w:space="0"/>
              <w:bottom w:val="nil" w:sz="4" w:space="0"/>
              <w:right w:val="nil" w:sz="4" w:space="0"/>
            </w:tcBorders>
          </w:tcPr>
          <w:p w14:paraId="0000006F">
            <w:pPr>
              <w:rPr>
                <w:sz w:val="20"/>
                <w:szCs w:val="20"/>
              </w:rPr>
            </w:pPr>
            <w:r>
              <w:rPr>
                <w:sz w:val="20"/>
                <w:szCs w:val="20"/>
              </w:rPr>
              <w:t>Mg</w:t>
            </w:r>
          </w:p>
        </w:tc>
        <w:tc>
          <w:tcPr>
            <w:cnfStyle w:val="000000010000"/>
            <w:tcW w:w="1288" w:type="pct"/>
            <w:tcBorders>
              <w:top w:val="nil" w:sz="4" w:space="0"/>
              <w:left w:val="nil" w:sz="4" w:space="0"/>
              <w:bottom w:val="nil" w:sz="4" w:space="0"/>
              <w:right w:val="nil" w:sz="4" w:space="0"/>
            </w:tcBorders>
          </w:tcPr>
          <w:p w14:paraId="00000070">
            <w:pPr>
              <w:rPr>
                <w:sz w:val="20"/>
                <w:szCs w:val="20"/>
              </w:rPr>
            </w:pPr>
            <w:r>
              <w:rPr>
                <w:sz w:val="20"/>
                <w:szCs w:val="20"/>
              </w:rPr>
              <w:t>Magnesium</w:t>
            </w:r>
          </w:p>
        </w:tc>
        <w:tc>
          <w:tcPr>
            <w:cnfStyle w:val="000000010000"/>
            <w:tcW w:w="893" w:type="pct"/>
            <w:tcBorders>
              <w:top w:val="nil" w:sz="4" w:space="0"/>
              <w:left w:val="nil" w:sz="4" w:space="0"/>
              <w:bottom w:val="nil" w:sz="4" w:space="0"/>
              <w:right w:val="nil" w:sz="4" w:space="0"/>
            </w:tcBorders>
          </w:tcPr>
          <w:p w14:paraId="00000071">
            <w:pPr>
              <w:rPr>
                <w:sz w:val="20"/>
                <w:szCs w:val="20"/>
              </w:rPr>
            </w:pPr>
            <w:r>
              <w:rPr>
                <w:sz w:val="20"/>
                <w:szCs w:val="20"/>
              </w:rPr>
              <w:t>0.26</w:t>
            </w:r>
          </w:p>
        </w:tc>
        <w:tc>
          <w:tcPr>
            <w:cnfStyle w:val="000000010000"/>
            <w:tcW w:w="880" w:type="pct"/>
            <w:tcBorders>
              <w:top w:val="nil" w:sz="4" w:space="0"/>
              <w:left w:val="nil" w:sz="4" w:space="0"/>
              <w:bottom w:val="nil" w:sz="4" w:space="0"/>
              <w:right w:val="nil" w:sz="4" w:space="0"/>
            </w:tcBorders>
          </w:tcPr>
          <w:p w14:paraId="00000072">
            <w:pPr>
              <w:rPr>
                <w:sz w:val="20"/>
                <w:szCs w:val="20"/>
              </w:rPr>
            </w:pPr>
            <w:r>
              <w:rPr>
                <w:sz w:val="20"/>
                <w:szCs w:val="20"/>
              </w:rPr>
              <w:t>0.50</w:t>
            </w:r>
          </w:p>
        </w:tc>
      </w:tr>
      <w:tr>
        <w:trPr/>
        <w:tc>
          <w:tcPr>
            <w:cnfStyle w:val="001000100000"/>
            <w:tcW w:w="970" w:type="pct"/>
            <w:tcBorders>
              <w:top w:val="nil" w:sz="4" w:space="0"/>
              <w:left w:val="nil" w:sz="4" w:space="0"/>
              <w:bottom w:val="nil" w:sz="4" w:space="0"/>
              <w:right w:val="nil" w:sz="4" w:space="0"/>
            </w:tcBorders>
          </w:tcPr>
          <w:p w14:paraId="00000073">
            <w:pPr>
              <w:rPr>
                <w:sz w:val="20"/>
                <w:szCs w:val="20"/>
              </w:rPr>
            </w:pPr>
            <w:r>
              <w:rPr>
                <w:sz w:val="20"/>
                <w:szCs w:val="20"/>
              </w:rPr>
              <w:t>13</w:t>
            </w:r>
          </w:p>
        </w:tc>
        <w:tc>
          <w:tcPr>
            <w:cnfStyle w:val="000000100000"/>
            <w:tcW w:w="969" w:type="pct"/>
            <w:tcBorders>
              <w:top w:val="nil" w:sz="4" w:space="0"/>
              <w:left w:val="nil" w:sz="4" w:space="0"/>
              <w:bottom w:val="nil" w:sz="4" w:space="0"/>
              <w:right w:val="nil" w:sz="4" w:space="0"/>
            </w:tcBorders>
          </w:tcPr>
          <w:p w14:paraId="00000074">
            <w:pPr>
              <w:rPr>
                <w:sz w:val="20"/>
                <w:szCs w:val="20"/>
              </w:rPr>
            </w:pPr>
            <w:r>
              <w:rPr>
                <w:sz w:val="20"/>
                <w:szCs w:val="20"/>
              </w:rPr>
              <w:t>Al</w:t>
            </w:r>
          </w:p>
        </w:tc>
        <w:tc>
          <w:tcPr>
            <w:cnfStyle w:val="000000100000"/>
            <w:tcW w:w="1288" w:type="pct"/>
            <w:tcBorders>
              <w:top w:val="nil" w:sz="4" w:space="0"/>
              <w:left w:val="nil" w:sz="4" w:space="0"/>
              <w:bottom w:val="nil" w:sz="4" w:space="0"/>
              <w:right w:val="nil" w:sz="4" w:space="0"/>
            </w:tcBorders>
          </w:tcPr>
          <w:p w14:paraId="00000075">
            <w:pPr>
              <w:rPr>
                <w:sz w:val="20"/>
                <w:szCs w:val="20"/>
              </w:rPr>
            </w:pPr>
            <w:r>
              <w:rPr>
                <w:sz w:val="20"/>
                <w:szCs w:val="20"/>
              </w:rPr>
              <w:t>Aluminum</w:t>
            </w:r>
          </w:p>
        </w:tc>
        <w:tc>
          <w:tcPr>
            <w:cnfStyle w:val="000000100000"/>
            <w:tcW w:w="893" w:type="pct"/>
            <w:tcBorders>
              <w:top w:val="nil" w:sz="4" w:space="0"/>
              <w:left w:val="nil" w:sz="4" w:space="0"/>
              <w:bottom w:val="nil" w:sz="4" w:space="0"/>
              <w:right w:val="nil" w:sz="4" w:space="0"/>
            </w:tcBorders>
          </w:tcPr>
          <w:p w14:paraId="00000076">
            <w:pPr>
              <w:rPr>
                <w:sz w:val="20"/>
                <w:szCs w:val="20"/>
              </w:rPr>
            </w:pPr>
            <w:r>
              <w:rPr>
                <w:sz w:val="20"/>
                <w:szCs w:val="20"/>
              </w:rPr>
              <w:t>0.22</w:t>
            </w:r>
          </w:p>
        </w:tc>
        <w:tc>
          <w:tcPr>
            <w:cnfStyle w:val="000000100000"/>
            <w:tcW w:w="880" w:type="pct"/>
            <w:tcBorders>
              <w:top w:val="nil" w:sz="4" w:space="0"/>
              <w:left w:val="nil" w:sz="4" w:space="0"/>
              <w:bottom w:val="nil" w:sz="4" w:space="0"/>
              <w:right w:val="nil" w:sz="4" w:space="0"/>
            </w:tcBorders>
          </w:tcPr>
          <w:p w14:paraId="00000077">
            <w:pPr>
              <w:rPr>
                <w:sz w:val="20"/>
                <w:szCs w:val="20"/>
              </w:rPr>
            </w:pPr>
            <w:r>
              <w:rPr>
                <w:sz w:val="20"/>
                <w:szCs w:val="20"/>
              </w:rPr>
              <w:t>0.47</w:t>
            </w:r>
          </w:p>
        </w:tc>
      </w:tr>
      <w:tr>
        <w:trPr/>
        <w:tc>
          <w:tcPr>
            <w:cnfStyle w:val="001000010000"/>
            <w:tcW w:w="970" w:type="pct"/>
            <w:tcBorders>
              <w:top w:val="nil" w:sz="4" w:space="0"/>
              <w:left w:val="nil" w:sz="4" w:space="0"/>
              <w:bottom w:val="nil" w:sz="4" w:space="0"/>
              <w:right w:val="nil" w:sz="4" w:space="0"/>
            </w:tcBorders>
          </w:tcPr>
          <w:p w14:paraId="00000078">
            <w:pPr>
              <w:rPr>
                <w:sz w:val="20"/>
                <w:szCs w:val="20"/>
              </w:rPr>
            </w:pPr>
            <w:r>
              <w:rPr>
                <w:sz w:val="20"/>
                <w:szCs w:val="20"/>
              </w:rPr>
              <w:t>11</w:t>
            </w:r>
          </w:p>
        </w:tc>
        <w:tc>
          <w:tcPr>
            <w:cnfStyle w:val="000000010000"/>
            <w:tcW w:w="969" w:type="pct"/>
            <w:tcBorders>
              <w:top w:val="nil" w:sz="4" w:space="0"/>
              <w:left w:val="nil" w:sz="4" w:space="0"/>
              <w:bottom w:val="nil" w:sz="4" w:space="0"/>
              <w:right w:val="nil" w:sz="4" w:space="0"/>
            </w:tcBorders>
          </w:tcPr>
          <w:p w14:paraId="00000079">
            <w:pPr>
              <w:rPr>
                <w:sz w:val="20"/>
                <w:szCs w:val="20"/>
              </w:rPr>
            </w:pPr>
            <w:r>
              <w:rPr>
                <w:sz w:val="20"/>
                <w:szCs w:val="20"/>
              </w:rPr>
              <w:t>Na</w:t>
            </w:r>
          </w:p>
        </w:tc>
        <w:tc>
          <w:tcPr>
            <w:cnfStyle w:val="000000010000"/>
            <w:tcW w:w="1288" w:type="pct"/>
            <w:tcBorders>
              <w:top w:val="nil" w:sz="4" w:space="0"/>
              <w:left w:val="nil" w:sz="4" w:space="0"/>
              <w:bottom w:val="nil" w:sz="4" w:space="0"/>
              <w:right w:val="nil" w:sz="4" w:space="0"/>
            </w:tcBorders>
          </w:tcPr>
          <w:p w14:paraId="0000007A">
            <w:pPr>
              <w:rPr>
                <w:sz w:val="20"/>
                <w:szCs w:val="20"/>
              </w:rPr>
            </w:pPr>
            <w:r>
              <w:rPr>
                <w:sz w:val="20"/>
                <w:szCs w:val="20"/>
              </w:rPr>
              <w:t>Sodium</w:t>
            </w:r>
          </w:p>
        </w:tc>
        <w:tc>
          <w:tcPr>
            <w:cnfStyle w:val="000000010000"/>
            <w:tcW w:w="893" w:type="pct"/>
            <w:tcBorders>
              <w:top w:val="nil" w:sz="4" w:space="0"/>
              <w:left w:val="nil" w:sz="4" w:space="0"/>
              <w:bottom w:val="nil" w:sz="4" w:space="0"/>
              <w:right w:val="nil" w:sz="4" w:space="0"/>
            </w:tcBorders>
          </w:tcPr>
          <w:p w14:paraId="0000007B">
            <w:pPr>
              <w:rPr>
                <w:sz w:val="20"/>
                <w:szCs w:val="20"/>
              </w:rPr>
            </w:pPr>
            <w:r>
              <w:rPr>
                <w:sz w:val="20"/>
                <w:szCs w:val="20"/>
              </w:rPr>
              <w:t>0.22</w:t>
            </w:r>
          </w:p>
        </w:tc>
        <w:tc>
          <w:tcPr>
            <w:cnfStyle w:val="000000010000"/>
            <w:tcW w:w="880" w:type="pct"/>
            <w:tcBorders>
              <w:top w:val="nil" w:sz="4" w:space="0"/>
              <w:left w:val="nil" w:sz="4" w:space="0"/>
              <w:bottom w:val="nil" w:sz="4" w:space="0"/>
              <w:right w:val="nil" w:sz="4" w:space="0"/>
            </w:tcBorders>
          </w:tcPr>
          <w:p w14:paraId="0000007C">
            <w:pPr>
              <w:rPr>
                <w:sz w:val="20"/>
                <w:szCs w:val="20"/>
              </w:rPr>
            </w:pPr>
            <w:r>
              <w:rPr>
                <w:sz w:val="20"/>
                <w:szCs w:val="20"/>
              </w:rPr>
              <w:t>0.41</w:t>
            </w:r>
          </w:p>
        </w:tc>
      </w:tr>
      <w:tr>
        <w:trPr/>
        <w:tc>
          <w:tcPr>
            <w:cnfStyle w:val="001000100000"/>
            <w:tcW w:w="970" w:type="pct"/>
            <w:tcBorders>
              <w:top w:val="nil" w:sz="4" w:space="0"/>
              <w:left w:val="nil" w:sz="4" w:space="0"/>
              <w:bottom w:val="nil" w:sz="4" w:space="0"/>
              <w:right w:val="nil" w:sz="4" w:space="0"/>
            </w:tcBorders>
          </w:tcPr>
          <w:p w14:paraId="0000007D">
            <w:pPr>
              <w:rPr>
                <w:sz w:val="20"/>
                <w:szCs w:val="20"/>
              </w:rPr>
            </w:pPr>
            <w:r>
              <w:rPr>
                <w:sz w:val="20"/>
                <w:szCs w:val="20"/>
              </w:rPr>
              <w:t>20</w:t>
            </w:r>
          </w:p>
        </w:tc>
        <w:tc>
          <w:tcPr>
            <w:cnfStyle w:val="000000100000"/>
            <w:tcW w:w="969" w:type="pct"/>
            <w:tcBorders>
              <w:top w:val="nil" w:sz="4" w:space="0"/>
              <w:left w:val="nil" w:sz="4" w:space="0"/>
              <w:bottom w:val="nil" w:sz="4" w:space="0"/>
              <w:right w:val="nil" w:sz="4" w:space="0"/>
            </w:tcBorders>
          </w:tcPr>
          <w:p w14:paraId="0000007E">
            <w:pPr>
              <w:rPr>
                <w:sz w:val="20"/>
                <w:szCs w:val="20"/>
              </w:rPr>
            </w:pPr>
            <w:r>
              <w:rPr>
                <w:sz w:val="20"/>
                <w:szCs w:val="20"/>
              </w:rPr>
              <w:t>Ca</w:t>
            </w:r>
          </w:p>
        </w:tc>
        <w:tc>
          <w:tcPr>
            <w:cnfStyle w:val="000000100000"/>
            <w:tcW w:w="1288" w:type="pct"/>
            <w:tcBorders>
              <w:top w:val="nil" w:sz="4" w:space="0"/>
              <w:left w:val="nil" w:sz="4" w:space="0"/>
              <w:bottom w:val="nil" w:sz="4" w:space="0"/>
              <w:right w:val="nil" w:sz="4" w:space="0"/>
            </w:tcBorders>
          </w:tcPr>
          <w:p w14:paraId="0000007F">
            <w:pPr>
              <w:rPr>
                <w:sz w:val="20"/>
                <w:szCs w:val="20"/>
              </w:rPr>
            </w:pPr>
            <w:r>
              <w:rPr>
                <w:sz w:val="20"/>
                <w:szCs w:val="20"/>
              </w:rPr>
              <w:t>Calcium</w:t>
            </w:r>
          </w:p>
        </w:tc>
        <w:tc>
          <w:tcPr>
            <w:cnfStyle w:val="000000100000"/>
            <w:tcW w:w="893" w:type="pct"/>
            <w:tcBorders>
              <w:top w:val="nil" w:sz="4" w:space="0"/>
              <w:left w:val="nil" w:sz="4" w:space="0"/>
              <w:bottom w:val="nil" w:sz="4" w:space="0"/>
              <w:right w:val="nil" w:sz="4" w:space="0"/>
            </w:tcBorders>
          </w:tcPr>
          <w:p w14:paraId="00000080">
            <w:pPr>
              <w:rPr>
                <w:sz w:val="20"/>
                <w:szCs w:val="20"/>
              </w:rPr>
            </w:pPr>
            <w:r>
              <w:rPr>
                <w:sz w:val="20"/>
                <w:szCs w:val="20"/>
              </w:rPr>
              <w:t>0.12</w:t>
            </w:r>
          </w:p>
        </w:tc>
        <w:tc>
          <w:tcPr>
            <w:cnfStyle w:val="000000100000"/>
            <w:tcW w:w="880" w:type="pct"/>
            <w:tcBorders>
              <w:top w:val="nil" w:sz="4" w:space="0"/>
              <w:left w:val="nil" w:sz="4" w:space="0"/>
              <w:bottom w:val="nil" w:sz="4" w:space="0"/>
              <w:right w:val="nil" w:sz="4" w:space="0"/>
            </w:tcBorders>
          </w:tcPr>
          <w:p w14:paraId="00000081">
            <w:pPr>
              <w:rPr>
                <w:sz w:val="20"/>
                <w:szCs w:val="20"/>
              </w:rPr>
            </w:pPr>
            <w:r>
              <w:rPr>
                <w:sz w:val="20"/>
                <w:szCs w:val="20"/>
              </w:rPr>
              <w:t>0.40</w:t>
            </w:r>
          </w:p>
        </w:tc>
      </w:tr>
      <w:tr>
        <w:trPr/>
        <w:tc>
          <w:tcPr>
            <w:cnfStyle w:val="001000010000"/>
            <w:tcW w:w="970" w:type="pct"/>
            <w:tcBorders>
              <w:top w:val="nil" w:sz="4" w:space="0"/>
              <w:left w:val="nil" w:sz="4" w:space="0"/>
              <w:bottom w:val="nil" w:sz="4" w:space="0"/>
              <w:right w:val="nil" w:sz="4" w:space="0"/>
            </w:tcBorders>
          </w:tcPr>
          <w:p w14:paraId="00000082">
            <w:pPr>
              <w:rPr>
                <w:sz w:val="20"/>
                <w:szCs w:val="20"/>
              </w:rPr>
            </w:pPr>
            <w:r>
              <w:rPr>
                <w:sz w:val="20"/>
                <w:szCs w:val="20"/>
              </w:rPr>
              <w:t>15</w:t>
            </w:r>
          </w:p>
        </w:tc>
        <w:tc>
          <w:tcPr>
            <w:cnfStyle w:val="000000010000"/>
            <w:tcW w:w="969" w:type="pct"/>
            <w:tcBorders>
              <w:top w:val="nil" w:sz="4" w:space="0"/>
              <w:left w:val="nil" w:sz="4" w:space="0"/>
              <w:bottom w:val="nil" w:sz="4" w:space="0"/>
              <w:right w:val="nil" w:sz="4" w:space="0"/>
            </w:tcBorders>
          </w:tcPr>
          <w:p w14:paraId="00000083">
            <w:pPr>
              <w:rPr>
                <w:sz w:val="20"/>
                <w:szCs w:val="20"/>
              </w:rPr>
            </w:pPr>
            <w:r>
              <w:rPr>
                <w:sz w:val="20"/>
                <w:szCs w:val="20"/>
              </w:rPr>
              <w:t>P</w:t>
            </w:r>
          </w:p>
        </w:tc>
        <w:tc>
          <w:tcPr>
            <w:cnfStyle w:val="000000010000"/>
            <w:tcW w:w="1288" w:type="pct"/>
            <w:tcBorders>
              <w:top w:val="nil" w:sz="4" w:space="0"/>
              <w:left w:val="nil" w:sz="4" w:space="0"/>
              <w:bottom w:val="nil" w:sz="4" w:space="0"/>
              <w:right w:val="nil" w:sz="4" w:space="0"/>
            </w:tcBorders>
          </w:tcPr>
          <w:p w14:paraId="00000084">
            <w:pPr>
              <w:rPr>
                <w:sz w:val="20"/>
                <w:szCs w:val="20"/>
              </w:rPr>
            </w:pPr>
            <w:r>
              <w:rPr>
                <w:sz w:val="20"/>
                <w:szCs w:val="20"/>
              </w:rPr>
              <w:t>Phosphorus</w:t>
            </w:r>
          </w:p>
        </w:tc>
        <w:tc>
          <w:tcPr>
            <w:cnfStyle w:val="000000010000"/>
            <w:tcW w:w="893" w:type="pct"/>
            <w:tcBorders>
              <w:top w:val="nil" w:sz="4" w:space="0"/>
              <w:left w:val="nil" w:sz="4" w:space="0"/>
              <w:bottom w:val="nil" w:sz="4" w:space="0"/>
              <w:right w:val="nil" w:sz="4" w:space="0"/>
            </w:tcBorders>
          </w:tcPr>
          <w:p w14:paraId="00000085">
            <w:pPr>
              <w:rPr>
                <w:sz w:val="20"/>
                <w:szCs w:val="20"/>
              </w:rPr>
            </w:pPr>
            <w:r>
              <w:rPr>
                <w:sz w:val="20"/>
                <w:szCs w:val="20"/>
              </w:rPr>
              <w:t>0.11</w:t>
            </w:r>
          </w:p>
        </w:tc>
        <w:tc>
          <w:tcPr>
            <w:cnfStyle w:val="000000010000"/>
            <w:tcW w:w="880" w:type="pct"/>
            <w:tcBorders>
              <w:top w:val="nil" w:sz="4" w:space="0"/>
              <w:left w:val="nil" w:sz="4" w:space="0"/>
              <w:bottom w:val="nil" w:sz="4" w:space="0"/>
              <w:right w:val="nil" w:sz="4" w:space="0"/>
            </w:tcBorders>
          </w:tcPr>
          <w:p w14:paraId="00000086">
            <w:pPr>
              <w:rPr>
                <w:sz w:val="20"/>
                <w:szCs w:val="20"/>
              </w:rPr>
            </w:pPr>
            <w:r>
              <w:rPr>
                <w:sz w:val="20"/>
                <w:szCs w:val="20"/>
              </w:rPr>
              <w:t>0.27</w:t>
            </w:r>
          </w:p>
        </w:tc>
      </w:tr>
      <w:tr>
        <w:trPr/>
        <w:tc>
          <w:tcPr>
            <w:cnfStyle w:val="001000100000"/>
            <w:tcW w:w="970" w:type="pct"/>
            <w:tcBorders>
              <w:top w:val="nil" w:sz="4" w:space="0"/>
              <w:left w:val="nil" w:sz="4" w:space="0"/>
              <w:bottom w:val="nil" w:sz="4" w:space="0"/>
              <w:right w:val="nil" w:sz="4" w:space="0"/>
            </w:tcBorders>
          </w:tcPr>
          <w:p w14:paraId="00000087">
            <w:pPr>
              <w:rPr>
                <w:sz w:val="20"/>
                <w:szCs w:val="20"/>
              </w:rPr>
            </w:pPr>
            <w:r>
              <w:rPr>
                <w:sz w:val="20"/>
                <w:szCs w:val="20"/>
              </w:rPr>
              <w:t>17</w:t>
            </w:r>
          </w:p>
        </w:tc>
        <w:tc>
          <w:tcPr>
            <w:cnfStyle w:val="000000100000"/>
            <w:tcW w:w="969" w:type="pct"/>
            <w:tcBorders>
              <w:top w:val="nil" w:sz="4" w:space="0"/>
              <w:left w:val="nil" w:sz="4" w:space="0"/>
              <w:bottom w:val="nil" w:sz="4" w:space="0"/>
              <w:right w:val="nil" w:sz="4" w:space="0"/>
            </w:tcBorders>
          </w:tcPr>
          <w:p w14:paraId="00000088">
            <w:pPr>
              <w:rPr>
                <w:sz w:val="20"/>
                <w:szCs w:val="20"/>
              </w:rPr>
            </w:pPr>
            <w:r>
              <w:rPr>
                <w:sz w:val="20"/>
                <w:szCs w:val="20"/>
              </w:rPr>
              <w:t>Cl</w:t>
            </w:r>
          </w:p>
        </w:tc>
        <w:tc>
          <w:tcPr>
            <w:cnfStyle w:val="000000100000"/>
            <w:tcW w:w="1288" w:type="pct"/>
            <w:tcBorders>
              <w:top w:val="nil" w:sz="4" w:space="0"/>
              <w:left w:val="nil" w:sz="4" w:space="0"/>
              <w:bottom w:val="nil" w:sz="4" w:space="0"/>
              <w:right w:val="nil" w:sz="4" w:space="0"/>
            </w:tcBorders>
          </w:tcPr>
          <w:p w14:paraId="00000089">
            <w:pPr>
              <w:rPr>
                <w:sz w:val="20"/>
                <w:szCs w:val="20"/>
              </w:rPr>
            </w:pPr>
            <w:r>
              <w:rPr>
                <w:sz w:val="20"/>
                <w:szCs w:val="20"/>
              </w:rPr>
              <w:t>Chlorine</w:t>
            </w:r>
          </w:p>
        </w:tc>
        <w:tc>
          <w:tcPr>
            <w:cnfStyle w:val="000000100000"/>
            <w:tcW w:w="893" w:type="pct"/>
            <w:tcBorders>
              <w:top w:val="nil" w:sz="4" w:space="0"/>
              <w:left w:val="nil" w:sz="4" w:space="0"/>
              <w:bottom w:val="nil" w:sz="4" w:space="0"/>
              <w:right w:val="nil" w:sz="4" w:space="0"/>
            </w:tcBorders>
          </w:tcPr>
          <w:p w14:paraId="0000008A">
            <w:pPr>
              <w:rPr>
                <w:sz w:val="20"/>
                <w:szCs w:val="20"/>
              </w:rPr>
            </w:pPr>
            <w:r>
              <w:rPr>
                <w:sz w:val="20"/>
                <w:szCs w:val="20"/>
              </w:rPr>
              <w:t>0.08</w:t>
            </w:r>
          </w:p>
        </w:tc>
        <w:tc>
          <w:tcPr>
            <w:cnfStyle w:val="000000100000"/>
            <w:tcW w:w="880" w:type="pct"/>
            <w:tcBorders>
              <w:top w:val="nil" w:sz="4" w:space="0"/>
              <w:left w:val="nil" w:sz="4" w:space="0"/>
              <w:bottom w:val="nil" w:sz="4" w:space="0"/>
              <w:right w:val="nil" w:sz="4" w:space="0"/>
            </w:tcBorders>
          </w:tcPr>
          <w:p w14:paraId="0000008B">
            <w:pPr>
              <w:rPr>
                <w:sz w:val="20"/>
                <w:szCs w:val="20"/>
              </w:rPr>
            </w:pPr>
            <w:r>
              <w:rPr>
                <w:sz w:val="20"/>
                <w:szCs w:val="20"/>
              </w:rPr>
              <w:t>0.22</w:t>
            </w:r>
          </w:p>
        </w:tc>
      </w:tr>
      <w:tr>
        <w:trPr/>
        <w:tc>
          <w:tcPr>
            <w:cnfStyle w:val="001000010000"/>
            <w:tcW w:w="970" w:type="pct"/>
            <w:tcBorders>
              <w:top w:val="nil" w:sz="4" w:space="0"/>
              <w:left w:val="nil" w:sz="4" w:space="0"/>
              <w:bottom w:val="nil" w:sz="4" w:space="0"/>
              <w:right w:val="nil" w:sz="4" w:space="0"/>
            </w:tcBorders>
          </w:tcPr>
          <w:p w14:paraId="0000008C">
            <w:pPr>
              <w:rPr>
                <w:sz w:val="20"/>
                <w:szCs w:val="20"/>
              </w:rPr>
            </w:pPr>
            <w:r>
              <w:rPr>
                <w:sz w:val="20"/>
                <w:szCs w:val="20"/>
              </w:rPr>
              <w:t>19</w:t>
            </w:r>
          </w:p>
        </w:tc>
        <w:tc>
          <w:tcPr>
            <w:cnfStyle w:val="000000010000"/>
            <w:tcW w:w="969" w:type="pct"/>
            <w:tcBorders>
              <w:top w:val="nil" w:sz="4" w:space="0"/>
              <w:left w:val="nil" w:sz="4" w:space="0"/>
              <w:bottom w:val="nil" w:sz="4" w:space="0"/>
              <w:right w:val="nil" w:sz="4" w:space="0"/>
            </w:tcBorders>
          </w:tcPr>
          <w:p w14:paraId="0000008D">
            <w:pPr>
              <w:rPr>
                <w:sz w:val="20"/>
                <w:szCs w:val="20"/>
              </w:rPr>
            </w:pPr>
            <w:r>
              <w:rPr>
                <w:sz w:val="20"/>
                <w:szCs w:val="20"/>
              </w:rPr>
              <w:t>K</w:t>
            </w:r>
          </w:p>
        </w:tc>
        <w:tc>
          <w:tcPr>
            <w:cnfStyle w:val="000000010000"/>
            <w:tcW w:w="1288" w:type="pct"/>
            <w:tcBorders>
              <w:top w:val="nil" w:sz="4" w:space="0"/>
              <w:left w:val="nil" w:sz="4" w:space="0"/>
              <w:bottom w:val="nil" w:sz="4" w:space="0"/>
              <w:right w:val="nil" w:sz="4" w:space="0"/>
            </w:tcBorders>
          </w:tcPr>
          <w:p w14:paraId="0000008E">
            <w:pPr>
              <w:rPr>
                <w:sz w:val="20"/>
                <w:szCs w:val="20"/>
              </w:rPr>
            </w:pPr>
            <w:r>
              <w:rPr>
                <w:sz w:val="20"/>
                <w:szCs w:val="20"/>
              </w:rPr>
              <w:t>Potassium</w:t>
            </w:r>
          </w:p>
        </w:tc>
        <w:tc>
          <w:tcPr>
            <w:cnfStyle w:val="000000010000"/>
            <w:tcW w:w="893" w:type="pct"/>
            <w:tcBorders>
              <w:top w:val="nil" w:sz="4" w:space="0"/>
              <w:left w:val="nil" w:sz="4" w:space="0"/>
              <w:bottom w:val="nil" w:sz="4" w:space="0"/>
              <w:right w:val="nil" w:sz="4" w:space="0"/>
            </w:tcBorders>
          </w:tcPr>
          <w:p w14:paraId="0000008F">
            <w:pPr>
              <w:rPr>
                <w:sz w:val="20"/>
                <w:szCs w:val="20"/>
              </w:rPr>
            </w:pPr>
            <w:r>
              <w:rPr>
                <w:sz w:val="20"/>
                <w:szCs w:val="20"/>
              </w:rPr>
              <w:t>0.03</w:t>
            </w:r>
          </w:p>
        </w:tc>
        <w:tc>
          <w:tcPr>
            <w:cnfStyle w:val="000000010000"/>
            <w:tcW w:w="880" w:type="pct"/>
            <w:tcBorders>
              <w:top w:val="nil" w:sz="4" w:space="0"/>
              <w:left w:val="nil" w:sz="4" w:space="0"/>
              <w:bottom w:val="nil" w:sz="4" w:space="0"/>
              <w:right w:val="nil" w:sz="4" w:space="0"/>
            </w:tcBorders>
          </w:tcPr>
          <w:p w14:paraId="00000090">
            <w:pPr>
              <w:rPr>
                <w:sz w:val="20"/>
                <w:szCs w:val="20"/>
              </w:rPr>
            </w:pPr>
            <w:r>
              <w:rPr>
                <w:sz w:val="20"/>
                <w:szCs w:val="20"/>
              </w:rPr>
              <w:t>0.08</w:t>
            </w:r>
          </w:p>
        </w:tc>
      </w:tr>
      <w:tr>
        <w:trPr/>
        <w:tc>
          <w:tcPr>
            <w:cnfStyle w:val="001000100000"/>
            <w:tcW w:w="970" w:type="pct"/>
            <w:tcBorders>
              <w:top w:val="nil" w:sz="4" w:space="0"/>
              <w:left w:val="nil" w:sz="4" w:space="0"/>
              <w:bottom w:val="nil" w:sz="4" w:space="0"/>
              <w:right w:val="nil" w:sz="4" w:space="0"/>
            </w:tcBorders>
          </w:tcPr>
          <w:p w14:paraId="00000091">
            <w:pPr>
              <w:rPr>
                <w:sz w:val="20"/>
                <w:szCs w:val="20"/>
              </w:rPr>
            </w:pPr>
            <w:r>
              <w:rPr>
                <w:sz w:val="20"/>
                <w:szCs w:val="20"/>
              </w:rPr>
              <w:t>26</w:t>
            </w:r>
          </w:p>
        </w:tc>
        <w:tc>
          <w:tcPr>
            <w:cnfStyle w:val="000000100000"/>
            <w:tcW w:w="969" w:type="pct"/>
            <w:tcBorders>
              <w:top w:val="nil" w:sz="4" w:space="0"/>
              <w:left w:val="nil" w:sz="4" w:space="0"/>
              <w:bottom w:val="nil" w:sz="4" w:space="0"/>
              <w:right w:val="nil" w:sz="4" w:space="0"/>
            </w:tcBorders>
          </w:tcPr>
          <w:p w14:paraId="00000092">
            <w:pPr>
              <w:rPr>
                <w:sz w:val="20"/>
                <w:szCs w:val="20"/>
              </w:rPr>
            </w:pPr>
            <w:r>
              <w:rPr>
                <w:sz w:val="20"/>
                <w:szCs w:val="20"/>
              </w:rPr>
              <w:t>Fe</w:t>
            </w:r>
          </w:p>
        </w:tc>
        <w:tc>
          <w:tcPr>
            <w:cnfStyle w:val="000000100000"/>
            <w:tcW w:w="1288" w:type="pct"/>
            <w:tcBorders>
              <w:top w:val="nil" w:sz="4" w:space="0"/>
              <w:left w:val="nil" w:sz="4" w:space="0"/>
              <w:bottom w:val="nil" w:sz="4" w:space="0"/>
              <w:right w:val="nil" w:sz="4" w:space="0"/>
            </w:tcBorders>
          </w:tcPr>
          <w:p w14:paraId="00000093">
            <w:pPr>
              <w:rPr>
                <w:sz w:val="20"/>
                <w:szCs w:val="20"/>
              </w:rPr>
            </w:pPr>
            <w:r>
              <w:rPr>
                <w:sz w:val="20"/>
                <w:szCs w:val="20"/>
              </w:rPr>
              <w:t>Iron</w:t>
            </w:r>
          </w:p>
        </w:tc>
        <w:tc>
          <w:tcPr>
            <w:cnfStyle w:val="000000100000"/>
            <w:tcW w:w="893" w:type="pct"/>
            <w:tcBorders>
              <w:top w:val="nil" w:sz="4" w:space="0"/>
              <w:left w:val="nil" w:sz="4" w:space="0"/>
              <w:bottom w:val="nil" w:sz="4" w:space="0"/>
              <w:right w:val="nil" w:sz="4" w:space="0"/>
            </w:tcBorders>
          </w:tcPr>
          <w:p w14:paraId="00000094">
            <w:pPr>
              <w:rPr>
                <w:sz w:val="20"/>
                <w:szCs w:val="20"/>
              </w:rPr>
            </w:pPr>
            <w:r>
              <w:rPr>
                <w:sz w:val="20"/>
                <w:szCs w:val="20"/>
              </w:rPr>
              <w:t>0.00</w:t>
            </w:r>
          </w:p>
        </w:tc>
        <w:tc>
          <w:tcPr>
            <w:cnfStyle w:val="000000100000"/>
            <w:tcW w:w="880" w:type="pct"/>
            <w:tcBorders>
              <w:top w:val="nil" w:sz="4" w:space="0"/>
              <w:left w:val="nil" w:sz="4" w:space="0"/>
              <w:bottom w:val="nil" w:sz="4" w:space="0"/>
              <w:right w:val="nil" w:sz="4" w:space="0"/>
            </w:tcBorders>
          </w:tcPr>
          <w:p w14:paraId="00000095">
            <w:pPr>
              <w:rPr>
                <w:sz w:val="20"/>
                <w:szCs w:val="20"/>
              </w:rPr>
            </w:pPr>
            <w:r>
              <w:rPr>
                <w:sz w:val="20"/>
                <w:szCs w:val="20"/>
              </w:rPr>
              <w:t>0.00</w:t>
            </w:r>
          </w:p>
        </w:tc>
      </w:tr>
      <w:tr>
        <w:trPr/>
        <w:tc>
          <w:tcPr>
            <w:cnfStyle w:val="001000010000"/>
            <w:tcW w:w="970" w:type="pct"/>
            <w:tcBorders>
              <w:top w:val="nil" w:sz="4" w:space="0"/>
              <w:left w:val="nil" w:sz="4" w:space="0"/>
              <w:right w:val="nil" w:sz="4" w:space="0"/>
            </w:tcBorders>
          </w:tcPr>
          <w:p w14:paraId="00000096">
            <w:pPr>
              <w:rPr>
                <w:sz w:val="20"/>
                <w:szCs w:val="20"/>
              </w:rPr>
            </w:pPr>
            <w:r>
              <w:rPr>
                <w:sz w:val="20"/>
                <w:szCs w:val="20"/>
              </w:rPr>
              <w:t>22</w:t>
            </w:r>
          </w:p>
        </w:tc>
        <w:tc>
          <w:tcPr>
            <w:cnfStyle w:val="000000010000"/>
            <w:tcW w:w="969" w:type="pct"/>
            <w:tcBorders>
              <w:top w:val="nil" w:sz="4" w:space="0"/>
              <w:left w:val="nil" w:sz="4" w:space="0"/>
              <w:right w:val="nil" w:sz="4" w:space="0"/>
            </w:tcBorders>
          </w:tcPr>
          <w:p w14:paraId="00000097">
            <w:pPr>
              <w:rPr>
                <w:sz w:val="20"/>
                <w:szCs w:val="20"/>
              </w:rPr>
            </w:pPr>
            <w:r>
              <w:rPr>
                <w:sz w:val="20"/>
                <w:szCs w:val="20"/>
              </w:rPr>
              <w:t>Ti</w:t>
            </w:r>
          </w:p>
        </w:tc>
        <w:tc>
          <w:tcPr>
            <w:cnfStyle w:val="000000010000"/>
            <w:tcW w:w="1288" w:type="pct"/>
            <w:tcBorders>
              <w:top w:val="nil" w:sz="4" w:space="0"/>
              <w:left w:val="nil" w:sz="4" w:space="0"/>
              <w:right w:val="nil" w:sz="4" w:space="0"/>
            </w:tcBorders>
          </w:tcPr>
          <w:p w14:paraId="00000098">
            <w:pPr>
              <w:rPr>
                <w:sz w:val="20"/>
                <w:szCs w:val="20"/>
              </w:rPr>
            </w:pPr>
            <w:r>
              <w:rPr>
                <w:sz w:val="20"/>
                <w:szCs w:val="20"/>
              </w:rPr>
              <w:t>Titanium</w:t>
            </w:r>
          </w:p>
        </w:tc>
        <w:tc>
          <w:tcPr>
            <w:cnfStyle w:val="000000010000"/>
            <w:tcW w:w="893" w:type="pct"/>
            <w:tcBorders>
              <w:top w:val="nil" w:sz="4" w:space="0"/>
              <w:left w:val="nil" w:sz="4" w:space="0"/>
              <w:right w:val="nil" w:sz="4" w:space="0"/>
            </w:tcBorders>
          </w:tcPr>
          <w:p w14:paraId="00000099">
            <w:pPr>
              <w:rPr>
                <w:sz w:val="20"/>
                <w:szCs w:val="20"/>
              </w:rPr>
            </w:pPr>
            <w:r>
              <w:rPr>
                <w:sz w:val="20"/>
                <w:szCs w:val="20"/>
              </w:rPr>
              <w:t>0.00</w:t>
            </w:r>
          </w:p>
        </w:tc>
        <w:tc>
          <w:tcPr>
            <w:cnfStyle w:val="000000010000"/>
            <w:tcW w:w="880" w:type="pct"/>
            <w:tcBorders>
              <w:top w:val="nil" w:sz="4" w:space="0"/>
              <w:left w:val="nil" w:sz="4" w:space="0"/>
              <w:right w:val="nil" w:sz="4" w:space="0"/>
            </w:tcBorders>
          </w:tcPr>
          <w:p w14:paraId="0000009A">
            <w:pPr>
              <w:rPr>
                <w:sz w:val="20"/>
                <w:szCs w:val="20"/>
              </w:rPr>
            </w:pPr>
            <w:r>
              <w:rPr>
                <w:sz w:val="20"/>
                <w:szCs w:val="20"/>
              </w:rPr>
              <w:t>0.00</w:t>
            </w:r>
          </w:p>
        </w:tc>
      </w:tr>
    </w:tbl>
    <w:p w14:paraId="0000009B">
      <w:pPr>
        <w:rPr>
          <w:sz w:val="20"/>
          <w:szCs w:val="20"/>
        </w:rPr>
      </w:pPr>
    </w:p>
    <w:p w14:paraId="0000009C">
      <w:pPr>
        <w:rPr>
          <w:sz w:val="20"/>
          <w:szCs w:val="20"/>
        </w:rPr>
      </w:pPr>
    </w:p>
    <w:p w14:paraId="0000009D">
      <w:pPr>
        <w:pStyle w:val="Heading2"/>
        <w:spacing w:after="240"/>
        <w:rPr>
          <w:sz w:val="20"/>
          <w:szCs w:val="20"/>
        </w:rPr>
      </w:pPr>
      <w:r>
        <w:rPr>
          <w:sz w:val="20"/>
          <w:szCs w:val="20"/>
        </w:rPr>
        <w:t>3.2 Mechanical Characterization</w:t>
      </w:r>
    </w:p>
    <w:p w14:paraId="0000009E">
      <w:pPr>
        <w:pStyle w:val="Heading3"/>
        <w:spacing w:after="240"/>
        <w:rPr>
          <w:sz w:val="20"/>
          <w:szCs w:val="20"/>
        </w:rPr>
      </w:pPr>
      <w:r>
        <w:rPr>
          <w:sz w:val="20"/>
          <w:szCs w:val="20"/>
        </w:rPr>
        <w:t>3.2.1 Impact Strength Test (Impact Test ASTM D7256 Standard)</w:t>
      </w:r>
    </w:p>
    <w:p w14:paraId="0000009F">
      <w:pPr>
        <w:jc w:val="both"/>
        <w:rPr>
          <w:sz w:val="20"/>
          <w:szCs w:val="20"/>
        </w:rPr>
      </w:pPr>
      <w:r>
        <w:rPr>
          <w:sz w:val="20"/>
          <w:szCs w:val="20"/>
        </w:rPr>
        <w:t xml:space="preserve">The impact test </w:t>
      </w:r>
      <w:r>
        <w:rPr>
          <w:sz w:val="20"/>
          <w:szCs w:val="20"/>
        </w:rPr>
        <w:t>was conducted</w:t>
      </w:r>
      <w:r>
        <w:rPr>
          <w:sz w:val="20"/>
          <w:szCs w:val="20"/>
        </w:rPr>
        <w:t xml:space="preserve"> to evaluate the toughness of the different composite materials, each containing 1.5kg/2kg/1.5kg of polyester resin with Methyl Ethyl Ketone Peroxide (MEKP) 30g/40g/30g as a catalyst and Cobalt </w:t>
      </w:r>
      <w:r>
        <w:rPr>
          <w:sz w:val="20"/>
          <w:szCs w:val="20"/>
        </w:rPr>
        <w:t>octanoate</w:t>
      </w:r>
      <w:r>
        <w:rPr>
          <w:sz w:val="20"/>
          <w:szCs w:val="20"/>
        </w:rPr>
        <w:t xml:space="preserve"> as an accelerator. The results, which is indicated in Figure 7 below, shows that the Kenaf/coconut coir/Kenaf fiber (KCK) hybrid composite exhibited excellent energy absorption capabilities before fracturing. This suggests a high level of impact resistance. This exceptional impact resistance in the KCK composite </w:t>
      </w:r>
      <w:r>
        <w:rPr>
          <w:sz w:val="20"/>
          <w:szCs w:val="20"/>
        </w:rPr>
        <w:t>was attributed</w:t>
      </w:r>
      <w:r>
        <w:rPr>
          <w:sz w:val="20"/>
          <w:szCs w:val="20"/>
        </w:rPr>
        <w:t xml:space="preserve"> to strong adhesion and interfacial bonding between </w:t>
      </w:r>
      <w:r>
        <w:rPr>
          <w:sz w:val="20"/>
          <w:szCs w:val="20"/>
        </w:rPr>
        <w:t>kenaf</w:t>
      </w:r>
      <w:r>
        <w:rPr>
          <w:sz w:val="20"/>
          <w:szCs w:val="20"/>
        </w:rPr>
        <w:t>, coconut coir fibers, and the polyester matrix.</w:t>
      </w:r>
    </w:p>
    <w:tbl>
      <w:tblPr>
        <w:tblStyle w:val="TableGrid"/>
        <w:tblW w:w="5000" w:type="pct"/>
        <w:tblBorders>
          <w:top w:val="none" w:sz="4" w:space="0"/>
          <w:left w:val="none" w:sz="4" w:space="0"/>
          <w:bottom w:val="none" w:sz="4" w:space="0"/>
          <w:right w:val="none" w:sz="4" w:space="0"/>
          <w:insideH w:val="none" w:sz="4" w:space="0"/>
          <w:insideV w:val="none" w:sz="4" w:space="0"/>
        </w:tblBorders>
        <w:tblLook w:val="04A0"/>
      </w:tblPr>
      <w:tblGrid>
        <w:gridCol w:w="5979"/>
      </w:tblGrid>
      <w:tr>
        <w:trPr/>
        <w:tc>
          <w:tcPr>
            <w:cnfStyle w:val="101000000000"/>
            <w:tcW w:w="5000" w:type="pct"/>
          </w:tcPr>
          <w:p w14:paraId="000000A0">
            <w:pPr>
              <w:jc w:val="both"/>
              <w:rPr>
                <w:sz w:val="20"/>
                <w:szCs w:val="20"/>
              </w:rPr>
            </w:pPr>
            <w:r>
              <w:rPr>
                <w:sz w:val="20"/>
                <w:szCs w:val="20"/>
              </w:rPr>
              <w:drawing xmlns:mc="http://schemas.openxmlformats.org/markup-compatibility/2006">
                <wp:anchor allowOverlap="1" behindDoc="0" distT="0" distB="0" distL="114300" distR="114300" layoutInCell="1" locked="0" relativeHeight="251660288" simplePos="0">
                  <wp:simplePos x="0" y="0"/>
                  <wp:positionH relativeFrom="margin">
                    <wp:posOffset>-9526</wp:posOffset>
                  </wp:positionH>
                  <wp:positionV relativeFrom="paragraph">
                    <wp:posOffset>357505</wp:posOffset>
                  </wp:positionV>
                  <wp:extent cx="5962015" cy="2676525"/>
                  <wp:effectExtent l="0" t="0" r="9526" b="9526"/>
                  <wp:wrapSquare wrapText="bothSides"/>
                  <wp:docPr id="860515001"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14:sizeRelH relativeFrom="margin">
                    <wp14:pctWidth>0</wp14:pctWidth>
                  </wp14:sizeRelH>
                  <wp14:sizeRelV relativeFrom="margin">
                    <wp14:pctHeight>0</wp14:pctHeight>
                  </wp14:sizeRelV>
                </wp:anchor>
              </w:drawing>
            </w:r>
          </w:p>
        </w:tc>
      </w:tr>
      <w:tr>
        <w:trPr/>
        <w:tc>
          <w:tcPr>
            <w:cnfStyle w:val="001000100000"/>
            <w:tcW w:w="5000" w:type="pct"/>
          </w:tcPr>
          <w:p w14:paraId="000000A1">
            <w:pPr>
              <w:rPr>
                <w:sz w:val="20"/>
                <w:szCs w:val="20"/>
              </w:rPr>
            </w:pPr>
            <w:r>
              <w:rPr>
                <w:b/>
                <w:sz w:val="20"/>
                <w:szCs w:val="20"/>
              </w:rPr>
              <w:t>Figure 7</w:t>
            </w:r>
            <w:r>
              <w:rPr>
                <w:sz w:val="20"/>
                <w:szCs w:val="20"/>
              </w:rPr>
              <w:t>: Impact strength of the test samples</w:t>
            </w:r>
          </w:p>
        </w:tc>
      </w:tr>
    </w:tbl>
    <w:p w14:paraId="000000A2">
      <w:pPr>
        <w:rPr>
          <w:sz w:val="20"/>
          <w:szCs w:val="20"/>
        </w:rPr>
      </w:pPr>
    </w:p>
    <w:p w14:paraId="000000A3">
      <w:pPr>
        <w:pStyle w:val="Heading3"/>
        <w:rPr>
          <w:sz w:val="20"/>
          <w:szCs w:val="20"/>
        </w:rPr>
      </w:pPr>
      <w:r>
        <w:rPr>
          <w:sz w:val="20"/>
          <w:szCs w:val="20"/>
        </w:rPr>
        <w:t>3.2.2 Flexural Strength Test (ASTM D790 Standard)</w:t>
      </w:r>
    </w:p>
    <w:p w14:paraId="000000A4">
      <w:pPr>
        <w:jc w:val="both"/>
        <w:rPr>
          <w:sz w:val="20"/>
          <w:szCs w:val="20"/>
        </w:rPr>
      </w:pPr>
      <w:r>
        <w:rPr>
          <w:sz w:val="20"/>
          <w:szCs w:val="20"/>
        </w:rPr>
        <w:t xml:space="preserve">A 3-point flexural bending test </w:t>
      </w:r>
      <w:r>
        <w:rPr>
          <w:sz w:val="20"/>
          <w:szCs w:val="20"/>
        </w:rPr>
        <w:t>was conducted</w:t>
      </w:r>
      <w:r>
        <w:rPr>
          <w:sz w:val="20"/>
          <w:szCs w:val="20"/>
        </w:rPr>
        <w:t xml:space="preserve"> on specimens of varying thickness. The results is as shown in Figure 8. It indicates that the flexural strength initially increased with reduced fiber loading but declined with further decreases in fiber loading. The coconut fiber coir/coconut fiber coir/coconut fiber coir (CCC) hybrid composite demonstrated optimal flexural strength and was well-suited for applications such as safety helmets when compared to the other composite types (CKC and KCK). The CCC specimens displayed the highest flexural strength, followed by the KCK specimens, and then the CKC specimens.</w:t>
      </w:r>
    </w:p>
    <w:tbl>
      <w:tblPr>
        <w:tblStyle w:val="TableGrid"/>
        <w:tblW w:w="5000" w:type="pct"/>
        <w:tblBorders>
          <w:top w:val="none" w:sz="4" w:space="0"/>
          <w:left w:val="none" w:sz="4" w:space="0"/>
          <w:bottom w:val="none" w:sz="4" w:space="0"/>
          <w:right w:val="none" w:sz="4" w:space="0"/>
          <w:insideH w:val="none" w:sz="4" w:space="0"/>
          <w:insideV w:val="none" w:sz="4" w:space="0"/>
        </w:tblBorders>
        <w:tblLook w:val="04A0"/>
      </w:tblPr>
      <w:tblGrid>
        <w:gridCol w:w="5979"/>
      </w:tblGrid>
      <w:tr>
        <w:trPr/>
        <w:tc>
          <w:tcPr>
            <w:cnfStyle w:val="101000000000"/>
            <w:tcW w:w="5000" w:type="pct"/>
          </w:tcPr>
          <w:p w14:paraId="000000A5">
            <w:pPr>
              <w:jc w:val="both"/>
              <w:rPr>
                <w:sz w:val="20"/>
                <w:szCs w:val="20"/>
              </w:rPr>
            </w:pPr>
            <w:r>
              <w:rPr>
                <w:sz w:val="20"/>
                <w:szCs w:val="20"/>
              </w:rPr>
              <w:drawing xmlns:mc="http://schemas.openxmlformats.org/markup-compatibility/2006">
                <wp:inline distT="0" distB="0" distL="114300" distR="114300">
                  <wp:extent cx="5882640" cy="2743200"/>
                  <wp:effectExtent l="0" t="0" r="9526" b="9526"/>
                  <wp:docPr id="86051500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tc>
      </w:tr>
      <w:tr>
        <w:trPr/>
        <w:tc>
          <w:tcPr>
            <w:cnfStyle w:val="001000100000"/>
            <w:tcW w:w="5000" w:type="pct"/>
          </w:tcPr>
          <w:p w14:paraId="000000A6">
            <w:pPr>
              <w:rPr>
                <w:sz w:val="20"/>
                <w:szCs w:val="20"/>
              </w:rPr>
            </w:pPr>
            <w:r>
              <w:rPr>
                <w:b/>
                <w:sz w:val="20"/>
                <w:szCs w:val="20"/>
              </w:rPr>
              <w:t>Figure 8</w:t>
            </w:r>
            <w:r>
              <w:rPr>
                <w:sz w:val="20"/>
                <w:szCs w:val="20"/>
              </w:rPr>
              <w:t>: Flexural test result of the developed hybrid specimen</w:t>
            </w:r>
          </w:p>
        </w:tc>
      </w:tr>
    </w:tbl>
    <w:p w14:paraId="000000A7">
      <w:pPr>
        <w:rPr>
          <w:sz w:val="20"/>
          <w:szCs w:val="20"/>
        </w:rPr>
      </w:pPr>
    </w:p>
    <w:p w14:paraId="000000A8">
      <w:pPr>
        <w:pStyle w:val="Heading3"/>
        <w:spacing w:after="240"/>
        <w:rPr>
          <w:sz w:val="20"/>
          <w:szCs w:val="20"/>
        </w:rPr>
      </w:pPr>
      <w:r>
        <w:rPr>
          <w:sz w:val="20"/>
          <w:szCs w:val="20"/>
        </w:rPr>
        <w:t>3.2.3 Tensile Properties (ASTM D790 Standard)</w:t>
      </w:r>
    </w:p>
    <w:p w14:paraId="000000A9">
      <w:pPr>
        <w:spacing w:after="240"/>
        <w:jc w:val="both"/>
        <w:rPr>
          <w:sz w:val="20"/>
          <w:szCs w:val="20"/>
        </w:rPr>
      </w:pPr>
      <w:r>
        <w:rPr>
          <w:sz w:val="20"/>
          <w:szCs w:val="20"/>
        </w:rPr>
        <w:t>The tensile testing results in Figure 9 indicates that the coconut fiber coir composite achieved a maximum ultimate tensile stress of 22.667 MPa compared to other composite types. The composite with a density of 400 grams combined with polyester resin exhibited strong resistance to tensile loading, suggesting effective bonding between the matrix and reinforcements, particularly in the coconut fiber coir/Kenaf/coconut fiber coir (CKC) fibers. This finding reflected the ductile nature of the materials</w:t>
      </w:r>
      <w:r>
        <w:rPr>
          <w:sz w:val="20"/>
          <w:szCs w:val="20"/>
        </w:rPr>
        <w:t xml:space="preserve"> </w:t>
      </w:r>
      <w:r>
        <w:rPr>
          <w:color w:val="000000"/>
          <w:sz w:val="20"/>
          <w:szCs w:val="20"/>
        </w:rPr>
        <w:t>(Biswas et al., 2019)</w:t>
      </w:r>
      <w:r>
        <w:rPr>
          <w:sz w:val="20"/>
          <w:szCs w:val="20"/>
        </w:rPr>
        <w:t>.</w:t>
      </w:r>
    </w:p>
    <w:p w14:paraId="000000AA">
      <w:pPr>
        <w:spacing w:after="240"/>
        <w:jc w:val="both"/>
        <w:rPr>
          <w:sz w:val="20"/>
          <w:szCs w:val="20"/>
        </w:rPr>
      </w:pPr>
    </w:p>
    <w:p w14:paraId="000000AB">
      <w:pPr>
        <w:spacing w:after="240"/>
        <w:jc w:val="both"/>
        <w:rPr>
          <w:sz w:val="20"/>
          <w:szCs w:val="20"/>
        </w:rPr>
      </w:pPr>
    </w:p>
    <w:tbl>
      <w:tblPr>
        <w:tblStyle w:val="TableGrid"/>
        <w:tblW w:w="5000" w:type="pct"/>
        <w:tblBorders>
          <w:top w:val="none" w:sz="4" w:space="0"/>
          <w:left w:val="none" w:sz="4" w:space="0"/>
          <w:bottom w:val="none" w:sz="4" w:space="0"/>
          <w:right w:val="none" w:sz="4" w:space="0"/>
          <w:insideH w:val="none" w:sz="4" w:space="0"/>
          <w:insideV w:val="none" w:sz="4" w:space="0"/>
        </w:tblBorders>
        <w:tblLook w:val="04A0"/>
      </w:tblPr>
      <w:tblGrid>
        <w:gridCol w:w="5979"/>
      </w:tblGrid>
      <w:tr>
        <w:trPr/>
        <w:tc>
          <w:tcPr>
            <w:cnfStyle w:val="101000000000"/>
            <w:tcW w:w="5000" w:type="pct"/>
          </w:tcPr>
          <w:p w14:paraId="000000AC">
            <w:pPr>
              <w:jc w:val="both"/>
              <w:rPr>
                <w:sz w:val="20"/>
                <w:szCs w:val="20"/>
              </w:rPr>
            </w:pPr>
            <w:r>
              <w:rPr>
                <w:sz w:val="20"/>
                <w:szCs w:val="20"/>
              </w:rPr>
              <w:drawing xmlns:mc="http://schemas.openxmlformats.org/markup-compatibility/2006">
                <wp:inline distT="0" distB="0" distL="114300" distR="114300">
                  <wp:extent cx="5783580" cy="2743200"/>
                  <wp:effectExtent l="0" t="0" r="9525" b="9526"/>
                  <wp:docPr id="86051500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tc>
      </w:tr>
      <w:tr>
        <w:trPr/>
        <w:tc>
          <w:tcPr>
            <w:cnfStyle w:val="001000100000"/>
            <w:tcW w:w="5000" w:type="pct"/>
          </w:tcPr>
          <w:p w14:paraId="000000AD">
            <w:pPr>
              <w:rPr>
                <w:sz w:val="20"/>
                <w:szCs w:val="20"/>
              </w:rPr>
            </w:pPr>
            <w:r>
              <w:rPr>
                <w:b/>
                <w:sz w:val="20"/>
                <w:szCs w:val="20"/>
              </w:rPr>
              <w:t>Figure 9</w:t>
            </w:r>
            <w:r>
              <w:rPr>
                <w:sz w:val="20"/>
                <w:szCs w:val="20"/>
              </w:rPr>
              <w:t xml:space="preserve">: Tensile test result of the developed hybrid specimen </w:t>
            </w:r>
          </w:p>
        </w:tc>
      </w:tr>
    </w:tbl>
    <w:p w14:paraId="000000AE">
      <w:pPr>
        <w:rPr>
          <w:sz w:val="20"/>
          <w:szCs w:val="20"/>
        </w:rPr>
      </w:pPr>
    </w:p>
    <w:p w14:paraId="000000AF">
      <w:pPr>
        <w:pStyle w:val="Heading3"/>
        <w:spacing w:after="240"/>
        <w:rPr>
          <w:sz w:val="20"/>
          <w:szCs w:val="20"/>
        </w:rPr>
      </w:pPr>
      <w:r>
        <w:rPr>
          <w:sz w:val="20"/>
          <w:szCs w:val="20"/>
        </w:rPr>
        <w:t>3.2.4 Water Absorption Test (ASTM D570 Standard)</w:t>
      </w:r>
    </w:p>
    <w:p w14:paraId="000000B0">
      <w:pPr>
        <w:spacing w:after="240"/>
        <w:jc w:val="both"/>
        <w:rPr>
          <w:sz w:val="20"/>
          <w:szCs w:val="20"/>
        </w:rPr>
      </w:pPr>
      <w:r>
        <w:rPr>
          <w:sz w:val="20"/>
          <w:szCs w:val="20"/>
        </w:rPr>
        <w:t>The graph in Figure 10 reveals that Kenaf/coconut coir/Kenaf exhibited the lowest water absorption properties, attributed to the hydrophobic nature of Kenaf fibers. This property makes it suitable for applications where moisture resistance is crucial.</w:t>
      </w:r>
    </w:p>
    <w:tbl>
      <w:tblPr>
        <w:tblStyle w:val="TableGrid"/>
        <w:tblW w:w="0" w:type="auto"/>
        <w:tblBorders>
          <w:top w:val="none" w:sz="4" w:space="0"/>
          <w:left w:val="none" w:sz="4" w:space="0"/>
          <w:bottom w:val="none" w:sz="4" w:space="0"/>
          <w:right w:val="none" w:sz="4" w:space="0"/>
          <w:insideH w:val="none" w:sz="4" w:space="0"/>
          <w:insideV w:val="none" w:sz="4" w:space="0"/>
        </w:tblBorders>
        <w:tblLook w:val="04A0"/>
      </w:tblPr>
      <w:tblGrid>
        <w:gridCol w:w="5979"/>
      </w:tblGrid>
      <w:tr>
        <w:trPr/>
        <w:tc>
          <w:tcPr>
            <w:cnfStyle w:val="101000000000"/>
            <w:tcW w:w="9487" w:type="dxa"/>
          </w:tcPr>
          <w:p w14:paraId="000000B1">
            <w:pPr>
              <w:jc w:val="both"/>
              <w:rPr>
                <w:sz w:val="20"/>
                <w:szCs w:val="20"/>
              </w:rPr>
            </w:pPr>
            <w:r>
              <w:rPr>
                <w:b/>
                <w:sz w:val="20"/>
                <w:szCs w:val="20"/>
              </w:rPr>
              <w:drawing xmlns:mc="http://schemas.openxmlformats.org/markup-compatibility/2006">
                <wp:inline distT="0" distB="0" distL="114300" distR="114300">
                  <wp:extent cx="5875020" cy="2727960"/>
                  <wp:effectExtent l="0" t="0" r="9526" b="9526"/>
                  <wp:docPr id="860515004"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tc>
      </w:tr>
      <w:tr>
        <w:trPr/>
        <w:tc>
          <w:tcPr>
            <w:cnfStyle w:val="001000100000"/>
            <w:tcW w:w="9487" w:type="dxa"/>
          </w:tcPr>
          <w:p w14:paraId="000000B2">
            <w:pPr>
              <w:rPr>
                <w:sz w:val="20"/>
                <w:szCs w:val="20"/>
              </w:rPr>
            </w:pPr>
            <w:r>
              <w:rPr>
                <w:b/>
                <w:sz w:val="20"/>
                <w:szCs w:val="20"/>
              </w:rPr>
              <w:t xml:space="preserve">Figure 10: </w:t>
            </w:r>
            <w:r>
              <w:rPr>
                <w:sz w:val="20"/>
                <w:szCs w:val="20"/>
              </w:rPr>
              <w:t>The water absorption test result of the developed hybrid specimen</w:t>
            </w:r>
          </w:p>
        </w:tc>
      </w:tr>
    </w:tbl>
    <w:p w14:paraId="000000B3">
      <w:pPr>
        <w:rPr>
          <w:b/>
          <w:sz w:val="20"/>
          <w:szCs w:val="20"/>
        </w:rPr>
      </w:pPr>
    </w:p>
    <w:p w14:paraId="000000B4">
      <w:pPr>
        <w:pStyle w:val="Heading1"/>
        <w:spacing w:after="240"/>
        <w:rPr>
          <w:rFonts w:ascii="Times New Roman" w:cs="Times New Roman" w:hAnsi="Times New Roman"/>
          <w:b/>
          <w:sz w:val="20"/>
          <w:szCs w:val="20"/>
        </w:rPr>
      </w:pPr>
      <w:bookmarkStart w:id="5" w:name="_Toc146378481"/>
      <w:r>
        <w:rPr>
          <w:rFonts w:ascii="Times New Roman" w:cs="Times New Roman" w:hAnsi="Times New Roman"/>
          <w:b/>
          <w:sz w:val="20"/>
          <w:szCs w:val="20"/>
        </w:rPr>
        <w:t>4. CONCLUSION</w:t>
      </w:r>
      <w:bookmarkEnd w:id="5"/>
    </w:p>
    <w:p w14:paraId="000000B5">
      <w:pPr>
        <w:spacing w:after="240"/>
        <w:jc w:val="both"/>
        <w:rPr>
          <w:sz w:val="20"/>
          <w:szCs w:val="20"/>
        </w:rPr>
      </w:pPr>
      <w:r>
        <w:rPr>
          <w:sz w:val="20"/>
          <w:szCs w:val="20"/>
        </w:rPr>
        <w:t xml:space="preserve">In this study, composites containing </w:t>
      </w:r>
      <w:r>
        <w:rPr>
          <w:sz w:val="20"/>
          <w:szCs w:val="20"/>
        </w:rPr>
        <w:t>kenaf</w:t>
      </w:r>
      <w:r>
        <w:rPr>
          <w:sz w:val="20"/>
          <w:szCs w:val="20"/>
        </w:rPr>
        <w:t xml:space="preserve"> and coconut coir fibers were developed. Findings from the study showed that laminates of polyester resins as the matrix components with coconut coir fiber and Kenaf as reinforcements </w:t>
      </w:r>
      <w:r>
        <w:rPr>
          <w:sz w:val="20"/>
          <w:szCs w:val="20"/>
        </w:rPr>
        <w:t>can be effectively developed</w:t>
      </w:r>
      <w:r>
        <w:rPr>
          <w:sz w:val="20"/>
          <w:szCs w:val="20"/>
        </w:rPr>
        <w:t xml:space="preserve"> by a hand lay-up technique. It is important to note the major findings as </w:t>
      </w:r>
    </w:p>
    <w:p w14:paraId="000000B6">
      <w:pPr>
        <w:pStyle w:val="ListParagraph"/>
        <w:numPr>
          <w:ilvl w:val="0"/>
          <w:numId w:val="1"/>
        </w:numPr>
        <w:spacing w:after="180" w:line="240" w:lineRule="auto"/>
        <w:jc w:val="both"/>
        <w:rPr>
          <w:rFonts w:ascii="Times New Roman" w:hAnsi="Times New Roman"/>
          <w:sz w:val="20"/>
          <w:szCs w:val="20"/>
        </w:rPr>
      </w:pPr>
      <w:r>
        <w:rPr>
          <w:rFonts w:ascii="Times New Roman" w:hAnsi="Times New Roman"/>
          <w:sz w:val="20"/>
          <w:szCs w:val="20"/>
        </w:rPr>
        <w:t>The produced Kenaf/ coconut fiber /Kenaf (KCK) hybrid composite can absorb more energy with the value of 74.7J/m before fracturing according to the Impact test due to the strong adhesion and interfacial bonding between the kenaf, coconut coir fibers and the polyester matrix which i</w:t>
      </w:r>
      <w:r>
        <w:rPr>
          <w:rFonts w:ascii="Times New Roman" w:hAnsi="Times New Roman"/>
          <w:sz w:val="20"/>
          <w:szCs w:val="20"/>
        </w:rPr>
        <w:t>s in agreement with literature</w:t>
      </w:r>
      <w:r>
        <w:rPr>
          <w:rFonts w:ascii="Times New Roman" w:hAnsi="Times New Roman"/>
          <w:sz w:val="20"/>
          <w:szCs w:val="20"/>
          <w:lang w:val="en-US"/>
        </w:rPr>
        <w:t xml:space="preserve"> </w:t>
      </w:r>
      <w:r>
        <w:rPr>
          <w:rFonts w:ascii="Times New Roman" w:hAnsi="Times New Roman"/>
          <w:color w:val="000000"/>
          <w:sz w:val="20"/>
          <w:szCs w:val="20"/>
          <w:lang w:val="en-US"/>
        </w:rPr>
        <w:t>(Biswas et al., 2019)</w:t>
      </w:r>
    </w:p>
    <w:p w14:paraId="000000B7">
      <w:pPr>
        <w:pStyle w:val="ListParagraph"/>
        <w:numPr>
          <w:ilvl w:val="0"/>
          <w:numId w:val="1"/>
        </w:numPr>
        <w:spacing w:after="180" w:line="240" w:lineRule="auto"/>
        <w:jc w:val="both"/>
        <w:rPr>
          <w:rFonts w:ascii="Times New Roman" w:hAnsi="Times New Roman"/>
          <w:sz w:val="20"/>
          <w:szCs w:val="20"/>
        </w:rPr>
      </w:pPr>
      <w:r>
        <w:rPr>
          <w:rFonts w:ascii="Times New Roman" w:hAnsi="Times New Roman"/>
          <w:sz w:val="20"/>
          <w:szCs w:val="20"/>
        </w:rPr>
        <w:t xml:space="preserve">Kenaf/coconut coir/kenaf composite has the lowest water absorption rate with a value of </w:t>
      </w:r>
      <w:r>
        <w:rPr>
          <w:rFonts w:ascii="Times New Roman" w:hAnsi="Times New Roman"/>
          <w:bCs/>
          <w:sz w:val="20"/>
          <w:szCs w:val="20"/>
        </w:rPr>
        <w:t>5.98%</w:t>
      </w:r>
      <w:r>
        <w:rPr>
          <w:rFonts w:ascii="Times New Roman" w:hAnsi="Times New Roman"/>
          <w:sz w:val="20"/>
          <w:szCs w:val="20"/>
        </w:rPr>
        <w:t xml:space="preserve"> in comparison to other samples, hence hydrophobic.</w:t>
      </w:r>
    </w:p>
    <w:p w14:paraId="000000B8">
      <w:pPr>
        <w:pStyle w:val="ListParagraph"/>
        <w:numPr>
          <w:ilvl w:val="0"/>
          <w:numId w:val="1"/>
        </w:numPr>
        <w:spacing w:after="180" w:line="240" w:lineRule="auto"/>
        <w:jc w:val="both"/>
        <w:rPr>
          <w:rFonts w:ascii="Times New Roman" w:hAnsi="Times New Roman"/>
          <w:sz w:val="20"/>
          <w:szCs w:val="20"/>
        </w:rPr>
      </w:pPr>
      <w:r>
        <w:rPr>
          <w:rFonts w:ascii="Times New Roman" w:hAnsi="Times New Roman"/>
          <w:sz w:val="20"/>
          <w:szCs w:val="20"/>
        </w:rPr>
        <w:t>Kenaf/coconut coir/kenaf composite possesses the highest tensile strength with the value of 68.17MPa when compared to others hence making it more suitable for applications where strength and durability are essential such as the car bonnets and bumper.</w:t>
      </w:r>
    </w:p>
    <w:p w14:paraId="000000B9">
      <w:pPr>
        <w:spacing w:after="180"/>
        <w:jc w:val="both"/>
        <w:rPr>
          <w:sz w:val="20"/>
          <w:szCs w:val="20"/>
        </w:rPr>
      </w:pPr>
      <w:r>
        <w:rPr>
          <w:sz w:val="20"/>
          <w:szCs w:val="20"/>
        </w:rPr>
        <w:t xml:space="preserve">From the aforementioned facts, it is obvious that the hybrid compound </w:t>
      </w:r>
      <w:r>
        <w:rPr>
          <w:sz w:val="20"/>
          <w:szCs w:val="20"/>
        </w:rPr>
        <w:t>kenaf</w:t>
      </w:r>
      <w:r>
        <w:rPr>
          <w:sz w:val="20"/>
          <w:szCs w:val="20"/>
        </w:rPr>
        <w:t>/coconut coir/</w:t>
      </w:r>
      <w:r>
        <w:rPr>
          <w:sz w:val="20"/>
          <w:szCs w:val="20"/>
        </w:rPr>
        <w:t>kenaf</w:t>
      </w:r>
      <w:r>
        <w:rPr>
          <w:sz w:val="20"/>
          <w:szCs w:val="20"/>
        </w:rPr>
        <w:t xml:space="preserve"> can serve as a replacement for fiber </w:t>
      </w:r>
      <w:r>
        <w:rPr>
          <w:sz w:val="20"/>
          <w:szCs w:val="20"/>
        </w:rPr>
        <w:t>composites</w:t>
      </w:r>
      <w:r>
        <w:rPr>
          <w:sz w:val="20"/>
          <w:szCs w:val="20"/>
        </w:rPr>
        <w:t xml:space="preserve"> </w:t>
      </w:r>
      <w:r>
        <w:rPr>
          <w:sz w:val="20"/>
          <w:szCs w:val="20"/>
        </w:rPr>
        <w:t>.</w:t>
      </w:r>
      <w:r>
        <w:rPr>
          <w:sz w:val="20"/>
          <w:szCs w:val="20"/>
        </w:rPr>
        <w:t xml:space="preserve"> Thus, further study is required to increase the flexural strength for more usefulness of the natural fibers as composition reinforcement in structural applications. </w:t>
      </w:r>
    </w:p>
    <w:p w14:paraId="000000BA">
      <w:pPr>
        <w:pStyle w:val="Heading1"/>
        <w:rPr>
          <w:rFonts w:ascii="Times New Roman" w:cs="Times New Roman" w:hAnsi="Times New Roman"/>
          <w:b/>
          <w:sz w:val="20"/>
          <w:szCs w:val="20"/>
        </w:rPr>
      </w:pPr>
      <w:r>
        <w:rPr>
          <w:rFonts w:ascii="Times New Roman" w:cs="Times New Roman" w:hAnsi="Times New Roman"/>
          <w:b/>
          <w:sz w:val="20"/>
          <w:szCs w:val="20"/>
        </w:rPr>
        <w:t>5. ACKNOWLEDGMENT</w:t>
      </w:r>
    </w:p>
    <w:p w14:paraId="000000BB">
      <w:pPr>
        <w:ind w:right="-82"/>
        <w:jc w:val="both"/>
        <w:rPr>
          <w:sz w:val="20"/>
          <w:szCs w:val="20"/>
        </w:rPr>
      </w:pPr>
      <w:r>
        <w:rPr>
          <w:sz w:val="20"/>
          <w:szCs w:val="20"/>
        </w:rPr>
        <w:t>The authors wish to acknowledge the assistance and contributions of the laboratory staff of the Department of Materials and Metallurgy Engineering, University of Ilorin, Ilorin toward the success of this work</w:t>
      </w:r>
      <w:r>
        <w:rPr>
          <w:sz w:val="20"/>
          <w:szCs w:val="20"/>
          <w:lang w:val="en-GB"/>
        </w:rPr>
        <w:t>.</w:t>
      </w:r>
    </w:p>
    <w:p w14:paraId="000000BC">
      <w:pPr>
        <w:spacing w:after="160"/>
        <w:rPr>
          <w:rFonts w:cs="Calibri"/>
          <w:b/>
          <w:sz w:val="20"/>
          <w:szCs w:val="20"/>
        </w:rPr>
      </w:pPr>
    </w:p>
    <w:p w14:paraId="000000BD">
      <w:pPr>
        <w:pStyle w:val="Heading1"/>
        <w:rPr>
          <w:rFonts w:ascii="Times New Roman" w:cs="Times New Roman" w:hAnsi="Times New Roman"/>
          <w:b/>
          <w:color w:val="000000" w:themeColor="text1"/>
          <w:sz w:val="20"/>
          <w:szCs w:val="20"/>
        </w:rPr>
      </w:pPr>
      <w:r>
        <w:rPr>
          <w:rFonts w:ascii="Times New Roman" w:cs="Times New Roman" w:hAnsi="Times New Roman"/>
          <w:b/>
          <w:color w:val="000000" w:themeColor="text1"/>
          <w:sz w:val="20"/>
          <w:szCs w:val="20"/>
        </w:rPr>
        <w:t>REFERENCES</w:t>
      </w:r>
    </w:p>
    <w:p w14:paraId="000000BE">
      <w:pPr>
        <w:ind w:hanging="480"/>
        <w:rPr>
          <w:sz w:val="20"/>
          <w:szCs w:val="20"/>
        </w:rPr>
      </w:pPr>
      <w:r>
        <w:rPr>
          <w:sz w:val="20"/>
          <w:szCs w:val="20"/>
        </w:rPr>
        <w:t xml:space="preserve">Biswas, B., </w:t>
      </w:r>
      <w:r>
        <w:rPr>
          <w:sz w:val="20"/>
          <w:szCs w:val="20"/>
        </w:rPr>
        <w:t>Bandyopadhyay</w:t>
      </w:r>
      <w:r>
        <w:rPr>
          <w:sz w:val="20"/>
          <w:szCs w:val="20"/>
        </w:rPr>
        <w:t xml:space="preserve">, N. R., &amp; Sinha, A. (2019). Mechanical and Dynamic Mechanical Properties of Unsaturated Polyester Resin-Based Composites. In </w:t>
      </w:r>
      <w:r>
        <w:rPr>
          <w:i/>
          <w:iCs/>
          <w:sz w:val="20"/>
          <w:szCs w:val="20"/>
        </w:rPr>
        <w:t>Unsaturated Polyester Resins</w:t>
      </w:r>
      <w:r>
        <w:rPr>
          <w:sz w:val="20"/>
          <w:szCs w:val="20"/>
        </w:rPr>
        <w:t xml:space="preserve"> (pp. 407–434). Elsevier. https://doi.org/10.1016/B978-0-12-816129-6.00016-8</w:t>
      </w:r>
    </w:p>
    <w:p w14:paraId="000000BF">
      <w:pPr>
        <w:ind w:hanging="480"/>
        <w:rPr>
          <w:sz w:val="20"/>
          <w:szCs w:val="20"/>
        </w:rPr>
      </w:pPr>
      <w:r>
        <w:rPr>
          <w:sz w:val="20"/>
          <w:szCs w:val="20"/>
        </w:rPr>
        <w:t xml:space="preserve">Chee, S. S., </w:t>
      </w:r>
      <w:r>
        <w:rPr>
          <w:sz w:val="20"/>
          <w:szCs w:val="20"/>
        </w:rPr>
        <w:t>Jawaid</w:t>
      </w:r>
      <w:r>
        <w:rPr>
          <w:sz w:val="20"/>
          <w:szCs w:val="20"/>
        </w:rPr>
        <w:t xml:space="preserve">, M., Sultan, M. T. H., </w:t>
      </w:r>
      <w:r>
        <w:rPr>
          <w:sz w:val="20"/>
          <w:szCs w:val="20"/>
        </w:rPr>
        <w:t>Alothman</w:t>
      </w:r>
      <w:r>
        <w:rPr>
          <w:sz w:val="20"/>
          <w:szCs w:val="20"/>
        </w:rPr>
        <w:t xml:space="preserve">, O. Y., &amp; Abdullah, L. C. (2020). Effects of </w:t>
      </w:r>
      <w:r>
        <w:rPr>
          <w:sz w:val="20"/>
          <w:szCs w:val="20"/>
        </w:rPr>
        <w:t>nanoclay</w:t>
      </w:r>
      <w:r>
        <w:rPr>
          <w:sz w:val="20"/>
          <w:szCs w:val="20"/>
        </w:rPr>
        <w:t xml:space="preserve"> on physical and dimensional stability of Bamboo/Kenaf/</w:t>
      </w:r>
      <w:r>
        <w:rPr>
          <w:sz w:val="20"/>
          <w:szCs w:val="20"/>
        </w:rPr>
        <w:t>nanoclay</w:t>
      </w:r>
      <w:r>
        <w:rPr>
          <w:sz w:val="20"/>
          <w:szCs w:val="20"/>
        </w:rPr>
        <w:t xml:space="preserve"> reinforced epoxy hybrid nanocomposites. </w:t>
      </w:r>
      <w:r>
        <w:rPr>
          <w:i/>
          <w:iCs/>
          <w:sz w:val="20"/>
          <w:szCs w:val="20"/>
        </w:rPr>
        <w:t>Journal of Materials Research and Technology</w:t>
      </w:r>
      <w:r>
        <w:rPr>
          <w:sz w:val="20"/>
          <w:szCs w:val="20"/>
        </w:rPr>
        <w:t xml:space="preserve">, </w:t>
      </w:r>
      <w:r>
        <w:rPr>
          <w:i/>
          <w:iCs/>
          <w:sz w:val="20"/>
          <w:szCs w:val="20"/>
        </w:rPr>
        <w:t>9</w:t>
      </w:r>
      <w:r>
        <w:rPr>
          <w:sz w:val="20"/>
          <w:szCs w:val="20"/>
        </w:rPr>
        <w:t>(3), 5871–5880. https://doi.org/10.1016/j.jmrt.2020.03.114</w:t>
      </w:r>
    </w:p>
    <w:p w14:paraId="000000C0">
      <w:pPr>
        <w:ind w:hanging="480"/>
        <w:rPr>
          <w:sz w:val="20"/>
          <w:szCs w:val="20"/>
        </w:rPr>
      </w:pPr>
      <w:r>
        <w:rPr>
          <w:sz w:val="20"/>
          <w:szCs w:val="20"/>
        </w:rPr>
        <w:t>Dashtizadeh</w:t>
      </w:r>
      <w:r>
        <w:rPr>
          <w:sz w:val="20"/>
          <w:szCs w:val="20"/>
        </w:rPr>
        <w:t xml:space="preserve">, Z., </w:t>
      </w:r>
      <w:r>
        <w:rPr>
          <w:sz w:val="20"/>
          <w:szCs w:val="20"/>
        </w:rPr>
        <w:t>Abdan</w:t>
      </w:r>
      <w:r>
        <w:rPr>
          <w:sz w:val="20"/>
          <w:szCs w:val="20"/>
        </w:rPr>
        <w:t xml:space="preserve">, K., &amp; </w:t>
      </w:r>
      <w:r>
        <w:rPr>
          <w:sz w:val="20"/>
          <w:szCs w:val="20"/>
        </w:rPr>
        <w:t>Jawaid</w:t>
      </w:r>
      <w:r>
        <w:rPr>
          <w:sz w:val="20"/>
          <w:szCs w:val="20"/>
        </w:rPr>
        <w:t xml:space="preserve">, M. (2020). Mechanical properties enhancement of </w:t>
      </w:r>
      <w:r>
        <w:rPr>
          <w:sz w:val="20"/>
          <w:szCs w:val="20"/>
        </w:rPr>
        <w:t>cardanol</w:t>
      </w:r>
      <w:r>
        <w:rPr>
          <w:sz w:val="20"/>
          <w:szCs w:val="20"/>
        </w:rPr>
        <w:t xml:space="preserve"> by hybridization with </w:t>
      </w:r>
      <w:r>
        <w:rPr>
          <w:sz w:val="20"/>
          <w:szCs w:val="20"/>
        </w:rPr>
        <w:t>kenaf</w:t>
      </w:r>
      <w:r>
        <w:rPr>
          <w:sz w:val="20"/>
          <w:szCs w:val="20"/>
        </w:rPr>
        <w:t xml:space="preserve">/recycled carbon. </w:t>
      </w:r>
      <w:r>
        <w:rPr>
          <w:i/>
          <w:iCs/>
          <w:sz w:val="20"/>
          <w:szCs w:val="20"/>
        </w:rPr>
        <w:t>Mechanics of Materials</w:t>
      </w:r>
      <w:r>
        <w:rPr>
          <w:sz w:val="20"/>
          <w:szCs w:val="20"/>
        </w:rPr>
        <w:t xml:space="preserve">, </w:t>
      </w:r>
      <w:r>
        <w:rPr>
          <w:i/>
          <w:iCs/>
          <w:sz w:val="20"/>
          <w:szCs w:val="20"/>
        </w:rPr>
        <w:t>148</w:t>
      </w:r>
      <w:r>
        <w:rPr>
          <w:sz w:val="20"/>
          <w:szCs w:val="20"/>
        </w:rPr>
        <w:t>, 103475. https://doi.org/10.1016/j.mechmat.2020.103475</w:t>
      </w:r>
    </w:p>
    <w:p w14:paraId="000000C1">
      <w:pPr>
        <w:ind w:hanging="480"/>
        <w:rPr>
          <w:sz w:val="20"/>
          <w:szCs w:val="20"/>
        </w:rPr>
      </w:pPr>
      <w:r>
        <w:rPr>
          <w:sz w:val="20"/>
          <w:szCs w:val="20"/>
        </w:rPr>
        <w:t>Dattatreya</w:t>
      </w:r>
      <w:r>
        <w:rPr>
          <w:sz w:val="20"/>
          <w:szCs w:val="20"/>
        </w:rPr>
        <w:t xml:space="preserve">, K., </w:t>
      </w:r>
      <w:r>
        <w:rPr>
          <w:sz w:val="20"/>
          <w:szCs w:val="20"/>
        </w:rPr>
        <w:t>Sathees</w:t>
      </w:r>
      <w:r>
        <w:rPr>
          <w:sz w:val="20"/>
          <w:szCs w:val="20"/>
        </w:rPr>
        <w:t xml:space="preserve"> Kumar, S., Prasad, V. V. S. H., &amp; </w:t>
      </w:r>
      <w:r>
        <w:rPr>
          <w:sz w:val="20"/>
          <w:szCs w:val="20"/>
        </w:rPr>
        <w:t>Ranjan</w:t>
      </w:r>
      <w:r>
        <w:rPr>
          <w:sz w:val="20"/>
          <w:szCs w:val="20"/>
        </w:rPr>
        <w:t xml:space="preserve"> </w:t>
      </w:r>
      <w:r>
        <w:rPr>
          <w:sz w:val="20"/>
          <w:szCs w:val="20"/>
        </w:rPr>
        <w:t>Pati</w:t>
      </w:r>
      <w:r>
        <w:rPr>
          <w:sz w:val="20"/>
          <w:szCs w:val="20"/>
        </w:rPr>
        <w:t xml:space="preserve">, P. (2023). Mechanical properties of waste natural fibers/fillers reinforced epoxy hybrid composites for automotive applications. </w:t>
      </w:r>
      <w:r>
        <w:rPr>
          <w:i/>
          <w:iCs/>
          <w:sz w:val="20"/>
          <w:szCs w:val="20"/>
        </w:rPr>
        <w:t>Materials Today: Proceedings</w:t>
      </w:r>
      <w:r>
        <w:rPr>
          <w:sz w:val="20"/>
          <w:szCs w:val="20"/>
        </w:rPr>
        <w:t>. https://doi.org/10.1016/j.matpr.2023.02.001</w:t>
      </w:r>
    </w:p>
    <w:p w14:paraId="000000C2">
      <w:pPr>
        <w:ind w:hanging="480"/>
        <w:rPr>
          <w:sz w:val="20"/>
          <w:szCs w:val="20"/>
        </w:rPr>
      </w:pPr>
      <w:r>
        <w:rPr>
          <w:sz w:val="20"/>
          <w:szCs w:val="20"/>
        </w:rPr>
        <w:t>Marichelvam</w:t>
      </w:r>
      <w:r>
        <w:rPr>
          <w:sz w:val="20"/>
          <w:szCs w:val="20"/>
        </w:rPr>
        <w:t xml:space="preserve">, M. K., Kumar, C. L., </w:t>
      </w:r>
      <w:r>
        <w:rPr>
          <w:sz w:val="20"/>
          <w:szCs w:val="20"/>
        </w:rPr>
        <w:t>Kandakodeeswaran</w:t>
      </w:r>
      <w:r>
        <w:rPr>
          <w:sz w:val="20"/>
          <w:szCs w:val="20"/>
        </w:rPr>
        <w:t xml:space="preserve">, K., </w:t>
      </w:r>
      <w:r>
        <w:rPr>
          <w:sz w:val="20"/>
          <w:szCs w:val="20"/>
        </w:rPr>
        <w:t>Thangagiri</w:t>
      </w:r>
      <w:r>
        <w:rPr>
          <w:sz w:val="20"/>
          <w:szCs w:val="20"/>
        </w:rPr>
        <w:t xml:space="preserve">, B., </w:t>
      </w:r>
      <w:r>
        <w:rPr>
          <w:sz w:val="20"/>
          <w:szCs w:val="20"/>
        </w:rPr>
        <w:t>Saxena</w:t>
      </w:r>
      <w:r>
        <w:rPr>
          <w:sz w:val="20"/>
          <w:szCs w:val="20"/>
        </w:rPr>
        <w:t xml:space="preserve">, K. K., Kishore, K., </w:t>
      </w:r>
      <w:r>
        <w:rPr>
          <w:sz w:val="20"/>
          <w:szCs w:val="20"/>
        </w:rPr>
        <w:t>Wagri</w:t>
      </w:r>
      <w:r>
        <w:rPr>
          <w:sz w:val="20"/>
          <w:szCs w:val="20"/>
        </w:rPr>
        <w:t xml:space="preserve">, N. K., &amp; Kumar, S. (2023). Investigation on mechanical properties of novel natural fiber-epoxy resin hybrid composites for engineering structural applications. </w:t>
      </w:r>
      <w:r>
        <w:rPr>
          <w:i/>
          <w:iCs/>
          <w:sz w:val="20"/>
          <w:szCs w:val="20"/>
        </w:rPr>
        <w:t>Case Studies in Construction Materials</w:t>
      </w:r>
      <w:r>
        <w:rPr>
          <w:sz w:val="20"/>
          <w:szCs w:val="20"/>
        </w:rPr>
        <w:t xml:space="preserve">, </w:t>
      </w:r>
      <w:r>
        <w:rPr>
          <w:i/>
          <w:iCs/>
          <w:sz w:val="20"/>
          <w:szCs w:val="20"/>
        </w:rPr>
        <w:t>19</w:t>
      </w:r>
      <w:r>
        <w:rPr>
          <w:sz w:val="20"/>
          <w:szCs w:val="20"/>
        </w:rPr>
        <w:t>, e02356. https://doi.org/10.1016/j.cscm.2023.e02356</w:t>
      </w:r>
    </w:p>
    <w:p w14:paraId="000000C3">
      <w:pPr>
        <w:ind w:hanging="480"/>
        <w:rPr>
          <w:sz w:val="20"/>
          <w:szCs w:val="20"/>
        </w:rPr>
      </w:pPr>
      <w:r>
        <w:rPr>
          <w:sz w:val="20"/>
          <w:szCs w:val="20"/>
        </w:rPr>
        <w:t>Müssig</w:t>
      </w:r>
      <w:r>
        <w:rPr>
          <w:sz w:val="20"/>
          <w:szCs w:val="20"/>
        </w:rPr>
        <w:t xml:space="preserve">, J., </w:t>
      </w:r>
      <w:r>
        <w:rPr>
          <w:sz w:val="20"/>
          <w:szCs w:val="20"/>
        </w:rPr>
        <w:t>Enke</w:t>
      </w:r>
      <w:r>
        <w:rPr>
          <w:sz w:val="20"/>
          <w:szCs w:val="20"/>
        </w:rPr>
        <w:t xml:space="preserve">, S., </w:t>
      </w:r>
      <w:r>
        <w:rPr>
          <w:sz w:val="20"/>
          <w:szCs w:val="20"/>
        </w:rPr>
        <w:t>Gusovius</w:t>
      </w:r>
      <w:r>
        <w:rPr>
          <w:sz w:val="20"/>
          <w:szCs w:val="20"/>
        </w:rPr>
        <w:t xml:space="preserve">, H., </w:t>
      </w:r>
      <w:r>
        <w:rPr>
          <w:sz w:val="20"/>
          <w:szCs w:val="20"/>
        </w:rPr>
        <w:t>Lühr</w:t>
      </w:r>
      <w:r>
        <w:rPr>
          <w:sz w:val="20"/>
          <w:szCs w:val="20"/>
        </w:rPr>
        <w:t xml:space="preserve">, C., </w:t>
      </w:r>
      <w:r>
        <w:rPr>
          <w:sz w:val="20"/>
          <w:szCs w:val="20"/>
        </w:rPr>
        <w:t>Uhrlaub</w:t>
      </w:r>
      <w:r>
        <w:rPr>
          <w:sz w:val="20"/>
          <w:szCs w:val="20"/>
        </w:rPr>
        <w:t xml:space="preserve">, B., </w:t>
      </w:r>
      <w:r>
        <w:rPr>
          <w:sz w:val="20"/>
          <w:szCs w:val="20"/>
        </w:rPr>
        <w:t>Dammer</w:t>
      </w:r>
      <w:r>
        <w:rPr>
          <w:sz w:val="20"/>
          <w:szCs w:val="20"/>
        </w:rPr>
        <w:t xml:space="preserve">, L., &amp; </w:t>
      </w:r>
      <w:r>
        <w:rPr>
          <w:sz w:val="20"/>
          <w:szCs w:val="20"/>
        </w:rPr>
        <w:t>Carus</w:t>
      </w:r>
      <w:r>
        <w:rPr>
          <w:sz w:val="20"/>
          <w:szCs w:val="20"/>
        </w:rPr>
        <w:t xml:space="preserve">, M. (2024). Mechanical separation of </w:t>
      </w:r>
      <w:r>
        <w:rPr>
          <w:sz w:val="20"/>
          <w:szCs w:val="20"/>
        </w:rPr>
        <w:t>kenaf</w:t>
      </w:r>
      <w:r>
        <w:rPr>
          <w:sz w:val="20"/>
          <w:szCs w:val="20"/>
        </w:rPr>
        <w:t xml:space="preserve"> for composite applications – Evaluation of the total </w:t>
      </w:r>
      <w:r>
        <w:rPr>
          <w:sz w:val="20"/>
          <w:szCs w:val="20"/>
        </w:rPr>
        <w:t>fibre</w:t>
      </w:r>
      <w:r>
        <w:rPr>
          <w:sz w:val="20"/>
          <w:szCs w:val="20"/>
        </w:rPr>
        <w:t xml:space="preserve"> line concept for field retted </w:t>
      </w:r>
      <w:r>
        <w:rPr>
          <w:sz w:val="20"/>
          <w:szCs w:val="20"/>
        </w:rPr>
        <w:t>kenaf</w:t>
      </w:r>
      <w:r>
        <w:rPr>
          <w:sz w:val="20"/>
          <w:szCs w:val="20"/>
        </w:rPr>
        <w:t xml:space="preserve">. </w:t>
      </w:r>
      <w:r>
        <w:rPr>
          <w:i/>
          <w:iCs/>
          <w:sz w:val="20"/>
          <w:szCs w:val="20"/>
        </w:rPr>
        <w:t>Industrial Crops and Products</w:t>
      </w:r>
      <w:r>
        <w:rPr>
          <w:sz w:val="20"/>
          <w:szCs w:val="20"/>
        </w:rPr>
        <w:t xml:space="preserve">, </w:t>
      </w:r>
      <w:r>
        <w:rPr>
          <w:i/>
          <w:iCs/>
          <w:sz w:val="20"/>
          <w:szCs w:val="20"/>
        </w:rPr>
        <w:t>208</w:t>
      </w:r>
      <w:r>
        <w:rPr>
          <w:sz w:val="20"/>
          <w:szCs w:val="20"/>
        </w:rPr>
        <w:t>, 117870. https://doi.org/10.1016/j.indcrop.2023.117870</w:t>
      </w:r>
    </w:p>
    <w:p w14:paraId="000000C4">
      <w:pPr>
        <w:ind w:hanging="480"/>
        <w:rPr>
          <w:sz w:val="20"/>
          <w:szCs w:val="20"/>
        </w:rPr>
      </w:pPr>
      <w:r>
        <w:rPr>
          <w:sz w:val="20"/>
          <w:szCs w:val="20"/>
        </w:rPr>
        <w:t>Parashar</w:t>
      </w:r>
      <w:r>
        <w:rPr>
          <w:sz w:val="20"/>
          <w:szCs w:val="20"/>
        </w:rPr>
        <w:t xml:space="preserve">, S., &amp; Chawla, V. K. (2022). Evaluation of fiber volume fraction of </w:t>
      </w:r>
      <w:r>
        <w:rPr>
          <w:sz w:val="20"/>
          <w:szCs w:val="20"/>
        </w:rPr>
        <w:t>kenaf</w:t>
      </w:r>
      <w:r>
        <w:rPr>
          <w:sz w:val="20"/>
          <w:szCs w:val="20"/>
        </w:rPr>
        <w:t xml:space="preserve">-coir-epoxy based green composite by finite element analysis. </w:t>
      </w:r>
      <w:r>
        <w:rPr>
          <w:i/>
          <w:iCs/>
          <w:sz w:val="20"/>
          <w:szCs w:val="20"/>
        </w:rPr>
        <w:t>Materials Today: Proceedings</w:t>
      </w:r>
      <w:r>
        <w:rPr>
          <w:sz w:val="20"/>
          <w:szCs w:val="20"/>
        </w:rPr>
        <w:t xml:space="preserve">, </w:t>
      </w:r>
      <w:r>
        <w:rPr>
          <w:i/>
          <w:iCs/>
          <w:sz w:val="20"/>
          <w:szCs w:val="20"/>
        </w:rPr>
        <w:t>50</w:t>
      </w:r>
      <w:r>
        <w:rPr>
          <w:sz w:val="20"/>
          <w:szCs w:val="20"/>
        </w:rPr>
        <w:t>, 1265–1274. https://doi.org/10.1016/j.matpr.2021.08.147</w:t>
      </w:r>
    </w:p>
    <w:p w14:paraId="000000C5">
      <w:pPr>
        <w:ind w:hanging="480"/>
        <w:rPr>
          <w:sz w:val="20"/>
          <w:szCs w:val="20"/>
        </w:rPr>
      </w:pPr>
      <w:r>
        <w:rPr>
          <w:sz w:val="20"/>
          <w:szCs w:val="20"/>
        </w:rPr>
        <w:t>Sreenivas</w:t>
      </w:r>
      <w:r>
        <w:rPr>
          <w:sz w:val="20"/>
          <w:szCs w:val="20"/>
        </w:rPr>
        <w:t xml:space="preserve">, H. T., Krishnamurthy, N., &amp; </w:t>
      </w:r>
      <w:r>
        <w:rPr>
          <w:sz w:val="20"/>
          <w:szCs w:val="20"/>
        </w:rPr>
        <w:t>Arpitha</w:t>
      </w:r>
      <w:r>
        <w:rPr>
          <w:sz w:val="20"/>
          <w:szCs w:val="20"/>
        </w:rPr>
        <w:t xml:space="preserve">, G. R. (2020). A comprehensive review on </w:t>
      </w:r>
      <w:r>
        <w:rPr>
          <w:sz w:val="20"/>
          <w:szCs w:val="20"/>
        </w:rPr>
        <w:t>light weight</w:t>
      </w:r>
      <w:r>
        <w:rPr>
          <w:sz w:val="20"/>
          <w:szCs w:val="20"/>
        </w:rPr>
        <w:t xml:space="preserve"> </w:t>
      </w:r>
      <w:r>
        <w:rPr>
          <w:sz w:val="20"/>
          <w:szCs w:val="20"/>
        </w:rPr>
        <w:t>kenaf</w:t>
      </w:r>
      <w:r>
        <w:rPr>
          <w:sz w:val="20"/>
          <w:szCs w:val="20"/>
        </w:rPr>
        <w:t xml:space="preserve"> fiber for automobiles. </w:t>
      </w:r>
      <w:r>
        <w:rPr>
          <w:i/>
          <w:iCs/>
          <w:sz w:val="20"/>
          <w:szCs w:val="20"/>
        </w:rPr>
        <w:t>International Journal of Lightweight Materials and Manufacture</w:t>
      </w:r>
      <w:r>
        <w:rPr>
          <w:sz w:val="20"/>
          <w:szCs w:val="20"/>
        </w:rPr>
        <w:t xml:space="preserve">, </w:t>
      </w:r>
      <w:r>
        <w:rPr>
          <w:i/>
          <w:iCs/>
          <w:sz w:val="20"/>
          <w:szCs w:val="20"/>
        </w:rPr>
        <w:t>3</w:t>
      </w:r>
      <w:r>
        <w:rPr>
          <w:sz w:val="20"/>
          <w:szCs w:val="20"/>
        </w:rPr>
        <w:t>(4), 328–337. https://doi.org/10.1016/j.ijlmm.2020.05.003</w:t>
      </w:r>
    </w:p>
    <w:p w14:paraId="000000C6">
      <w:pPr>
        <w:rPr>
          <w:sz w:val="20"/>
          <w:szCs w:val="20"/>
        </w:rPr>
      </w:pPr>
      <w:r>
        <w:rPr>
          <w:sz w:val="20"/>
          <w:szCs w:val="20"/>
        </w:rPr>
        <w:t> </w:t>
      </w:r>
    </w:p>
    <w:p w14:paraId="000000C7">
      <w:pPr>
        <w:rPr>
          <w:sz w:val="20"/>
          <w:szCs w:val="20"/>
        </w:rPr>
      </w:pPr>
    </w:p>
    <w:p w14:paraId="000000C8">
      <w:pPr>
        <w:spacing w:after="240"/>
        <w:jc w:val="both"/>
        <w:rPr>
          <w:rFonts w:cs="Calibri"/>
          <w:b/>
          <w:sz w:val="20"/>
          <w:szCs w:val="20"/>
        </w:rPr>
      </w:pPr>
    </w:p>
    <w:p w14:paraId="000000C9">
      <w:pPr>
        <w:rPr>
          <w:sz w:val="20"/>
          <w:szCs w:val="20"/>
        </w:rPr>
      </w:pPr>
    </w:p>
    <w:p w14:paraId="000000CA">
      <w:pPr>
        <w:rPr>
          <w:sz w:val="20"/>
          <w:szCs w:val="20"/>
        </w:rPr>
      </w:pPr>
    </w:p>
    <w:p w14:paraId="000000CB">
      <w:pPr>
        <w:rPr>
          <w:sz w:val="20"/>
          <w:szCs w:val="20"/>
        </w:rPr>
      </w:pPr>
    </w:p>
    <w:p w14:paraId="000000CC">
      <w:pPr>
        <w:rPr>
          <w:sz w:val="20"/>
          <w:szCs w:val="20"/>
        </w:rPr>
      </w:pPr>
    </w:p>
    <w:sectPr>
      <w:headerReference w:type="default" r:id="rId67"/>
      <w:type w:val="continuous"/>
      <w:pgSz w:w="8391" w:h="11906"/>
      <w:pgMar w:top="1418" w:right="1152" w:bottom="864" w:left="12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endnote w:type="separator" w:id="0">
    <w:p w14:paraId="00000003">
      <w:r>
        <w:rPr/>
        <w:separator/>
      </w:r>
    </w:p>
  </w:endnote>
  <w:endnote w:type="continuationSeparator" w:id="1">
    <w:p w14:paraId="00000004">
      <w:r>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00000000" w:usb1="00000000" w:usb2="00000009" w:usb3="00000000" w:csb0="000001ff" w:csb1="00000000"/>
  </w:font>
  <w:font w:name="Courier New">
    <w:panose1 w:val="02070309020205020404"/>
    <w:charset w:val="00"/>
    <w:family w:val="modern"/>
    <w:pitch w:val="fixed"/>
    <w:sig w:usb0="00000000" w:usb1="00000000" w:usb2="00000009" w:usb3="00000000" w:csb0="000001ff" w:csb1="00000000"/>
  </w:font>
  <w:font w:name="Wingdings">
    <w:panose1 w:val="05000000000000000000"/>
    <w:charset w:val="02"/>
    <w:family w:val="auto"/>
    <w:pitch w:val="variable"/>
    <w:sig w:usb0="00000000" w:usb1="10000000" w:usb2="00000000" w:usb3="00000000" w:csb0="00000000" w:csb1="00000000"/>
  </w:font>
  <w:font w:name="Symbol">
    <w:panose1 w:val="05050102010706020507"/>
    <w:charset w:val="02"/>
    <w:family w:val="roman"/>
    <w:pitch w:val="variable"/>
    <w:sig w:usb0="00000000" w:usb1="10000000" w:usb2="00000000" w:usb3="00000000" w:csb0="00000000" w:csb1="00000000"/>
  </w:font>
  <w:font w:name="Calibri">
    <w:panose1 w:val="020f0502020204030204"/>
    <w:charset w:val="00"/>
    <w:family w:val="swiss"/>
    <w:pitch w:val="variable"/>
    <w:sig w:usb0="00000000" w:usb1="00000000"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00000000" w:usb1="00000000" w:usb2="00000009" w:usb3="00000000" w:csb0="000001ff" w:csb1="00000000"/>
  </w:font>
  <w:font w:name="Arial">
    <w:panose1 w:val="020b0604020202020204"/>
    <w:charset w:val="00"/>
    <w:family w:val="swiss"/>
    <w:pitch w:val="variable"/>
    <w:sig w:usb0="00000000" w:usb1="00000000" w:usb2="00000009" w:usb3="00000000" w:csb0="000001ff" w:csb1="00000000"/>
  </w:font>
  <w:font w:name="Helvetica">
    <w:panose1 w:val="020b0604020202020204"/>
    <w:charset w:val="00"/>
    <w:family w:val="swiss"/>
    <w:pitch w:val="variable"/>
    <w:sig w:usb0="00000000" w:usb1="00000000" w:usb2="00000009" w:usb3="00000000" w:csb0="000001ff" w:csb1="00000000"/>
  </w:font>
  <w:font w:name="Cambria">
    <w:panose1 w:val="02040503050406030204"/>
    <w:charset w:val="00"/>
    <w:family w:val="roman"/>
    <w:pitch w:val="variable"/>
    <w:sig w:usb0="00000000" w:usb1="4000004b" w:usb2="00000000" w:usb3="00000000" w:csb0="0000009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Helvetica Neue">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0D4">
    <w:pPr>
      <w:jc w:val="center"/>
      <w:rPr/>
    </w:pPr>
    <w:r>
      <w:fldChar w:fldCharType="begin"/>
    </w:r>
    <w:r>
      <w:instrText xml:space="preserve">PAGE</w:instrText>
    </w:r>
    <w:r>
      <w:fldChar w:fldCharType="separate"/>
    </w:r>
    <w:r>
      <w:t>*</w:t>
    </w:r>
    <w:r>
      <w:fldChar w:fldCharType="end"/>
    </w:r>
  </w:p>
  <w:p w14:paraId="000000D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0D6">
    <w:pPr>
      <w:pStyle w:val="Footer"/>
      <w:rPr/>
    </w:pPr>
  </w:p>
  <w:p w14:paraId="000000D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0D8">
    <w:pPr>
      <w:pStyle w:val="Footer"/>
      <w:rPr/>
    </w:pPr>
  </w:p>
  <w:p w14:paraId="000000D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footnote w:type="separator" w:id="0">
    <w:p w14:paraId="00000001">
      <w:r>
        <w:rPr/>
        <w:separator/>
      </w:r>
    </w:p>
  </w:footnote>
  <w:footnote w:type="continuationSeparator" w:id="1">
    <w:p w14:paraId="00000002">
      <w: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0CD">
    <w:pPr>
      <w:tabs>
        <w:tab w:val="center" w:pos="4680"/>
        <w:tab w:val="right" w:pos="9360"/>
      </w:tabs>
      <w:spacing w:after="0" w:line="240" w:lineRule="auto"/>
      <w:jc w:val="center"/>
      <w:rPr>
        <w:sz w:val="12"/>
        <w:szCs w:val="12"/>
      </w:rPr>
    </w:pPr>
    <w:r>
      <w:rPr>
        <w:sz w:val="12"/>
        <w:szCs w:val="12"/>
      </w:rPr>
      <w:t>Adegbola              USEP: Journal of Research Information in Civil Engineering, Vol.21, No.</w:t>
    </w:r>
    <w:r>
      <w:rPr>
        <w:sz w:val="12"/>
        <w:szCs w:val="12"/>
      </w:rPr>
      <w:t xml:space="preserve"> 1</w:t>
    </w:r>
    <w:r>
      <w:rPr>
        <w:sz w:val="12"/>
        <w:szCs w:val="12"/>
      </w:rPr>
      <w:t>, 2024</w:t>
    </w:r>
  </w:p>
  <w:p w14:paraId="000000CE">
    <w:pPr>
      <w:tabs>
        <w:tab w:val="center" w:pos="4680"/>
        <w:tab w:val="right" w:pos="9360"/>
      </w:tabs>
      <w:spacing w:after="0" w:line="240" w:lineRule="auto"/>
      <w:jc w:val="both"/>
      <w:rPr>
        <w:sz w:val="44"/>
        <w:lang w:val="en-US"/>
      </w:rPr>
    </w:pPr>
    <w:r>
      <w:rPr>
        <w:sz w:val="12"/>
        <w:szCs w:val="12"/>
      </w:rPr>
      <w:t xml:space="preserve">         et al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0CF">
    <w:pPr>
      <w:pStyle w:val="Header"/>
      <w:rPr/>
    </w:pPr>
  </w:p>
  <w:p w14:paraId="000000D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0D1">
    <w:pPr>
      <w:pStyle w:val="Header"/>
      <w:rPr/>
    </w:pPr>
  </w:p>
  <w:p w14:paraId="000000D2"/>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0D3">
    <w:pPr>
      <w:pStyle w:val="Header"/>
      <w:rP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multilevel"/>
    <w:lvl w:ilvl="0" w:tentative="0">
      <w:start w:val="2"/>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
    <w:multiLevelType w:val="hybridMultilevel"/>
    <w:lvl w:ilvl="0" w:tentative="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49"/>
  </w:hdrShapeDefault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2D8"/>
    <w:rsid w:val="000762D8"/>
    <w:rsid w:val="00383F08"/>
    <w:rsid w:val="0087465D"/>
    <w:rsid w:val="00A12195"/>
    <w:rsid w:val="00DC4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67B983"/>
  <w15:chartTrackingRefBased/>
  <w15:docId w15:val="{617B6F21-1D2A-483F-A34B-9FE8487DC0E6}"/>
  <w:footnotePr>
    <w:footnote w:id="0"/>
    <w:footnote w:id="1"/>
  </w:footnotePr>
  <w:endnotePr>
    <w:endnote w:id="0"/>
    <w:endnote w:id="1"/>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SimSun" w:hAnsiTheme="minorHAnsi"/>
        <w:sz w:val="22"/>
        <w:szCs w:val="22"/>
        <w:lang w:val="en-US" w:bidi="ar-SA" w:eastAsia="en-US"/>
      </w:rPr>
    </w:rPrDefault>
    <w:pPrDefault>
      <w:pPr>
        <w:spacing w:after="160" w:line="259" w:lineRule="auto"/>
      </w:pPr>
    </w:pPrDefault>
  </w:docDefaults>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4d77"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4d77"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paragraph" w:styleId="NoSpacing">
    <w:name w:val="No Spacing"/>
    <w:uiPriority w:val="1"/>
    <w:qFormat w:val="on"/>
    <w:pPr>
      <w:spacing w:after="0" w:line="240" w:lineRule="auto"/>
    </w:pPr>
  </w:style>
  <w:style w:type="character" w:customStyle="1" w:styleId="Heading5Char">
    <w:name w:val="Heading 5 Char"/>
    <w:basedOn w:val="DefaultParagraphFont"/>
    <w:link w:val="Heading5"/>
    <w:uiPriority w:val="9"/>
    <w:rPr>
      <w:rFonts w:asciiTheme="majorHAnsi" w:cstheme="majorBidi" w:eastAsiaTheme="majorEastAsia" w:hAnsiTheme="majorHAnsi"/>
      <w:color w:val="1f4d77"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4d77"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5b9bd5"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5b9bd5"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5b9bd5"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5b9bd5"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5b9bd5" w:themeColor="accent1" w:sz="4" w:space="4"/>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Pr>
      <w:b/>
      <w:bCs/>
      <w:i/>
      <w:iCs/>
      <w:color w:val="5b9bd5"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default="1" w:styleId="Normal">
    <w:name w:val="Normal"/>
    <w:uiPriority w:val="99"/>
    <w:qFormat w:val="on"/>
    <w:pPr>
      <w:spacing w:after="0" w:line="240" w:lineRule="auto"/>
    </w:pPr>
    <w:rPr>
      <w:rFonts w:ascii="Times New Roman" w:cs="Times New Roman" w:eastAsia="Times New Roman" w:hAnsi="Times New Roman"/>
      <w:sz w:val="24"/>
      <w:szCs w:val="24"/>
    </w:rPr>
  </w:style>
  <w:style w:type="paragraph" w:styleId="Heading1">
    <w:name w:val="Heading 1"/>
    <w:basedOn w:val="Normal"/>
    <w:next w:val="Normal"/>
    <w:link w:val="Heading1Char"/>
    <w:uiPriority w:val="9"/>
    <w:qFormat w:val="on"/>
    <w:pPr>
      <w:keepNext w:val="on"/>
      <w:keepLines w:val="on"/>
      <w:spacing w:before="240"/>
    </w:pPr>
    <w:rPr>
      <w:rFonts w:asciiTheme="majorHAnsi" w:cstheme="majorBidi" w:eastAsiaTheme="majorEastAsia" w:hAnsiTheme="majorHAnsi"/>
      <w:color w:val="2e74b4" w:themeColor="accent1" w:themeShade="bf"/>
      <w:sz w:val="32"/>
      <w:szCs w:val="32"/>
    </w:rPr>
  </w:style>
  <w:style w:type="paragraph" w:styleId="Heading2">
    <w:name w:val="Heading 2"/>
    <w:basedOn w:val="Normal"/>
    <w:next w:val="Normal"/>
    <w:link w:val="Heading2Char"/>
    <w:uiPriority w:val="9"/>
    <w:unhideWhenUsed w:val="on"/>
    <w:qFormat w:val="on"/>
    <w:pPr>
      <w:keepNext w:val="on"/>
      <w:keepLines w:val="on"/>
      <w:spacing w:before="40"/>
      <w:jc w:val="both"/>
    </w:pPr>
    <w:rPr>
      <w:rFonts w:eastAsiaTheme="majorEastAsia"/>
      <w:b/>
    </w:rPr>
  </w:style>
  <w:style w:type="paragraph" w:styleId="Heading3">
    <w:name w:val="Heading 3"/>
    <w:basedOn w:val="Normal"/>
    <w:next w:val="Normal"/>
    <w:link w:val="Heading3Char"/>
    <w:uiPriority w:val="9"/>
    <w:unhideWhenUsed w:val="on"/>
    <w:qFormat w:val="on"/>
    <w:pPr>
      <w:keepNext w:val="on"/>
      <w:keepLines w:val="on"/>
      <w:spacing w:before="40"/>
      <w:jc w:val="both"/>
    </w:pPr>
    <w:rPr>
      <w:rFonts w:eastAsiaTheme="majorEastAsia"/>
      <w:b/>
    </w:rPr>
  </w:style>
  <w:style w:type="paragraph" w:styleId="Heading4">
    <w:name w:val="Heading 4"/>
    <w:basedOn w:val="Normal"/>
    <w:next w:val="Normal"/>
    <w:link w:val="Heading4Char"/>
    <w:uiPriority w:val="9"/>
    <w:unhideWhenUsed w:val="on"/>
    <w:qFormat w:val="on"/>
    <w:pPr>
      <w:keepNext w:val="on"/>
      <w:keepLines w:val="on"/>
      <w:spacing w:before="40"/>
      <w:jc w:val="both"/>
    </w:pPr>
    <w:rPr>
      <w:rFonts w:eastAsiaTheme="majorEastAsia"/>
      <w:i/>
      <w:iCs/>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character" w:customStyle="1" w:styleId="Heading1Char">
    <w:name w:val="Heading 1 Char"/>
    <w:basedOn w:val="DefaultParagraphFont"/>
    <w:link w:val="Heading1"/>
    <w:uiPriority w:val="9"/>
    <w:rPr>
      <w:rFonts w:asciiTheme="majorHAnsi" w:cstheme="majorBidi" w:eastAsiaTheme="majorEastAsia" w:hAnsiTheme="majorHAnsi"/>
      <w:color w:val="2e74b4" w:themeColor="accent1" w:themeShade="bf"/>
      <w:sz w:val="32"/>
      <w:szCs w:val="32"/>
    </w:rPr>
  </w:style>
  <w:style w:type="character" w:customStyle="1" w:styleId="Heading2Char">
    <w:name w:val="Heading 2 Char"/>
    <w:basedOn w:val="DefaultParagraphFont"/>
    <w:link w:val="Heading2"/>
    <w:uiPriority w:val="9"/>
    <w:rPr>
      <w:rFonts w:ascii="Times New Roman" w:cs="Times New Roman" w:eastAsiaTheme="majorEastAsia" w:hAnsi="Times New Roman"/>
      <w:b/>
      <w:sz w:val="24"/>
      <w:szCs w:val="24"/>
    </w:rPr>
  </w:style>
  <w:style w:type="character" w:customStyle="1" w:styleId="Heading3Char">
    <w:name w:val="Heading 3 Char"/>
    <w:basedOn w:val="DefaultParagraphFont"/>
    <w:link w:val="Heading3"/>
    <w:uiPriority w:val="9"/>
    <w:rPr>
      <w:rFonts w:ascii="Times New Roman" w:cs="Times New Roman" w:eastAsiaTheme="majorEastAsia" w:hAnsi="Times New Roman"/>
      <w:b/>
      <w:sz w:val="24"/>
      <w:szCs w:val="24"/>
    </w:rPr>
  </w:style>
  <w:style w:type="character" w:customStyle="1" w:styleId="Heading4Char">
    <w:name w:val="Heading 4 Char"/>
    <w:basedOn w:val="DefaultParagraphFont"/>
    <w:link w:val="Heading4"/>
    <w:uiPriority w:val="9"/>
    <w:rPr>
      <w:rFonts w:ascii="Times New Roman" w:cs="Times New Roman" w:eastAsiaTheme="majorEastAsia" w:hAnsi="Times New Roman"/>
      <w:i/>
      <w:iCs/>
      <w:sz w:val="24"/>
      <w:szCs w:val="24"/>
    </w:rPr>
  </w:style>
  <w:style w:type="paragraph" w:styleId="Header">
    <w:name w:val="Header"/>
    <w:basedOn w:val="Normal"/>
    <w:link w:val="HeaderChar"/>
    <w:uiPriority w:val="99"/>
    <w:pPr>
      <w:tabs>
        <w:tab w:val="center" w:pos="4680"/>
        <w:tab w:val="right" w:pos="9360"/>
      </w:tabs>
    </w:pPr>
    <w:rPr/>
  </w:style>
  <w:style w:type="character" w:customStyle="1" w:styleId="HeaderChar">
    <w:name w:val="Header Char"/>
    <w:basedOn w:val="DefaultParagraphFont"/>
    <w:link w:val="Header"/>
    <w:uiPriority w:val="99"/>
    <w:rPr>
      <w:rFonts w:ascii="Times New Roman" w:cs="Times New Roman" w:eastAsia="Times New Roman" w:hAnsi="Times New Roman"/>
      <w:sz w:val="24"/>
      <w:szCs w:val="24"/>
    </w:rPr>
  </w:style>
  <w:style w:type="paragraph" w:styleId="ListParagraph">
    <w:name w:val="List Paragraph"/>
    <w:basedOn w:val="Normal"/>
    <w:uiPriority w:val="99"/>
    <w:qFormat w:val="on"/>
    <w:pPr>
      <w:spacing w:after="160" w:line="256" w:lineRule="auto"/>
      <w:ind w:left="720"/>
      <w:contextualSpacing w:val="on"/>
    </w:pPr>
    <w:rPr>
      <w:rFonts w:ascii="Calibri" w:cs="SimSun" w:eastAsia="SimSun" w:hAnsi="Calibri"/>
      <w:sz w:val="22"/>
      <w:szCs w:val="22"/>
      <w:lang w:val="zh-CN"/>
    </w:rPr>
  </w:style>
  <w:style w:type="table" w:styleId="TableGrid">
    <w:name w:val="Table Grid"/>
    <w:basedOn w:val="NormalTable"/>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val="on"/>
    <w:rPr>
      <w:color w:val="0563c1" w:themeColor="hyperlink"/>
      <w:u w:val="single"/>
    </w:rPr>
  </w:style>
  <w:style w:type="paragraph" w:styleId="Caption">
    <w:name w:val="Caption"/>
    <w:basedOn w:val="Normal"/>
    <w:next w:val="Normal"/>
    <w:uiPriority w:val="35"/>
    <w:unhideWhenUsed w:val="on"/>
    <w:qFormat w:val="on"/>
    <w:pPr>
      <w:spacing w:after="200"/>
      <w:jc w:val="both"/>
    </w:pPr>
    <w:rPr>
      <w:rFonts w:ascii="Calibri" w:eastAsia="SimSun" w:hAnsi="Calibri"/>
      <w:b/>
      <w:bCs/>
      <w:color w:val="5b9bd5" w:themeColor="accent1"/>
      <w:sz w:val="18"/>
      <w:szCs w:val="18"/>
      <w:lang w:eastAsia="zh-CN"/>
    </w:rPr>
  </w:style>
  <w:style w:type="paragraph" w:customStyle="1" w:styleId="TTPAddress">
    <w:name w:val="TTP Address"/>
    <w:basedOn w:val="Normal"/>
    <w:uiPriority w:val="99"/>
    <w:pPr>
      <w:spacing w:before="120"/>
      <w:jc w:val="center"/>
    </w:pPr>
    <w:rPr>
      <w:rFonts w:ascii="Arial" w:cs="Arial" w:hAnsi="Arial"/>
      <w:sz w:val="22"/>
      <w:szCs w:val="22"/>
    </w:rPr>
  </w:style>
  <w:style w:type="paragraph" w:styleId="Footer">
    <w:name w:val="Footer"/>
    <w:basedOn w:val="Normal"/>
    <w:link w:val="FooterChar"/>
    <w:uiPriority w:val="99"/>
    <w:unhideWhenUsed w:val="on"/>
    <w:pPr>
      <w:tabs>
        <w:tab w:val="center" w:pos="4680"/>
        <w:tab w:val="right" w:pos="9360"/>
      </w:tabs>
    </w:pPr>
  </w:style>
  <w:style w:type="character" w:customStyle="1" w:styleId="FooterChar">
    <w:name w:val="Footer Char"/>
    <w:basedOn w:val="DefaultParagraphFont"/>
    <w:link w:val="Footer"/>
    <w:uiPriority w:val="99"/>
    <w:rPr>
      <w:rFonts w:ascii="Times New Roman" w:cs="Times New Roman" w:eastAsia="Times New Roman" w:hAnsi="Times New Roman"/>
      <w:sz w:val="24"/>
      <w:szCs w:val="24"/>
    </w:rPr>
  </w:style>
  <w:style w:type="paragraph" w:customStyle="1" w:styleId="Body">
    <w:name w:val="Body"/>
    <w:basedOn w:val="Normal"/>
    <w:uiPriority w:val="99"/>
    <w:pPr>
      <w:spacing w:after="240"/>
      <w:jc w:val="both"/>
    </w:pPr>
    <w:rPr>
      <w:rFonts w:ascii="Helvetica" w:hAnsi="Helvetica"/>
      <w:sz w:val="20"/>
      <w:szCs w:val="20"/>
    </w:rPr>
  </w:style>
  <w:style w:type="paragraph" w:customStyle="1" w:styleId="TTPAuthor(s)">
    <w:name w:val="TTP Author(s)"/>
    <w:basedOn w:val="Normal"/>
    <w:next w:val="TTPAddress"/>
    <w:uiPriority w:val="99"/>
    <w:pPr>
      <w:spacing w:before="120"/>
      <w:jc w:val="center"/>
    </w:pPr>
    <w:rPr>
      <w:rFonts w:ascii="Arial" w:cs="Arial" w:hAnsi="Arial"/>
      <w:sz w:val="28"/>
      <w:szCs w:val="28"/>
    </w:rPr>
  </w:style>
  <w:style w:type="character" w:styleId="PlaceholderText">
    <w:name w:val="Placeholder Text"/>
    <w:basedOn w:val="DefaultParagraphFont"/>
    <w:uiPriority w:val="99"/>
    <w:semiHidden w:val="o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422486">
      <w:bodyDiv w:val="1"/>
      <w:marLeft w:val="0"/>
      <w:marRight w:val="0"/>
      <w:marTop w:val="0"/>
      <w:marBottom w:val="0"/>
      <w:divBdr>
        <w:top w:val="none" w:sz="0" w:space="0" w:color="auto"/>
        <w:left w:val="none" w:sz="0" w:space="0" w:color="auto"/>
        <w:bottom w:val="none" w:sz="0" w:space="0" w:color="auto"/>
        <w:right w:val="none" w:sz="0" w:space="0" w:color="auto"/>
      </w:divBdr>
    </w:div>
    <w:div w:id="917253216">
      <w:bodyDiv w:val="1"/>
      <w:marLeft w:val="0"/>
      <w:marRight w:val="0"/>
      <w:marTop w:val="0"/>
      <w:marBottom w:val="0"/>
      <w:divBdr>
        <w:top w:val="none" w:sz="0" w:space="0" w:color="auto"/>
        <w:left w:val="none" w:sz="0" w:space="0" w:color="auto"/>
        <w:bottom w:val="none" w:sz="0" w:space="0" w:color="auto"/>
        <w:right w:val="none" w:sz="0" w:space="0" w:color="auto"/>
      </w:divBdr>
    </w:div>
    <w:div w:id="1324819217">
      <w:bodyDiv w:val="1"/>
      <w:marLeft w:val="0"/>
      <w:marRight w:val="0"/>
      <w:marTop w:val="0"/>
      <w:marBottom w:val="0"/>
      <w:divBdr>
        <w:top w:val="none" w:sz="0" w:space="0" w:color="auto"/>
        <w:left w:val="none" w:sz="0" w:space="0" w:color="auto"/>
        <w:bottom w:val="none" w:sz="0" w:space="0" w:color="auto"/>
        <w:right w:val="none" w:sz="0" w:space="0" w:color="auto"/>
      </w:divBdr>
    </w:div>
    <w:div w:id="1662807493">
      <w:bodyDiv w:val="1"/>
      <w:marLeft w:val="0"/>
      <w:marRight w:val="0"/>
      <w:marTop w:val="0"/>
      <w:marBottom w:val="0"/>
      <w:divBdr>
        <w:top w:val="none" w:sz="0" w:space="0" w:color="auto"/>
        <w:left w:val="none" w:sz="0" w:space="0" w:color="auto"/>
        <w:bottom w:val="none" w:sz="0" w:space="0" w:color="auto"/>
        <w:right w:val="none" w:sz="0" w:space="0" w:color="auto"/>
      </w:divBdr>
      <w:divsChild>
        <w:div w:id="2146654239">
          <w:marLeft w:val="480"/>
          <w:marRight w:val="0"/>
          <w:marTop w:val="0"/>
          <w:marBottom w:val="0"/>
          <w:divBdr>
            <w:top w:val="none" w:sz="0" w:space="0" w:color="auto"/>
            <w:left w:val="none" w:sz="0" w:space="0" w:color="auto"/>
            <w:bottom w:val="none" w:sz="0" w:space="0" w:color="auto"/>
            <w:right w:val="none" w:sz="0" w:space="0" w:color="auto"/>
          </w:divBdr>
        </w:div>
        <w:div w:id="789588724">
          <w:marLeft w:val="480"/>
          <w:marRight w:val="0"/>
          <w:marTop w:val="0"/>
          <w:marBottom w:val="0"/>
          <w:divBdr>
            <w:top w:val="none" w:sz="0" w:space="0" w:color="auto"/>
            <w:left w:val="none" w:sz="0" w:space="0" w:color="auto"/>
            <w:bottom w:val="none" w:sz="0" w:space="0" w:color="auto"/>
            <w:right w:val="none" w:sz="0" w:space="0" w:color="auto"/>
          </w:divBdr>
        </w:div>
        <w:div w:id="1667128257">
          <w:marLeft w:val="480"/>
          <w:marRight w:val="0"/>
          <w:marTop w:val="0"/>
          <w:marBottom w:val="0"/>
          <w:divBdr>
            <w:top w:val="none" w:sz="0" w:space="0" w:color="auto"/>
            <w:left w:val="none" w:sz="0" w:space="0" w:color="auto"/>
            <w:bottom w:val="none" w:sz="0" w:space="0" w:color="auto"/>
            <w:right w:val="none" w:sz="0" w:space="0" w:color="auto"/>
          </w:divBdr>
        </w:div>
        <w:div w:id="274677026">
          <w:marLeft w:val="480"/>
          <w:marRight w:val="0"/>
          <w:marTop w:val="0"/>
          <w:marBottom w:val="0"/>
          <w:divBdr>
            <w:top w:val="none" w:sz="0" w:space="0" w:color="auto"/>
            <w:left w:val="none" w:sz="0" w:space="0" w:color="auto"/>
            <w:bottom w:val="none" w:sz="0" w:space="0" w:color="auto"/>
            <w:right w:val="none" w:sz="0" w:space="0" w:color="auto"/>
          </w:divBdr>
        </w:div>
        <w:div w:id="1417286507">
          <w:marLeft w:val="480"/>
          <w:marRight w:val="0"/>
          <w:marTop w:val="0"/>
          <w:marBottom w:val="0"/>
          <w:divBdr>
            <w:top w:val="none" w:sz="0" w:space="0" w:color="auto"/>
            <w:left w:val="none" w:sz="0" w:space="0" w:color="auto"/>
            <w:bottom w:val="none" w:sz="0" w:space="0" w:color="auto"/>
            <w:right w:val="none" w:sz="0" w:space="0" w:color="auto"/>
          </w:divBdr>
        </w:div>
        <w:div w:id="135413972">
          <w:marLeft w:val="480"/>
          <w:marRight w:val="0"/>
          <w:marTop w:val="0"/>
          <w:marBottom w:val="0"/>
          <w:divBdr>
            <w:top w:val="none" w:sz="0" w:space="0" w:color="auto"/>
            <w:left w:val="none" w:sz="0" w:space="0" w:color="auto"/>
            <w:bottom w:val="none" w:sz="0" w:space="0" w:color="auto"/>
            <w:right w:val="none" w:sz="0" w:space="0" w:color="auto"/>
          </w:divBdr>
        </w:div>
        <w:div w:id="591932347">
          <w:marLeft w:val="480"/>
          <w:marRight w:val="0"/>
          <w:marTop w:val="0"/>
          <w:marBottom w:val="0"/>
          <w:divBdr>
            <w:top w:val="none" w:sz="0" w:space="0" w:color="auto"/>
            <w:left w:val="none" w:sz="0" w:space="0" w:color="auto"/>
            <w:bottom w:val="none" w:sz="0" w:space="0" w:color="auto"/>
            <w:right w:val="none" w:sz="0" w:space="0" w:color="auto"/>
          </w:divBdr>
        </w:div>
        <w:div w:id="1183082389">
          <w:marLeft w:val="480"/>
          <w:marRight w:val="0"/>
          <w:marTop w:val="0"/>
          <w:marBottom w:val="0"/>
          <w:divBdr>
            <w:top w:val="none" w:sz="0" w:space="0" w:color="auto"/>
            <w:left w:val="none" w:sz="0" w:space="0" w:color="auto"/>
            <w:bottom w:val="none" w:sz="0" w:space="0" w:color="auto"/>
            <w:right w:val="none" w:sz="0" w:space="0" w:color="auto"/>
          </w:divBdr>
        </w:div>
      </w:divsChild>
    </w:div>
    <w:div w:id="214581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27" Type="http://schemas.openxmlformats.org/officeDocument/2006/relationships/fontTable" Target="fontTable.xml"/><Relationship Id="rId29" Type="http://schemas.openxmlformats.org/officeDocument/2006/relationships/theme" Target="theme/theme1.xml"/><Relationship Id="rId3" Type="http://schemas.openxmlformats.org/officeDocument/2006/relationships/settings" Target="settings.xml"/><Relationship Id="rId49" Type="http://schemas.openxmlformats.org/officeDocument/2006/relationships/header" Target="header1.xml"/><Relationship Id="rId5" Type="http://schemas.openxmlformats.org/officeDocument/2006/relationships/footnotes" Target="footnotes.xml"/><Relationship Id="rId50" Type="http://schemas.openxmlformats.org/officeDocument/2006/relationships/header" Target="header2.xml"/><Relationship Id="rId51" Type="http://schemas.openxmlformats.org/officeDocument/2006/relationships/header" Target="header3.xml"/><Relationship Id="rId52" Type="http://schemas.openxmlformats.org/officeDocument/2006/relationships/footer" Target="footer1.xml"/><Relationship Id="rId53" Type="http://schemas.openxmlformats.org/officeDocument/2006/relationships/footer" Target="footer2.xml"/><Relationship Id="rId54" Type="http://schemas.openxmlformats.org/officeDocument/2006/relationships/footer" Target="footer3.xml"/><Relationship Id="rId55" Type="http://schemas.openxmlformats.org/officeDocument/2006/relationships/image" Target="media/image1.jpeg"/><Relationship Id="rId56" Type="http://schemas.openxmlformats.org/officeDocument/2006/relationships/image" Target="media/image2.jpeg"/><Relationship Id="rId57" Type="http://schemas.openxmlformats.org/officeDocument/2006/relationships/image" Target="media/image3.jpeg"/><Relationship Id="rId58" Type="http://schemas.openxmlformats.org/officeDocument/2006/relationships/image" Target="media/image4.png"/><Relationship Id="rId59" Type="http://schemas.openxmlformats.org/officeDocument/2006/relationships/image" Target="media/image5.png"/><Relationship Id="rId6" Type="http://schemas.openxmlformats.org/officeDocument/2006/relationships/endnotes" Target="endnotes.xml"/><Relationship Id="rId60" Type="http://schemas.openxmlformats.org/officeDocument/2006/relationships/image" Target="media/image6.jpeg"/><Relationship Id="rId61" Type="http://schemas.openxmlformats.org/officeDocument/2006/relationships/image" Target="media/image7.png"/><Relationship Id="rId62" Type="http://schemas.openxmlformats.org/officeDocument/2006/relationships/image" Target="media/image8.png"/><Relationship Id="rId63" Type="http://schemas.openxmlformats.org/officeDocument/2006/relationships/chart" Target="charts/chart1.xml"/><Relationship Id="rId64" Type="http://schemas.openxmlformats.org/officeDocument/2006/relationships/chart" Target="charts/chart2.xml"/><Relationship Id="rId65" Type="http://schemas.openxmlformats.org/officeDocument/2006/relationships/chart" Target="charts/chart3.xml"/><Relationship Id="rId66" Type="http://schemas.openxmlformats.org/officeDocument/2006/relationships/chart" Target="charts/chart4.xml"/><Relationship Id="rId67" Type="http://schemas.openxmlformats.org/officeDocument/2006/relationships/header" Target="header4.xml"/><Relationship Id="rId4" Type="http://schemas.openxmlformats.org/officeDocument/2006/relationships/webSettings" Target="webSettings.xml"/><Relationship Id="rId7" Type="http://schemas.openxmlformats.org/officeDocument/2006/relationships/hyperlink" Target="mailto:adegbola.jo@unilorin.edu.ng" TargetMode="External"/><Relationship Id="rId28" Type="http://schemas.openxmlformats.org/officeDocument/2006/relationships/glossaryDocument" Target="glossary/document.xm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er2.xml.rels><?xml version="1.0" encoding="UTF-8" standalone="yes"?>
<Relationships xmlns="http://schemas.openxmlformats.org/package/2006/relationships"></Relationships>
</file>

<file path=word/_rels/footer3.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_rels/header2.xml.rels><?xml version="1.0" encoding="UTF-8" standalone="yes"?>
<Relationships xmlns="http://schemas.openxmlformats.org/package/2006/relationships"></Relationships>
</file>

<file path=word/_rels/header3.xml.rels><?xml version="1.0" encoding="UTF-8" standalone="yes"?>
<Relationships xmlns="http://schemas.openxmlformats.org/package/2006/relationships"></Relationships>
</file>

<file path=word/_rels/header4.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aniella\Downloads\CKC%20AND%20CO%20FLEXURAL.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aniella\Downloads\CKC%20AND%20CO.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Sheet1!$D$3</c:f>
              <c:strCache>
                <c:ptCount val="1"/>
                <c:pt idx="0">
                  <c:v>CKC</c:v>
                </c:pt>
              </c:strCache>
            </c:strRef>
          </c:tx>
          <c:spPr>
            <a:solidFill>
              <a:schemeClr val="accent6"/>
            </a:solidFill>
            <a:ln>
              <a:noFill/>
            </a:ln>
            <a:effectLst/>
          </c:spPr>
          <c:invertIfNegative val="0"/>
          <c:errBars>
            <c:errBarType val="both"/>
            <c:errValType val="percentage"/>
            <c:noEndCap val="0"/>
            <c:val val="5"/>
          </c:errBars>
          <c:cat>
            <c:strRef>
              <c:f>Sheet1!$E$2</c:f>
              <c:strCache>
                <c:ptCount val="1"/>
                <c:pt idx="0">
                  <c:v>Impact Strength (J/m)</c:v>
                </c:pt>
              </c:strCache>
            </c:strRef>
          </c:cat>
          <c:val>
            <c:numRef>
              <c:f>Sheet1!$E$3</c:f>
              <c:numCache>
                <c:formatCode>General</c:formatCode>
                <c:ptCount val="1"/>
                <c:pt idx="0">
                  <c:v>72.7</c:v>
                </c:pt>
              </c:numCache>
            </c:numRef>
          </c:val>
          <c:extLst>
            <c:ext xmlns:c16="http://schemas.microsoft.com/office/drawing/2014/chart" uri="{C3380CC4-5D6E-409C-BE32-E72D297353CC}">
              <c16:uniqueId val="{00000000-CF21-4CB0-A8D8-E5C7032145D8}"/>
            </c:ext>
          </c:extLst>
        </c:ser>
        <c:ser>
          <c:idx val="1"/>
          <c:order val="1"/>
          <c:tx>
            <c:strRef>
              <c:f>Sheet1!$D$4</c:f>
              <c:strCache>
                <c:ptCount val="1"/>
                <c:pt idx="0">
                  <c:v>KCK</c:v>
                </c:pt>
              </c:strCache>
            </c:strRef>
          </c:tx>
          <c:spPr>
            <a:solidFill>
              <a:schemeClr val="accent5"/>
            </a:solidFill>
            <a:ln>
              <a:noFill/>
            </a:ln>
            <a:effectLst/>
          </c:spPr>
          <c:invertIfNegative val="0"/>
          <c:errBars>
            <c:errBarType val="both"/>
            <c:errValType val="percentage"/>
            <c:noEndCap val="0"/>
            <c:val val="5"/>
          </c:errBars>
          <c:cat>
            <c:strRef>
              <c:f>Sheet1!$E$2</c:f>
              <c:strCache>
                <c:ptCount val="1"/>
                <c:pt idx="0">
                  <c:v>Impact Strength (J/m)</c:v>
                </c:pt>
              </c:strCache>
            </c:strRef>
          </c:cat>
          <c:val>
            <c:numRef>
              <c:f>Sheet1!$E$4</c:f>
              <c:numCache>
                <c:formatCode>General</c:formatCode>
                <c:ptCount val="1"/>
                <c:pt idx="0">
                  <c:v>74.7</c:v>
                </c:pt>
              </c:numCache>
            </c:numRef>
          </c:val>
          <c:extLst>
            <c:ext xmlns:c16="http://schemas.microsoft.com/office/drawing/2014/chart" uri="{C3380CC4-5D6E-409C-BE32-E72D297353CC}">
              <c16:uniqueId val="{00000001-CF21-4CB0-A8D8-E5C7032145D8}"/>
            </c:ext>
          </c:extLst>
        </c:ser>
        <c:ser>
          <c:idx val="2"/>
          <c:order val="2"/>
          <c:tx>
            <c:strRef>
              <c:f>Sheet1!$D$5</c:f>
              <c:strCache>
                <c:ptCount val="1"/>
                <c:pt idx="0">
                  <c:v>CCC</c:v>
                </c:pt>
              </c:strCache>
            </c:strRef>
          </c:tx>
          <c:spPr>
            <a:solidFill>
              <a:schemeClr val="accent4"/>
            </a:solidFill>
            <a:ln>
              <a:noFill/>
            </a:ln>
            <a:effectLst/>
          </c:spPr>
          <c:invertIfNegative val="0"/>
          <c:errBars>
            <c:errBarType val="both"/>
            <c:errValType val="percentage"/>
            <c:noEndCap val="0"/>
            <c:val val="5"/>
          </c:errBars>
          <c:cat>
            <c:strRef>
              <c:f>Sheet1!$E$2</c:f>
              <c:strCache>
                <c:ptCount val="1"/>
                <c:pt idx="0">
                  <c:v>Impact Strength (J/m)</c:v>
                </c:pt>
              </c:strCache>
            </c:strRef>
          </c:cat>
          <c:val>
            <c:numRef>
              <c:f>Sheet1!$E$5</c:f>
              <c:numCache>
                <c:formatCode>General</c:formatCode>
                <c:ptCount val="1"/>
                <c:pt idx="0">
                  <c:v>73.7</c:v>
                </c:pt>
              </c:numCache>
            </c:numRef>
          </c:val>
          <c:extLst>
            <c:ext xmlns:c16="http://schemas.microsoft.com/office/drawing/2014/chart" uri="{C3380CC4-5D6E-409C-BE32-E72D297353CC}">
              <c16:uniqueId val="{00000002-CF21-4CB0-A8D8-E5C7032145D8}"/>
            </c:ext>
          </c:extLst>
        </c:ser>
        <c:dLbls>
          <c:showLegendKey val="0"/>
          <c:showVal val="0"/>
          <c:showCatName val="0"/>
          <c:showSerName val="0"/>
          <c:showPercent val="0"/>
          <c:showBubbleSize val="0"/>
        </c:dLbls>
        <c:gapWidth val="219"/>
        <c:overlap val="-27"/>
        <c:axId val="317715968"/>
        <c:axId val="317717888"/>
      </c:barChart>
      <c:catAx>
        <c:axId val="317715968"/>
        <c:scaling>
          <c:orientation val="minMax"/>
        </c:scaling>
        <c:delete val="1"/>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Specimen</a:t>
                </a:r>
                <a:r>
                  <a:rPr lang="en-US" baseline="0"/>
                  <a:t> type</a:t>
                </a:r>
                <a:endParaRPr lang="en-US"/>
              </a:p>
            </c:rich>
          </c:tx>
          <c:overlay val="0"/>
          <c:spPr>
            <a:noFill/>
            <a:ln>
              <a:noFill/>
            </a:ln>
            <a:effectLst/>
          </c:spPr>
        </c:title>
        <c:numFmt formatCode="General" sourceLinked="1"/>
        <c:majorTickMark val="none"/>
        <c:minorTickMark val="none"/>
        <c:tickLblPos val="nextTo"/>
        <c:crossAx val="317717888"/>
        <c:crosses val="autoZero"/>
        <c:auto val="1"/>
        <c:lblAlgn val="ctr"/>
        <c:lblOffset val="100"/>
        <c:noMultiLvlLbl val="0"/>
      </c:catAx>
      <c:valAx>
        <c:axId val="317717888"/>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Impact</a:t>
                </a:r>
                <a:r>
                  <a:rPr lang="en-US" baseline="0"/>
                  <a:t> Strength (J/m)</a:t>
                </a:r>
              </a:p>
            </c:rich>
          </c:tx>
          <c:overlay val="0"/>
          <c:spPr>
            <a:noFill/>
            <a:ln>
              <a:noFill/>
            </a:ln>
            <a:effectLst/>
          </c:spPr>
        </c:title>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17715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1">
                <a:latin typeface="Times New Roman" pitchFamily="18" charset="0" panose="02020603050405020304"/>
                <a:cs typeface="Times New Roman" pitchFamily="18" charset="0" panose="02020603050405020304"/>
              </a:rPr>
              <a:t>Flexural</a:t>
            </a:r>
            <a:r>
              <a:rPr lang="en-US" sz="1200" b="1" baseline="0">
                <a:latin typeface="Times New Roman" pitchFamily="18" charset="0" panose="02020603050405020304"/>
                <a:cs typeface="Times New Roman" pitchFamily="18" charset="0" panose="02020603050405020304"/>
              </a:rPr>
              <a:t> Test</a:t>
            </a:r>
            <a:endParaRPr lang="en-US" sz="1200" b="1">
              <a:latin typeface="Times New Roman" pitchFamily="18" charset="0" panose="02020603050405020304"/>
              <a:cs typeface="Times New Roman" pitchFamily="18" charset="0" panose="02020603050405020304"/>
            </a:endParaRPr>
          </a:p>
        </c:rich>
      </c:tx>
      <c:layout>
        <c:manualLayout>
          <c:xMode val="edge"/>
          <c:yMode val="edge"/>
          <c:x val="0.37788888888888883"/>
          <c:y val="3.2407407407407406E-2"/>
        </c:manualLayout>
      </c:layout>
      <c:overlay val="0"/>
      <c:spPr>
        <a:noFill/>
        <a:ln>
          <a:noFill/>
        </a:ln>
        <a:effectLst/>
      </c:spPr>
    </c:title>
    <c:autoTitleDeleted val="0"/>
    <c:plotArea>
      <c:layout/>
      <c:scatterChart>
        <c:scatterStyle val="smoothMarker"/>
        <c:varyColors val="0"/>
        <c:ser>
          <c:idx val="0"/>
          <c:order val="0"/>
          <c:tx>
            <c:strRef>
              <c:f>Sheet2!$K$6:$K$8</c:f>
              <c:strCache>
                <c:ptCount val="3"/>
                <c:pt idx="0">
                  <c:v>Flextural test</c:v>
                </c:pt>
                <c:pt idx="1">
                  <c:v>ckc</c:v>
                </c:pt>
                <c:pt idx="2">
                  <c:v>stress A</c:v>
                </c:pt>
              </c:strCache>
            </c:strRef>
          </c:tx>
          <c:spPr>
            <a:ln w="19050"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Sheet2!$J$9:$J$11</c:f>
              <c:numCache>
                <c:formatCode>General</c:formatCode>
                <c:ptCount val="3"/>
                <c:pt idx="0">
                  <c:v>0</c:v>
                </c:pt>
                <c:pt idx="1">
                  <c:v>2.448</c:v>
                </c:pt>
                <c:pt idx="2">
                  <c:v>4.745</c:v>
                </c:pt>
              </c:numCache>
            </c:numRef>
          </c:xVal>
          <c:yVal>
            <c:numRef>
              <c:f>Sheet2!$K$9:$K$11</c:f>
              <c:numCache>
                <c:formatCode>General</c:formatCode>
                <c:ptCount val="3"/>
                <c:pt idx="0">
                  <c:v>0</c:v>
                </c:pt>
                <c:pt idx="1">
                  <c:v>8.337000000000002</c:v>
                </c:pt>
                <c:pt idx="2">
                  <c:v>13.739999999999998</c:v>
                </c:pt>
              </c:numCache>
            </c:numRef>
          </c:yVal>
          <c:smooth val="1"/>
          <c:extLst>
            <c:ext xmlns:c16="http://schemas.microsoft.com/office/drawing/2014/chart" uri="{C3380CC4-5D6E-409C-BE32-E72D297353CC}">
              <c16:uniqueId val="{00000000-4F2C-46B0-AA30-076DAE0CF6FF}"/>
            </c:ext>
          </c:extLst>
        </c:ser>
        <c:ser>
          <c:idx val="1"/>
          <c:order val="1"/>
          <c:tx>
            <c:strRef>
              <c:f>Sheet2!$M$6:$M$8</c:f>
              <c:strCache>
                <c:ptCount val="3"/>
                <c:pt idx="0">
                  <c:v>Flextural test</c:v>
                </c:pt>
                <c:pt idx="1">
                  <c:v>ccc</c:v>
                </c:pt>
                <c:pt idx="2">
                  <c:v> stress B</c:v>
                </c:pt>
              </c:strCache>
            </c:strRef>
          </c:tx>
          <c:spPr>
            <a:ln w="19050"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Sheet2!$L$9:$L$11</c:f>
              <c:numCache>
                <c:formatCode>General</c:formatCode>
                <c:ptCount val="3"/>
                <c:pt idx="0">
                  <c:v>0</c:v>
                </c:pt>
                <c:pt idx="1">
                  <c:v>1.748</c:v>
                </c:pt>
                <c:pt idx="2">
                  <c:v>5.502</c:v>
                </c:pt>
              </c:numCache>
            </c:numRef>
          </c:xVal>
          <c:yVal>
            <c:numRef>
              <c:f>Sheet2!$M$9:$M$11</c:f>
              <c:numCache>
                <c:formatCode>General</c:formatCode>
                <c:ptCount val="3"/>
                <c:pt idx="0">
                  <c:v>0</c:v>
                </c:pt>
                <c:pt idx="1">
                  <c:v>22.361999999999988</c:v>
                </c:pt>
                <c:pt idx="2">
                  <c:v>39.92400000000001</c:v>
                </c:pt>
              </c:numCache>
            </c:numRef>
          </c:yVal>
          <c:smooth val="1"/>
          <c:extLst>
            <c:ext xmlns:c16="http://schemas.microsoft.com/office/drawing/2014/chart" uri="{C3380CC4-5D6E-409C-BE32-E72D297353CC}">
              <c16:uniqueId val="{00000001-4F2C-46B0-AA30-076DAE0CF6FF}"/>
            </c:ext>
          </c:extLst>
        </c:ser>
        <c:ser>
          <c:idx val="2"/>
          <c:order val="2"/>
          <c:tx>
            <c:strRef>
              <c:f>Sheet2!$O$6:$O$8</c:f>
              <c:strCache>
                <c:ptCount val="3"/>
                <c:pt idx="0">
                  <c:v>Flextural test</c:v>
                </c:pt>
                <c:pt idx="1">
                  <c:v>kck</c:v>
                </c:pt>
                <c:pt idx="2">
                  <c:v>stress C</c:v>
                </c:pt>
              </c:strCache>
            </c:strRef>
          </c:tx>
          <c:spPr>
            <a:ln w="19050"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Sheet2!$N$9:$N$11</c:f>
              <c:numCache>
                <c:formatCode>General</c:formatCode>
                <c:ptCount val="3"/>
                <c:pt idx="0">
                  <c:v>0</c:v>
                </c:pt>
                <c:pt idx="1">
                  <c:v>5.1349999999999945</c:v>
                </c:pt>
                <c:pt idx="2">
                  <c:v>7.792</c:v>
                </c:pt>
              </c:numCache>
            </c:numRef>
          </c:xVal>
          <c:yVal>
            <c:numRef>
              <c:f>Sheet2!$O$9:$O$11</c:f>
              <c:numCache>
                <c:formatCode>General</c:formatCode>
                <c:ptCount val="3"/>
                <c:pt idx="0">
                  <c:v>0</c:v>
                </c:pt>
                <c:pt idx="1">
                  <c:v>19.83100000000003</c:v>
                </c:pt>
                <c:pt idx="2">
                  <c:v>21.194</c:v>
                </c:pt>
              </c:numCache>
            </c:numRef>
          </c:yVal>
          <c:smooth val="1"/>
          <c:extLst>
            <c:ext xmlns:c16="http://schemas.microsoft.com/office/drawing/2014/chart" uri="{C3380CC4-5D6E-409C-BE32-E72D297353CC}">
              <c16:uniqueId val="{00000002-4F2C-46B0-AA30-076DAE0CF6FF}"/>
            </c:ext>
          </c:extLst>
        </c:ser>
        <c:dLbls>
          <c:showLegendKey val="0"/>
          <c:showVal val="1"/>
          <c:showCatName val="0"/>
          <c:showSerName val="0"/>
          <c:showPercent val="0"/>
          <c:showBubbleSize val="0"/>
        </c:dLbls>
        <c:axId val="321023360"/>
        <c:axId val="321033344"/>
      </c:scatterChart>
      <c:valAx>
        <c:axId val="321023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1033344"/>
        <c:crosses val="autoZero"/>
        <c:crossBetween val="midCat"/>
      </c:valAx>
      <c:valAx>
        <c:axId val="321033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102336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Tensile</a:t>
            </a:r>
            <a:r>
              <a:rPr lang="en-US" baseline="0"/>
              <a:t> Test</a:t>
            </a:r>
            <a:endParaRPr lang="en-US"/>
          </a:p>
        </c:rich>
      </c:tx>
      <c:overlay val="0"/>
      <c:spPr>
        <a:noFill/>
        <a:ln>
          <a:noFill/>
        </a:ln>
        <a:effectLst/>
      </c:spPr>
    </c:title>
    <c:autoTitleDeleted val="0"/>
    <c:plotArea>
      <c:layout/>
      <c:scatterChart>
        <c:scatterStyle val="smoothMarker"/>
        <c:varyColors val="0"/>
        <c:ser>
          <c:idx val="0"/>
          <c:order val="0"/>
          <c:tx>
            <c:strRef>
              <c:f>Sheet2!$I$4:$I$5</c:f>
              <c:strCache>
                <c:ptCount val="2"/>
                <c:pt idx="0">
                  <c:v>ckc</c:v>
                </c:pt>
                <c:pt idx="1">
                  <c:v>stress A</c:v>
                </c:pt>
              </c:strCache>
            </c:strRef>
          </c:tx>
          <c:spPr>
            <a:ln w="19050" cap="rnd">
              <a:solidFill>
                <a:schemeClr val="accent1"/>
              </a:solidFill>
              <a:round/>
            </a:ln>
            <a:effectLst/>
          </c:spPr>
          <c:marker>
            <c:symbol val="none"/>
          </c:marker>
          <c:dLbls>
            <c:dLbl>
              <c:idx val="1"/>
              <c:layout>
                <c:manualLayout>
                  <c:x val="-2.7777777777777822E-3"/>
                  <c:y val="8.333333333333334E-2"/>
                </c:manualLayout>
              </c:layout>
              <c:dLblPos val="t"/>
              <c:showLegendKey val="0"/>
              <c:showVal val="1"/>
              <c:showCatName val="0"/>
              <c:showSerName val="0"/>
              <c:showPercent val="0"/>
              <c:showBubbleSize val="0"/>
              <c:extLst>
                <c:ext xmlns:c16="http://schemas.microsoft.com/office/drawing/2014/chart" uri="{C3380CC4-5D6E-409C-BE32-E72D297353CC}">
                  <c16:uniqueId val="{00000000-DD58-4B35-8EA0-270C175A9906}"/>
                </c:ext>
              </c:extLst>
            </c:dLbl>
            <c:dLbl>
              <c:idx val="2"/>
              <c:layout>
                <c:manualLayout>
                  <c:x val="1.9444444444444445E-2"/>
                  <c:y val="6.0185185185185154E-2"/>
                </c:manualLayout>
              </c:layout>
              <c:dLblPos val="t"/>
              <c:showLegendKey val="0"/>
              <c:showVal val="1"/>
              <c:showCatName val="0"/>
              <c:showSerName val="0"/>
              <c:showPercent val="0"/>
              <c:showBubbleSize val="0"/>
              <c:extLst>
                <c:ext xmlns:c16="http://schemas.microsoft.com/office/drawing/2014/chart" uri="{C3380CC4-5D6E-409C-BE32-E72D297353CC}">
                  <c16:uniqueId val="{00000001-DD58-4B35-8EA0-270C175A990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Sheet2!$H$6:$H$8</c:f>
              <c:numCache>
                <c:formatCode>General</c:formatCode>
                <c:ptCount val="3"/>
                <c:pt idx="0">
                  <c:v>0</c:v>
                </c:pt>
                <c:pt idx="1">
                  <c:v>0.462</c:v>
                </c:pt>
                <c:pt idx="2">
                  <c:v>1.438999999999996</c:v>
                </c:pt>
              </c:numCache>
            </c:numRef>
          </c:xVal>
          <c:yVal>
            <c:numRef>
              <c:f>Sheet2!$I$6:$I$8</c:f>
              <c:numCache>
                <c:formatCode>General</c:formatCode>
                <c:ptCount val="3"/>
                <c:pt idx="0">
                  <c:v>0</c:v>
                </c:pt>
                <c:pt idx="1">
                  <c:v>3.8739999999999997</c:v>
                </c:pt>
                <c:pt idx="2">
                  <c:v>8.379000000000007</c:v>
                </c:pt>
              </c:numCache>
            </c:numRef>
          </c:yVal>
          <c:smooth val="1"/>
          <c:extLst>
            <c:ext xmlns:c16="http://schemas.microsoft.com/office/drawing/2014/chart" uri="{C3380CC4-5D6E-409C-BE32-E72D297353CC}">
              <c16:uniqueId val="{00000002-DD58-4B35-8EA0-270C175A9906}"/>
            </c:ext>
          </c:extLst>
        </c:ser>
        <c:ser>
          <c:idx val="1"/>
          <c:order val="1"/>
          <c:tx>
            <c:strRef>
              <c:f>Sheet2!$K$4:$K$5</c:f>
              <c:strCache>
                <c:ptCount val="2"/>
                <c:pt idx="0">
                  <c:v>ccc</c:v>
                </c:pt>
                <c:pt idx="1">
                  <c:v> stress B</c:v>
                </c:pt>
              </c:strCache>
            </c:strRef>
          </c:tx>
          <c:spPr>
            <a:ln w="19050" cap="rnd">
              <a:solidFill>
                <a:schemeClr val="accent2"/>
              </a:solidFill>
              <a:round/>
            </a:ln>
            <a:effectLst/>
          </c:spPr>
          <c:marker>
            <c:symbol val="none"/>
          </c:marker>
          <c:dLbls>
            <c:dLbl>
              <c:idx val="1"/>
              <c:layout>
                <c:manualLayout>
                  <c:x val="-2.2222440944881877E-2"/>
                  <c:y val="2.777777777777781E-2"/>
                </c:manualLayout>
              </c:layout>
              <c:dLblPos val="t"/>
              <c:showLegendKey val="0"/>
              <c:showVal val="1"/>
              <c:showCatName val="0"/>
              <c:showSerName val="0"/>
              <c:showPercent val="0"/>
              <c:showBubbleSize val="0"/>
              <c:extLst>
                <c:ext xmlns:c16="http://schemas.microsoft.com/office/drawing/2014/chart" uri="{C3380CC4-5D6E-409C-BE32-E72D297353CC}">
                  <c16:uniqueId val="{00000003-DD58-4B35-8EA0-270C175A9906}"/>
                </c:ext>
              </c:extLst>
            </c:dLbl>
            <c:dLbl>
              <c:idx val="2"/>
              <c:layout>
                <c:manualLayout>
                  <c:x val="8.055555555555563E-2"/>
                  <c:y val="2.3148148148148126E-2"/>
                </c:manualLayout>
              </c:layout>
              <c:dLblPos val="t"/>
              <c:showLegendKey val="0"/>
              <c:showVal val="1"/>
              <c:showCatName val="0"/>
              <c:showSerName val="0"/>
              <c:showPercent val="0"/>
              <c:showBubbleSize val="0"/>
              <c:extLst>
                <c:ext xmlns:c16="http://schemas.microsoft.com/office/drawing/2014/chart" uri="{C3380CC4-5D6E-409C-BE32-E72D297353CC}">
                  <c16:uniqueId val="{00000004-DD58-4B35-8EA0-270C175A990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Sheet2!$J$6:$J$8</c:f>
              <c:numCache>
                <c:formatCode>General</c:formatCode>
                <c:ptCount val="3"/>
                <c:pt idx="0">
                  <c:v>0</c:v>
                </c:pt>
                <c:pt idx="1">
                  <c:v>1.018</c:v>
                </c:pt>
                <c:pt idx="2">
                  <c:v>1.086</c:v>
                </c:pt>
              </c:numCache>
            </c:numRef>
          </c:xVal>
          <c:yVal>
            <c:numRef>
              <c:f>Sheet2!$K$6:$K$8</c:f>
              <c:numCache>
                <c:formatCode>General</c:formatCode>
                <c:ptCount val="3"/>
                <c:pt idx="0">
                  <c:v>0</c:v>
                </c:pt>
                <c:pt idx="1">
                  <c:v>21.599</c:v>
                </c:pt>
                <c:pt idx="2">
                  <c:v>22.667000000000005</c:v>
                </c:pt>
              </c:numCache>
            </c:numRef>
          </c:yVal>
          <c:smooth val="1"/>
          <c:extLst>
            <c:ext xmlns:c16="http://schemas.microsoft.com/office/drawing/2014/chart" uri="{C3380CC4-5D6E-409C-BE32-E72D297353CC}">
              <c16:uniqueId val="{00000005-DD58-4B35-8EA0-270C175A9906}"/>
            </c:ext>
          </c:extLst>
        </c:ser>
        <c:ser>
          <c:idx val="2"/>
          <c:order val="2"/>
          <c:tx>
            <c:strRef>
              <c:f>Sheet2!$M$4:$M$5</c:f>
              <c:strCache>
                <c:ptCount val="2"/>
                <c:pt idx="0">
                  <c:v>kck</c:v>
                </c:pt>
                <c:pt idx="1">
                  <c:v>stress C</c:v>
                </c:pt>
              </c:strCache>
            </c:strRef>
          </c:tx>
          <c:spPr>
            <a:ln w="19050" cap="rnd">
              <a:solidFill>
                <a:schemeClr val="accent3"/>
              </a:solidFill>
              <a:round/>
            </a:ln>
            <a:effectLst/>
          </c:spPr>
          <c:marker>
            <c:symbol val="none"/>
          </c:marker>
          <c:dLbls>
            <c:dLbl>
              <c:idx val="1"/>
              <c:layout>
                <c:manualLayout>
                  <c:x val="-5.0925337632080094E-17"/>
                  <c:y val="1.8518518518518528E-2"/>
                </c:manualLayout>
              </c:layout>
              <c:dLblPos val="t"/>
              <c:showLegendKey val="0"/>
              <c:showVal val="1"/>
              <c:showCatName val="0"/>
              <c:showSerName val="0"/>
              <c:showPercent val="0"/>
              <c:showBubbleSize val="0"/>
              <c:extLst>
                <c:ext xmlns:c16="http://schemas.microsoft.com/office/drawing/2014/chart" uri="{C3380CC4-5D6E-409C-BE32-E72D297353CC}">
                  <c16:uniqueId val="{00000006-DD58-4B35-8EA0-270C175A9906}"/>
                </c:ext>
              </c:extLst>
            </c:dLbl>
            <c:dLbl>
              <c:idx val="2"/>
              <c:layout>
                <c:manualLayout>
                  <c:x val="0"/>
                  <c:y val="2.777777777777781E-2"/>
                </c:manualLayout>
              </c:layout>
              <c:dLblPos val="t"/>
              <c:showLegendKey val="0"/>
              <c:showVal val="1"/>
              <c:showCatName val="0"/>
              <c:showSerName val="0"/>
              <c:showPercent val="0"/>
              <c:showBubbleSize val="0"/>
              <c:extLst>
                <c:ext xmlns:c16="http://schemas.microsoft.com/office/drawing/2014/chart" uri="{C3380CC4-5D6E-409C-BE32-E72D297353CC}">
                  <c16:uniqueId val="{00000007-DD58-4B35-8EA0-270C175A990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Sheet2!$L$6:$L$8</c:f>
              <c:numCache>
                <c:formatCode>General</c:formatCode>
                <c:ptCount val="3"/>
                <c:pt idx="0">
                  <c:v>0</c:v>
                </c:pt>
                <c:pt idx="1">
                  <c:v>0.895</c:v>
                </c:pt>
                <c:pt idx="2">
                  <c:v>1.9660000000000029</c:v>
                </c:pt>
              </c:numCache>
            </c:numRef>
          </c:xVal>
          <c:yVal>
            <c:numRef>
              <c:f>Sheet2!$M$6:$M$8</c:f>
              <c:numCache>
                <c:formatCode>General</c:formatCode>
                <c:ptCount val="3"/>
                <c:pt idx="0">
                  <c:v>0</c:v>
                </c:pt>
                <c:pt idx="1">
                  <c:v>10.683</c:v>
                </c:pt>
                <c:pt idx="2">
                  <c:v>12.859000000000027</c:v>
                </c:pt>
              </c:numCache>
            </c:numRef>
          </c:yVal>
          <c:smooth val="1"/>
          <c:extLst>
            <c:ext xmlns:c16="http://schemas.microsoft.com/office/drawing/2014/chart" uri="{C3380CC4-5D6E-409C-BE32-E72D297353CC}">
              <c16:uniqueId val="{00000008-DD58-4B35-8EA0-270C175A9906}"/>
            </c:ext>
          </c:extLst>
        </c:ser>
        <c:dLbls>
          <c:showLegendKey val="0"/>
          <c:showVal val="1"/>
          <c:showCatName val="0"/>
          <c:showSerName val="0"/>
          <c:showPercent val="0"/>
          <c:showBubbleSize val="0"/>
        </c:dLbls>
        <c:axId val="321060224"/>
        <c:axId val="329209344"/>
      </c:scatterChart>
      <c:valAx>
        <c:axId val="3210602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9209344"/>
        <c:crosses val="autoZero"/>
        <c:crossBetween val="midCat"/>
      </c:valAx>
      <c:valAx>
        <c:axId val="3292093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Stress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106022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Sheet1!$D$11</c:f>
              <c:strCache>
                <c:ptCount val="1"/>
                <c:pt idx="0">
                  <c:v>Water Absorption</c:v>
                </c:pt>
              </c:strCache>
            </c:strRef>
          </c:tx>
          <c:spPr>
            <a:solidFill>
              <a:schemeClr val="accent1"/>
            </a:solidFill>
            <a:ln>
              <a:noFill/>
            </a:ln>
            <a:effectLst/>
          </c:spPr>
          <c:invertIfNegative val="0"/>
          <c:errBars>
            <c:errBarType val="both"/>
            <c:errValType val="percentage"/>
            <c:noEndCap val="0"/>
            <c:val val="5"/>
          </c:errBars>
          <c:cat>
            <c:strRef>
              <c:f>Sheet1!$C$12:$C$14</c:f>
              <c:strCache>
                <c:ptCount val="3"/>
                <c:pt idx="0">
                  <c:v>KCK</c:v>
                </c:pt>
                <c:pt idx="1">
                  <c:v>CCC</c:v>
                </c:pt>
                <c:pt idx="2">
                  <c:v>CKC</c:v>
                </c:pt>
              </c:strCache>
            </c:strRef>
          </c:cat>
          <c:val>
            <c:numRef>
              <c:f>Sheet1!$D$12:$D$14</c:f>
              <c:numCache>
                <c:formatCode>General</c:formatCode>
                <c:ptCount val="3"/>
                <c:pt idx="0">
                  <c:v>5.98</c:v>
                </c:pt>
                <c:pt idx="1">
                  <c:v>6.01</c:v>
                </c:pt>
                <c:pt idx="2">
                  <c:v>6.13</c:v>
                </c:pt>
              </c:numCache>
            </c:numRef>
          </c:val>
          <c:extLst>
            <c:ext xmlns:c16="http://schemas.microsoft.com/office/drawing/2014/chart" uri="{C3380CC4-5D6E-409C-BE32-E72D297353CC}">
              <c16:uniqueId val="{00000000-5FFC-449B-83A4-0CE09A096347}"/>
            </c:ext>
          </c:extLst>
        </c:ser>
        <c:dLbls>
          <c:showLegendKey val="0"/>
          <c:showVal val="0"/>
          <c:showCatName val="0"/>
          <c:showSerName val="0"/>
          <c:showPercent val="0"/>
          <c:showBubbleSize val="0"/>
        </c:dLbls>
        <c:gapWidth val="150"/>
        <c:axId val="329230976"/>
        <c:axId val="329237248"/>
      </c:barChart>
      <c:catAx>
        <c:axId val="329230976"/>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Sample</a:t>
                </a:r>
                <a:r>
                  <a:rPr lang="en-US" baseline="0"/>
                  <a:t> composition</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29237248"/>
        <c:crosses val="autoZero"/>
        <c:auto val="1"/>
        <c:lblAlgn val="ctr"/>
        <c:lblOffset val="100"/>
        <c:noMultiLvlLbl val="0"/>
      </c:catAx>
      <c:valAx>
        <c:axId val="329237248"/>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Water</a:t>
                </a:r>
                <a:r>
                  <a:rPr lang="en-US" baseline="0"/>
                  <a:t> Absorption</a:t>
                </a:r>
                <a:endParaRPr lang="en-US"/>
              </a:p>
            </c:rich>
          </c:tx>
          <c:overlay val="0"/>
          <c:spPr>
            <a:noFill/>
            <a:ln>
              <a:noFill/>
            </a:ln>
            <a:effectLst/>
          </c:spPr>
        </c:title>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292309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60162B43-4A8C-482B-9BDE-575C2D286844}"/>
      </w:docPartPr>
      <w:docPartBody>
        <w:p w:rsidR="00000000" w:rsidRDefault="003362E5">
          <w:r w:rsidRPr="00C1275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2E5"/>
    <w:rsid w:val="003362E5"/>
    <w:rsid w:val="00C13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62E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等线 Light"/>
        <a:font script="Hant" typeface="新細明體"/>
        <a:font script="Jpan" typeface="游ゴシック Light"/>
      </a:majorFont>
      <a:minorFont>
        <a:latin typeface="Calibri" panose="020F0502020204030204"/>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等线"/>
        <a:font script="Hant" typeface="新細明體"/>
        <a:font script="Jpan" typeface="游明朝"/>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00C2F56-1D35-4C9D-836B-C24844AA2E7E}">
  <we:reference id="wa104382081" version="1.55.1.0" store="en-US" storeType="OMEX"/>
  <we:alternateReferences>
    <we:reference id="wa104382081" version="1.55.1.0" store="wa104382081" storeType="OMEX"/>
  </we:alternateReferences>
  <we:properties>
    <we:property name="MENDELEY_CITATIONS" value="[{&quot;citationID&quot;:&quot;MENDELEY_CITATION_85ed3fb7-ccb0-4c4b-8856-de07614c6ab6&quot;,&quot;properties&quot;:{&quot;noteIndex&quot;:0},&quot;isEdited&quot;:false,&quot;manualOverride&quot;:{&quot;isManuallyOverridden&quot;:false,&quot;citeprocText&quot;:&quot;(Parashar &amp;#38; Chawla, 2022)&quot;,&quot;manualOverrideText&quot;:&quot;&quot;},&quot;citationTag&quot;:&quot;MENDELEY_CITATION_v3_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&quot;,&quot;citationItems&quot;:[{&quot;id&quot;:&quot;af97eb69-bdb9-3ec2-a096-6dc3f3ecd89d&quot;,&quot;itemData&quot;:{&quot;type&quot;:&quot;article-journal&quot;,&quot;id&quot;:&quot;af97eb69-bdb9-3ec2-a096-6dc3f3ecd89d&quot;,&quot;title&quot;:&quot;Evaluation of fiber volume fraction of kenaf-coir-epoxy based green composite by finite element analysis&quot;,&quot;author&quot;:[{&quot;family&quot;:&quot;Parashar&quot;,&quot;given&quot;:&quot;Shikha&quot;,&quot;parse-names&quot;:false,&quot;dropping-particle&quot;:&quot;&quot;,&quot;non-dropping-particle&quot;:&quot;&quot;},{&quot;family&quot;:&quot;Chawla&quot;,&quot;given&quot;:&quot;V.K.&quot;,&quot;parse-names&quot;:false,&quot;dropping-particle&quot;:&quot;&quot;,&quot;non-dropping-particle&quot;:&quot;&quot;}],&quot;container-title&quot;:&quot;Materials Today: Proceedings&quot;,&quot;container-title-short&quot;:&quot;Mater Today Proc&quot;,&quot;DOI&quot;:&quot;10.1016/j.matpr.2021.08.147&quot;,&quot;ISSN&quot;:&quot;22147853&quot;,&quot;issued&quot;:{&quot;date-parts&quot;:[[2022]]},&quot;page&quot;:&quot;1265-1274&quot;,&quot;volume&quot;:&quot;50&quot;},&quot;isTemporary&quot;:false}]},{&quot;citationID&quot;:&quot;MENDELEY_CITATION_caaacedb-0e4b-41a4-8ae2-c4c33c701148&quot;,&quot;properties&quot;:{&quot;noteIndex&quot;:0},&quot;isEdited&quot;:false,&quot;manualOverride&quot;:{&quot;isManuallyOverridden&quot;:false,&quot;citeprocText&quot;:&quot;(Dattatreya et al., 2023)&quot;,&quot;manualOverrideText&quot;:&quot;&quot;},&quot;citationTag&quot;:&quot;MENDELEY_CITATION_v3_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&quot;,&quot;citationItems&quot;:[{&quot;id&quot;:&quot;f350c004-5166-3c9e-a88a-efc3f49091e7&quot;,&quot;itemData&quot;:{&quot;type&quot;:&quot;article-journal&quot;,&quot;id&quot;:&quot;f350c004-5166-3c9e-a88a-efc3f49091e7&quot;,&quot;title&quot;:&quot;Mechanical properties of waste natural fibers/fillers reinforced epoxy hybrid composites for automotive applications&quot;,&quot;author&quot;:[{&quot;family&quot;:&quot;Dattatreya&quot;,&quot;given&quot;:&quot;Khatroth&quot;,&quot;parse-names&quot;:false,&quot;dropping-particle&quot;:&quot;&quot;,&quot;non-dropping-particle&quot;:&quot;&quot;},{&quot;family&quot;:&quot;Sathees Kumar&quot;,&quot;given&quot;:&quot;S.&quot;,&quot;parse-names&quot;:false,&quot;dropping-particle&quot;:&quot;&quot;,&quot;non-dropping-particle&quot;:&quot;&quot;},{&quot;family&quot;:&quot;Prasad&quot;,&quot;given&quot;:&quot;V.V.S.H.&quot;,&quot;parse-names&quot;:false,&quot;dropping-particle&quot;:&quot;&quot;,&quot;non-dropping-particle&quot;:&quot;&quot;},{&quot;family&quot;:&quot;Ranjan Pati&quot;,&quot;given&quot;:&quot;Pravat&quot;,&quot;parse-names&quot;:false,&quot;dropping-particle&quot;:&quot;&quot;,&quot;non-dropping-particle&quot;:&quot;&quot;}],&quot;container-title&quot;:&quot;Materials Today: Proceedings&quot;,&quot;container-title-short&quot;:&quot;Mater Today Proc&quot;,&quot;DOI&quot;:&quot;10.1016/j.matpr.2023.02.001&quot;,&quot;ISSN&quot;:&quot;22147853&quot;,&quot;issued&quot;:{&quot;date-parts&quot;:[[2023,2]]}},&quot;isTemporary&quot;:false}]},{&quot;citationID&quot;:&quot;MENDELEY_CITATION_6faf1e97-5ab7-4f68-bc11-2c03063c04d1&quot;,&quot;properties&quot;:{&quot;noteIndex&quot;:0},&quot;isEdited&quot;:false,&quot;manualOverride&quot;:{&quot;isManuallyOverridden&quot;:false,&quot;citeprocText&quot;:&quot;(Marichelvam et al., 2023)&quot;,&quot;manualOverrideText&quot;:&quot;&quot;},&quot;citationTag&quot;:&quot;MENDELEY_CITATION_v3_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&quot;,&quot;citationItems&quot;:[{&quot;id&quot;:&quot;645d6d69-05ac-3ccd-b4b3-07fa3b471624&quot;,&quot;itemData&quot;:{&quot;type&quot;:&quot;article-journal&quot;,&quot;id&quot;:&quot;645d6d69-05ac-3ccd-b4b3-07fa3b471624&quot;,&quot;title&quot;:&quot;Investigation on mechanical properties of novel natural fiber-epoxy resin hybrid composites for engineering structural applications&quot;,&quot;author&quot;:[{&quot;family&quot;:&quot;Marichelvam&quot;,&quot;given&quot;:&quot;M.K.&quot;,&quot;parse-names&quot;:false,&quot;dropping-particle&quot;:&quot;&quot;,&quot;non-dropping-particle&quot;:&quot;&quot;},{&quot;family&quot;:&quot;Kumar&quot;,&quot;given&quot;:&quot;C. Labesh&quot;,&quot;parse-names&quot;:false,&quot;dropping-particle&quot;:&quot;&quot;,&quot;non-dropping-particle&quot;:&quot;&quot;},{&quot;family&quot;:&quot;Kandakodeeswaran&quot;,&quot;given&quot;:&quot;K.&quot;,&quot;parse-names&quot;:false,&quot;dropping-particle&quot;:&quot;&quot;,&quot;non-dropping-particle&quot;:&quot;&quot;},{&quot;family&quot;:&quot;Thangagiri&quot;,&quot;given&quot;:&quot;B.&quot;,&quot;parse-names&quot;:false,&quot;dropping-particle&quot;:&quot;&quot;,&quot;non-dropping-particle&quot;:&quot;&quot;},{&quot;family&quot;:&quot;Saxena&quot;,&quot;given&quot;:&quot;Kuldeep K.&quot;,&quot;parse-names&quot;:false,&quot;dropping-particle&quot;:&quot;&quot;,&quot;non-dropping-particle&quot;:&quot;&quot;},{&quot;family&quot;:&quot;Kishore&quot;,&quot;given&quot;:&quot;Kamal&quot;,&quot;parse-names&quot;:false,&quot;dropping-particle&quot;:&quot;&quot;,&quot;non-dropping-particle&quot;:&quot;&quot;},{&quot;family&quot;:&quot;Wagri&quot;,&quot;given&quot;:&quot;Naresh Kumar&quot;,&quot;parse-names&quot;:false,&quot;dropping-particle&quot;:&quot;&quot;,&quot;non-dropping-particle&quot;:&quot;&quot;},{&quot;family&quot;:&quot;Kumar&quot;,&quot;given&quot;:&quot;Sanjeev&quot;,&quot;parse-names&quot;:false,&quot;dropping-particle&quot;:&quot;&quot;,&quot;non-dropping-particle&quot;:&quot;&quot;}],&quot;container-title&quot;:&quot;Case Studies in Construction Materials&quot;,&quot;DOI&quot;:&quot;10.1016/j.cscm.2023.e02356&quot;,&quot;ISSN&quot;:&quot;22145095&quot;,&quot;issued&quot;:{&quot;date-parts&quot;:[[2023,12]]},&quot;page&quot;:&quot;e02356&quot;,&quot;volume&quot;:&quot;19&quot;,&quot;container-title-short&quot;:&quot;&quot;},&quot;isTemporary&quot;:false}]},{&quot;citationID&quot;:&quot;MENDELEY_CITATION_aba31446-a913-4c52-ab47-feb25f00a2bd&quot;,&quot;properties&quot;:{&quot;noteIndex&quot;:0},&quot;isEdited&quot;:false,&quot;manualOverride&quot;:{&quot;isManuallyOverridden&quot;:false,&quot;citeprocText&quot;:&quot;(Müssig et al., 2024)&quot;,&quot;manualOverrideText&quot;:&quot;&quot;},&quot;citationTag&quot;:&quot;MENDELEY_CITATION_v3_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&quot;,&quot;citationItems&quot;:[{&quot;id&quot;:&quot;c91962db-a988-3afb-939b-39edc3ddad48&quot;,&quot;itemData&quot;:{&quot;type&quot;:&quot;article-journal&quot;,&quot;id&quot;:&quot;c91962db-a988-3afb-939b-39edc3ddad48&quot;,&quot;title&quot;:&quot;Mechanical separation of kenaf for composite applications – Evaluation of the total fibre line concept for field retted kenaf&quot;,&quot;author&quot;:[{&quot;family&quot;:&quot;Müssig&quot;,&quot;given&quot;:&quot;J.&quot;,&quot;parse-names&quot;:false,&quot;dropping-particle&quot;:&quot;&quot;,&quot;non-dropping-particle&quot;:&quot;&quot;},{&quot;family&quot;:&quot;Enke&quot;,&quot;given&quot;:&quot;S.&quot;,&quot;parse-names&quot;:false,&quot;dropping-particle&quot;:&quot;&quot;,&quot;non-dropping-particle&quot;:&quot;&quot;},{&quot;family&quot;:&quot;Gusovius&quot;,&quot;given&quot;:&quot;H.&quot;,&quot;parse-names&quot;:false,&quot;dropping-particle&quot;:&quot;&quot;,&quot;non-dropping-particle&quot;:&quot;&quot;},{&quot;family&quot;:&quot;Lühr&quot;,&quot;given&quot;:&quot;C.&quot;,&quot;parse-names&quot;:false,&quot;dropping-particle&quot;:&quot;&quot;,&quot;non-dropping-particle&quot;:&quot;&quot;},{&quot;family&quot;:&quot;Uhrlaub&quot;,&quot;given&quot;:&quot;B.&quot;,&quot;parse-names&quot;:false,&quot;dropping-particle&quot;:&quot;&quot;,&quot;non-dropping-particle&quot;:&quot;&quot;},{&quot;family&quot;:&quot;Dammer&quot;,&quot;given&quot;:&quot;L.&quot;,&quot;parse-names&quot;:false,&quot;dropping-particle&quot;:&quot;&quot;,&quot;non-dropping-particle&quot;:&quot;&quot;},{&quot;family&quot;:&quot;Carus&quot;,&quot;given&quot;:&quot;M.&quot;,&quot;parse-names&quot;:false,&quot;dropping-particle&quot;:&quot;&quot;,&quot;non-dropping-particle&quot;:&quot;&quot;}],&quot;container-title&quot;:&quot;Industrial Crops and Products&quot;,&quot;container-title-short&quot;:&quot;Ind Crops Prod&quot;,&quot;DOI&quot;:&quot;10.1016/j.indcrop.2023.117870&quot;,&quot;ISSN&quot;:&quot;09266690&quot;,&quot;issued&quot;:{&quot;date-parts&quot;:[[2024,2]]},&quot;page&quot;:&quot;117870&quot;,&quot;volume&quot;:&quot;208&quot;},&quot;isTemporary&quot;:false}]},{&quot;citationID&quot;:&quot;MENDELEY_CITATION_6b4ccce2-ce24-443d-8815-d566cef1c0ac&quot;,&quot;properties&quot;:{&quot;noteIndex&quot;:0},&quot;isEdited&quot;:false,&quot;manualOverride&quot;:{&quot;isManuallyOverridden&quot;:false,&quot;citeprocText&quot;:&quot;(Dashtizadeh et al., 2020)&quot;,&quot;manualOverrideText&quot;:&quot;&quot;},&quot;citationTag&quot;:&quot;MENDELEY_CITATION_v3_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&quot;,&quot;citationItems&quot;:[{&quot;id&quot;:&quot;100d6275-a96b-336f-9e54-67f9389260c2&quot;,&quot;itemData&quot;:{&quot;type&quot;:&quot;article-journal&quot;,&quot;id&quot;:&quot;100d6275-a96b-336f-9e54-67f9389260c2&quot;,&quot;title&quot;:&quot;Mechanical properties enhancement of cardanol by hybridization with kenaf/recycled carbon&quot;,&quot;author&quot;:[{&quot;family&quot;:&quot;Dashtizadeh&quot;,&quot;given&quot;:&quot;Zahra&quot;,&quot;parse-names&quot;:false,&quot;dropping-particle&quot;:&quot;&quot;,&quot;non-dropping-particle&quot;:&quot;&quot;},{&quot;family&quot;:&quot;Abdan&quot;,&quot;given&quot;:&quot;K.&quot;,&quot;parse-names&quot;:false,&quot;dropping-particle&quot;:&quot;&quot;,&quot;non-dropping-particle&quot;:&quot;&quot;},{&quot;family&quot;:&quot;Jawaid&quot;,&quot;given&quot;:&quot;M.&quot;,&quot;parse-names&quot;:false,&quot;dropping-particle&quot;:&quot;&quot;,&quot;non-dropping-particle&quot;:&quot;&quot;}],&quot;container-title&quot;:&quot;Mechanics of Materials&quot;,&quot;DOI&quot;:&quot;10.1016/j.mechmat.2020.103475&quot;,&quot;ISSN&quot;:&quot;01676636&quot;,&quot;issued&quot;:{&quot;date-parts&quot;:[[2020,9]]},&quot;page&quot;:&quot;103475&quot;,&quot;volume&quot;:&quot;148&quot;,&quot;container-title-short&quot;:&quot;&quot;},&quot;isTemporary&quot;:false}]},{&quot;citationID&quot;:&quot;MENDELEY_CITATION_966a2215-b2f2-4f95-9ac3-7a1d93178f03&quot;,&quot;properties&quot;:{&quot;noteIndex&quot;:0},&quot;isEdited&quot;:false,&quot;manualOverride&quot;:{&quot;isManuallyOverridden&quot;:false,&quot;citeprocText&quot;:&quot;(Sreenivas et al., 2020)&quot;,&quot;manualOverrideText&quot;:&quot;&quot;},&quot;citationTag&quot;:&quot;MENDELEY_CITATION_v3_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&quot;,&quot;citationItems&quot;:[{&quot;id&quot;:&quot;31654fd5-c718-39f9-8993-abe62e065990&quot;,&quot;itemData&quot;:{&quot;type&quot;:&quot;article-journal&quot;,&quot;id&quot;:&quot;31654fd5-c718-39f9-8993-abe62e065990&quot;,&quot;title&quot;:&quot;A comprehensive review on light weight kenaf fiber for automobiles&quot;,&quot;author&quot;:[{&quot;family&quot;:&quot;Sreenivas&quot;,&quot;given&quot;:&quot;H.T.&quot;,&quot;parse-names&quot;:false,&quot;dropping-particle&quot;:&quot;&quot;,&quot;non-dropping-particle&quot;:&quot;&quot;},{&quot;family&quot;:&quot;Krishnamurthy&quot;,&quot;given&quot;:&quot;N.&quot;,&quot;parse-names&quot;:false,&quot;dropping-particle&quot;:&quot;&quot;,&quot;non-dropping-particle&quot;:&quot;&quot;},{&quot;family&quot;:&quot;Arpitha&quot;,&quot;given&quot;:&quot;G.R.&quot;,&quot;parse-names&quot;:false,&quot;dropping-particle&quot;:&quot;&quot;,&quot;non-dropping-particle&quot;:&quot;&quot;}],&quot;container-title&quot;:&quot;International Journal of Lightweight Materials and Manufacture&quot;,&quot;DOI&quot;:&quot;10.1016/j.ijlmm.2020.05.003&quot;,&quot;ISSN&quot;:&quot;25888404&quot;,&quot;issued&quot;:{&quot;date-parts&quot;:[[2020,12]]},&quot;page&quot;:&quot;328-337&quot;,&quot;issue&quot;:&quot;4&quot;,&quot;volume&quot;:&quot;3&quot;,&quot;container-title-short&quot;:&quot;&quot;},&quot;isTemporary&quot;:false}]},{&quot;citationID&quot;:&quot;MENDELEY_CITATION_6619249f-4c8a-4e82-ba63-306dc8ae539c&quot;,&quot;properties&quot;:{&quot;noteIndex&quot;:0},&quot;isEdited&quot;:false,&quot;manualOverride&quot;:{&quot;isManuallyOverridden&quot;:false,&quot;citeprocText&quot;:&quot;(Chee et al., 2020)&quot;,&quot;manualOverrideText&quot;:&quot;&quot;},&quot;citationTag&quot;:&quot;MENDELEY_CITATION_v3_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&quot;,&quot;citationItems&quot;:[{&quot;id&quot;:&quot;0c1082be-e436-351e-9bb9-63b4065a46a9&quot;,&quot;itemData&quot;:{&quot;type&quot;:&quot;article-journal&quot;,&quot;id&quot;:&quot;0c1082be-e436-351e-9bb9-63b4065a46a9&quot;,&quot;title&quot;:&quot;Effects of nanoclay on physical and dimensional stability of Bamboo/Kenaf/nanoclay reinforced epoxy hybrid nanocomposites&quot;,&quot;author&quot;:[{&quot;family&quot;:&quot;Chee&quot;,&quot;given&quot;:&quot;Siew Sand&quot;,&quot;parse-names&quot;:false,&quot;dropping-particle&quot;:&quot;&quot;,&quot;non-dropping-particle&quot;:&quot;&quot;},{&quot;family&quot;:&quot;Jawaid&quot;,&quot;given&quot;:&quot;Mohammad&quot;,&quot;parse-names&quot;:false,&quot;dropping-particle&quot;:&quot;&quot;,&quot;non-dropping-particle&quot;:&quot;&quot;},{&quot;family&quot;:&quot;Sultan&quot;,&quot;given&quot;:&quot;M.T.H.&quot;,&quot;parse-names&quot;:false,&quot;dropping-particle&quot;:&quot;&quot;,&quot;non-dropping-particle&quot;:&quot;&quot;},{&quot;family&quot;:&quot;Alothman&quot;,&quot;given&quot;:&quot;Othman Y.&quot;,&quot;parse-names&quot;:false,&quot;dropping-particle&quot;:&quot;&quot;,&quot;non-dropping-particle&quot;:&quot;&quot;},{&quot;family&quot;:&quot;Abdullah&quot;,&quot;given&quot;:&quot;Luqman Chuah&quot;,&quot;parse-names&quot;:false,&quot;dropping-particle&quot;:&quot;&quot;,&quot;non-dropping-particle&quot;:&quot;&quot;}],&quot;container-title&quot;:&quot;Journal of Materials Research and Technology&quot;,&quot;DOI&quot;:&quot;10.1016/j.jmrt.2020.03.114&quot;,&quot;ISSN&quot;:&quot;22387854&quot;,&quot;issued&quot;:{&quot;date-parts&quot;:[[2020,5]]},&quot;page&quot;:&quot;5871-5880&quot;,&quot;issue&quot;:&quot;3&quot;,&quot;volume&quot;:&quot;9&quot;,&quot;container-title-short&quot;:&quot;&quot;},&quot;isTemporary&quot;:false}]},{&quot;citationID&quot;:&quot;MENDELEY_CITATION_4f5aa040-e27e-4d9c-bdbf-5c03191b24da&quot;,&quot;properties&quot;:{&quot;noteIndex&quot;:0},&quot;isEdited&quot;:false,&quot;manualOverride&quot;:{&quot;isManuallyOverridden&quot;:false,&quot;citeprocText&quot;:&quot;(Biswas et al., 2019)&quot;,&quot;manualOverrideText&quot;:&quot;&quot;},&quot;citationTag&quot;:&quot;MENDELEY_CITATION_v3_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&quot;,&quot;citationItems&quot;:[{&quot;id&quot;:&quot;021b9ab4-fe57-3314-b626-813ac2e0bf38&quot;,&quot;itemData&quot;:{&quot;type&quot;:&quot;chapter&quot;,&quot;id&quot;:&quot;021b9ab4-fe57-3314-b626-813ac2e0bf38&quot;,&quot;title&quot;:&quot;Mechanical and Dynamic Mechanical Properties of Unsaturated Polyester Resin-Based Composites&quot;,&quot;author&quot;:[{&quot;family&quot;:&quot;Biswas&quot;,&quot;given&quot;:&quot;Bhabatosh&quot;,&quot;parse-names&quot;:false,&quot;dropping-particle&quot;:&quot;&quot;,&quot;non-dropping-particle&quot;:&quot;&quot;},{&quot;family&quot;:&quot;Bandyopadhyay&quot;,&quot;given&quot;:&quot;Nil Ratan&quot;,&quot;parse-names&quot;:false,&quot;dropping-particle&quot;:&quot;&quot;,&quot;non-dropping-particle&quot;:&quot;&quot;},{&quot;family&quot;:&quot;Sinha&quot;,&quot;given&quot;:&quot;Arijit&quot;,&quot;parse-names&quot;:false,&quot;dropping-particle&quot;:&quot;&quot;,&quot;non-dropping-particle&quot;:&quot;&quot;}],&quot;container-title&quot;:&quot;Unsaturated Polyester Resins&quot;,&quot;DOI&quot;:&quot;10.1016/B978-0-12-816129-6.00016-8&quot;,&quot;issued&quot;:{&quot;date-parts&quot;:[[2019]]},&quot;page&quot;:&quot;407-434&quot;,&quot;publisher&quot;:&quot;Elsevier&quot;,&quot;container-title-short&quot;:&quot;&quot;},&quot;isTemporary&quot;:false}]},{&quot;citationID&quot;:&quot;MENDELEY_CITATION_75673d4a-9425-4c93-9499-782e4f005446&quot;,&quot;properties&quot;:{&quot;noteIndex&quot;:0},&quot;isEdited&quot;:false,&quot;manualOverride&quot;:{&quot;isManuallyOverridden&quot;:false,&quot;citeprocText&quot;:&quot;(Biswas et al., 2019)&quot;,&quot;manualOverrideText&quot;:&quot;&quot;},&quot;citationTag&quot;:&quot;MENDELEY_CITATION_v3_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&quot;,&quot;citationItems&quot;:[{&quot;id&quot;:&quot;021b9ab4-fe57-3314-b626-813ac2e0bf38&quot;,&quot;itemData&quot;:{&quot;type&quot;:&quot;chapter&quot;,&quot;id&quot;:&quot;021b9ab4-fe57-3314-b626-813ac2e0bf38&quot;,&quot;title&quot;:&quot;Mechanical and Dynamic Mechanical Properties of Unsaturated Polyester Resin-Based Composites&quot;,&quot;author&quot;:[{&quot;family&quot;:&quot;Biswas&quot;,&quot;given&quot;:&quot;Bhabatosh&quot;,&quot;parse-names&quot;:false,&quot;dropping-particle&quot;:&quot;&quot;,&quot;non-dropping-particle&quot;:&quot;&quot;},{&quot;family&quot;:&quot;Bandyopadhyay&quot;,&quot;given&quot;:&quot;Nil Ratan&quot;,&quot;parse-names&quot;:false,&quot;dropping-particle&quot;:&quot;&quot;,&quot;non-dropping-particle&quot;:&quot;&quot;},{&quot;family&quot;:&quot;Sinha&quot;,&quot;given&quot;:&quot;Arijit&quot;,&quot;parse-names&quot;:false,&quot;dropping-particle&quot;:&quot;&quot;,&quot;non-dropping-particle&quot;:&quot;&quot;}],&quot;container-title&quot;:&quot;Unsaturated Polyester Resins&quot;,&quot;DOI&quot;:&quot;10.1016/B978-0-12-816129-6.00016-8&quot;,&quot;issued&quot;:{&quot;date-parts&quot;:[[2019]]},&quot;page&quot;:&quot;407-434&quot;,&quot;publisher&quot;:&quot;Elsevier&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29</TotalTime>
  <Pages>16</Pages>
  <Words>2684</Words>
  <Characters>15234</Characters>
  <Application>Microsoft Office Word</Application>
  <DocSecurity>0</DocSecurity>
  <Lines>412</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 olaoluwa</dc:creator>
  <cp:lastModifiedBy>EPISTEME JOURNAL</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56910fab-88a7-4d61-b219-a9ed005feeb4</vt:lpwstr>
  </property>
</Properties>
</file>