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B10" w:rsidRPr="004A110B" w:rsidRDefault="00872B10" w:rsidP="00872B10">
      <w:pPr>
        <w:spacing w:line="480" w:lineRule="auto"/>
        <w:jc w:val="both"/>
        <w:rPr>
          <w:b/>
          <w:color w:val="000000"/>
        </w:rPr>
      </w:pPr>
      <w:r w:rsidRPr="004A110B">
        <w:rPr>
          <w:b/>
          <w:color w:val="000000"/>
        </w:rPr>
        <w:t>The Constitution and Mandate of the Ayoola Commission of Enquiry</w:t>
      </w:r>
    </w:p>
    <w:p w:rsidR="00872B10" w:rsidRPr="004A110B" w:rsidRDefault="00872B10" w:rsidP="00872B10">
      <w:pPr>
        <w:spacing w:line="480" w:lineRule="auto"/>
        <w:jc w:val="both"/>
        <w:rPr>
          <w:color w:val="000000"/>
        </w:rPr>
      </w:pPr>
      <w:r w:rsidRPr="004A110B">
        <w:rPr>
          <w:color w:val="000000"/>
        </w:rPr>
        <w:t xml:space="preserve">            In 1968 December, what was known as the Justice Ayoola Commission was appointed to collect evidences on the civil disturbances that ravaged certain parts of Western Nigeria. The three-man Commission was headed by Justice </w:t>
      </w:r>
      <w:proofErr w:type="spellStart"/>
      <w:r w:rsidRPr="004A110B">
        <w:rPr>
          <w:color w:val="000000"/>
        </w:rPr>
        <w:t>Olu</w:t>
      </w:r>
      <w:proofErr w:type="spellEnd"/>
      <w:r w:rsidRPr="004A110B">
        <w:rPr>
          <w:color w:val="000000"/>
        </w:rPr>
        <w:t xml:space="preserve"> Ayoola and assisted by, Mr. M.E. </w:t>
      </w:r>
      <w:proofErr w:type="spellStart"/>
      <w:r w:rsidRPr="004A110B">
        <w:rPr>
          <w:color w:val="000000"/>
        </w:rPr>
        <w:t>Ogundare</w:t>
      </w:r>
      <w:proofErr w:type="spellEnd"/>
      <w:r w:rsidRPr="004A110B">
        <w:rPr>
          <w:color w:val="000000"/>
        </w:rPr>
        <w:t xml:space="preserve">, Acting Deputy Director of Public Prosecution, and Mr. O.B. </w:t>
      </w:r>
      <w:proofErr w:type="spellStart"/>
      <w:r w:rsidRPr="004A110B">
        <w:rPr>
          <w:color w:val="000000"/>
        </w:rPr>
        <w:t>Okubadejo</w:t>
      </w:r>
      <w:proofErr w:type="spellEnd"/>
      <w:r w:rsidRPr="004A110B">
        <w:rPr>
          <w:color w:val="000000"/>
        </w:rPr>
        <w:t>, Administrative Officer. Class 111, (performed such duties as the Commissioner may from time to time direct</w:t>
      </w:r>
      <w:proofErr w:type="gramStart"/>
      <w:r w:rsidRPr="004A110B">
        <w:rPr>
          <w:color w:val="000000"/>
        </w:rPr>
        <w:t>).The</w:t>
      </w:r>
      <w:proofErr w:type="gramEnd"/>
      <w:r w:rsidRPr="004A110B">
        <w:rPr>
          <w:color w:val="000000"/>
        </w:rPr>
        <w:t xml:space="preserve"> Commission was set up by the Brig. </w:t>
      </w:r>
      <w:proofErr w:type="spellStart"/>
      <w:r w:rsidRPr="004A110B">
        <w:rPr>
          <w:color w:val="000000"/>
        </w:rPr>
        <w:t>Adeyinka</w:t>
      </w:r>
      <w:proofErr w:type="spellEnd"/>
      <w:r w:rsidRPr="004A110B">
        <w:rPr>
          <w:color w:val="000000"/>
        </w:rPr>
        <w:t xml:space="preserve"> Adebayo led Western State government, and was mandated to find out the causes of the riots and make recommendations. The terms of reference were to inquire into and make a report on the following:</w:t>
      </w:r>
    </w:p>
    <w:p w:rsidR="00872B10" w:rsidRPr="004A110B" w:rsidRDefault="00872B10" w:rsidP="00872B10">
      <w:pPr>
        <w:spacing w:line="480" w:lineRule="auto"/>
        <w:jc w:val="both"/>
        <w:rPr>
          <w:color w:val="000000"/>
        </w:rPr>
      </w:pPr>
      <w:r w:rsidRPr="004A110B">
        <w:rPr>
          <w:color w:val="000000"/>
        </w:rPr>
        <w:t xml:space="preserve"> (a)The direct and indirect causes of the disturbances</w:t>
      </w:r>
    </w:p>
    <w:p w:rsidR="00872B10" w:rsidRPr="004A110B" w:rsidRDefault="00872B10" w:rsidP="00872B10">
      <w:pPr>
        <w:spacing w:line="480" w:lineRule="auto"/>
        <w:ind w:hanging="720"/>
        <w:jc w:val="both"/>
        <w:rPr>
          <w:color w:val="000000"/>
        </w:rPr>
      </w:pPr>
      <w:r w:rsidRPr="004A110B">
        <w:rPr>
          <w:color w:val="000000"/>
        </w:rPr>
        <w:t xml:space="preserve">             (b)The nature and extent of the disturbances as they related to injury to persons, loss of lives and damage to property</w:t>
      </w:r>
    </w:p>
    <w:p w:rsidR="00872B10" w:rsidRPr="004A110B" w:rsidRDefault="00872B10" w:rsidP="00872B10">
      <w:pPr>
        <w:spacing w:line="480" w:lineRule="auto"/>
        <w:ind w:hanging="540"/>
        <w:jc w:val="both"/>
        <w:rPr>
          <w:color w:val="000000"/>
        </w:rPr>
      </w:pPr>
      <w:r w:rsidRPr="004A110B">
        <w:rPr>
          <w:color w:val="000000"/>
        </w:rPr>
        <w:t xml:space="preserve">          (c)The measures adopted by public officers and law enforcement agencies to bring the situation under control.</w:t>
      </w:r>
    </w:p>
    <w:p w:rsidR="00872B10" w:rsidRPr="004A110B" w:rsidRDefault="00872B10" w:rsidP="00872B10">
      <w:pPr>
        <w:spacing w:line="480" w:lineRule="auto"/>
        <w:ind w:hanging="540"/>
        <w:jc w:val="both"/>
        <w:rPr>
          <w:color w:val="000000"/>
        </w:rPr>
      </w:pPr>
      <w:r w:rsidRPr="004A110B">
        <w:rPr>
          <w:color w:val="000000"/>
        </w:rPr>
        <w:t xml:space="preserve">         (d) Any other matter incidental to any of the aforementioned.</w:t>
      </w:r>
    </w:p>
    <w:p w:rsidR="00872B10" w:rsidRPr="004A110B" w:rsidRDefault="00872B10" w:rsidP="00872B10">
      <w:pPr>
        <w:spacing w:line="480" w:lineRule="auto"/>
        <w:ind w:hanging="540"/>
        <w:jc w:val="both"/>
        <w:rPr>
          <w:color w:val="000000"/>
          <w:vertAlign w:val="superscript"/>
        </w:rPr>
      </w:pPr>
      <w:r w:rsidRPr="004A110B">
        <w:rPr>
          <w:color w:val="000000"/>
        </w:rPr>
        <w:t xml:space="preserve">         (e) To make appropriate recommendations in order to prevent the recurrence of similar civil disturbances and consequential events in future.</w:t>
      </w:r>
      <w:r w:rsidRPr="004A110B">
        <w:rPr>
          <w:color w:val="000000"/>
          <w:vertAlign w:val="superscript"/>
        </w:rPr>
        <w:t xml:space="preserve"> </w:t>
      </w:r>
      <w:r w:rsidRPr="004A110B">
        <w:rPr>
          <w:rStyle w:val="FootnoteReference"/>
          <w:color w:val="000000"/>
        </w:rPr>
        <w:footnoteReference w:id="1"/>
      </w:r>
    </w:p>
    <w:p w:rsidR="00872B10" w:rsidRPr="004A110B" w:rsidRDefault="00872B10" w:rsidP="00872B10">
      <w:pPr>
        <w:spacing w:line="480" w:lineRule="auto"/>
        <w:ind w:firstLine="720"/>
        <w:jc w:val="both"/>
        <w:rPr>
          <w:color w:val="000000"/>
        </w:rPr>
      </w:pPr>
      <w:r w:rsidRPr="004A110B">
        <w:rPr>
          <w:color w:val="000000"/>
        </w:rPr>
        <w:t>He took his oath of office as Sole Commissioner on 14</w:t>
      </w:r>
      <w:r w:rsidRPr="004A110B">
        <w:rPr>
          <w:color w:val="000000"/>
          <w:vertAlign w:val="superscript"/>
        </w:rPr>
        <w:t>th</w:t>
      </w:r>
      <w:r w:rsidRPr="004A110B">
        <w:rPr>
          <w:color w:val="000000"/>
        </w:rPr>
        <w:t xml:space="preserve"> of January, 1969, and the preliminary sessions of the Commission were held at the Western Hall, </w:t>
      </w:r>
      <w:proofErr w:type="spellStart"/>
      <w:r w:rsidRPr="004A110B">
        <w:rPr>
          <w:color w:val="000000"/>
        </w:rPr>
        <w:t>Agodi</w:t>
      </w:r>
      <w:proofErr w:type="spellEnd"/>
      <w:r w:rsidRPr="004A110B">
        <w:rPr>
          <w:color w:val="000000"/>
        </w:rPr>
        <w:t>, Ibadan, on the same day, before further sittings were adjourned to the 22</w:t>
      </w:r>
      <w:r w:rsidRPr="004A110B">
        <w:rPr>
          <w:color w:val="000000"/>
          <w:vertAlign w:val="superscript"/>
        </w:rPr>
        <w:t>nd</w:t>
      </w:r>
      <w:r w:rsidRPr="004A110B">
        <w:rPr>
          <w:color w:val="000000"/>
        </w:rPr>
        <w:t xml:space="preserve"> of the same month.  Public sittings were held in fifteen towns in the Western State and the towns are:  Ibadan, Ogbomoso, Abeokuta, </w:t>
      </w:r>
      <w:proofErr w:type="spellStart"/>
      <w:r w:rsidRPr="004A110B">
        <w:rPr>
          <w:color w:val="000000"/>
        </w:rPr>
        <w:lastRenderedPageBreak/>
        <w:t>Shagamu</w:t>
      </w:r>
      <w:proofErr w:type="spellEnd"/>
      <w:r w:rsidRPr="004A110B">
        <w:rPr>
          <w:color w:val="000000"/>
        </w:rPr>
        <w:t xml:space="preserve">, </w:t>
      </w:r>
      <w:proofErr w:type="spellStart"/>
      <w:r w:rsidRPr="004A110B">
        <w:rPr>
          <w:color w:val="000000"/>
        </w:rPr>
        <w:t>Ijebu</w:t>
      </w:r>
      <w:proofErr w:type="spellEnd"/>
      <w:r w:rsidRPr="004A110B">
        <w:rPr>
          <w:color w:val="000000"/>
        </w:rPr>
        <w:t xml:space="preserve"> Ode, Iwo, Ede, </w:t>
      </w:r>
      <w:proofErr w:type="spellStart"/>
      <w:r w:rsidRPr="004A110B">
        <w:rPr>
          <w:color w:val="000000"/>
        </w:rPr>
        <w:t>Ishara</w:t>
      </w:r>
      <w:proofErr w:type="spellEnd"/>
      <w:r w:rsidRPr="004A110B">
        <w:rPr>
          <w:color w:val="000000"/>
        </w:rPr>
        <w:t>, Oshogbo, Ife, Ilesha, Ado-</w:t>
      </w:r>
      <w:proofErr w:type="spellStart"/>
      <w:r w:rsidRPr="004A110B">
        <w:rPr>
          <w:color w:val="000000"/>
        </w:rPr>
        <w:t>Ekiti</w:t>
      </w:r>
      <w:proofErr w:type="spellEnd"/>
      <w:r w:rsidRPr="004A110B">
        <w:rPr>
          <w:color w:val="000000"/>
        </w:rPr>
        <w:t xml:space="preserve">, </w:t>
      </w:r>
      <w:proofErr w:type="spellStart"/>
      <w:r w:rsidRPr="004A110B">
        <w:rPr>
          <w:color w:val="000000"/>
        </w:rPr>
        <w:t>Owo</w:t>
      </w:r>
      <w:proofErr w:type="spellEnd"/>
      <w:r w:rsidRPr="004A110B">
        <w:rPr>
          <w:color w:val="000000"/>
        </w:rPr>
        <w:t xml:space="preserve">, </w:t>
      </w:r>
      <w:proofErr w:type="spellStart"/>
      <w:r w:rsidRPr="004A110B">
        <w:rPr>
          <w:color w:val="000000"/>
        </w:rPr>
        <w:t>Akure</w:t>
      </w:r>
      <w:proofErr w:type="spellEnd"/>
      <w:r w:rsidRPr="004A110B">
        <w:rPr>
          <w:color w:val="000000"/>
        </w:rPr>
        <w:t xml:space="preserve"> and Ondo.</w:t>
      </w:r>
      <w:r w:rsidRPr="004A110B">
        <w:rPr>
          <w:rStyle w:val="FootnoteReference"/>
          <w:color w:val="000000"/>
        </w:rPr>
        <w:footnoteReference w:id="2"/>
      </w:r>
      <w:r w:rsidRPr="004A110B">
        <w:rPr>
          <w:color w:val="000000"/>
        </w:rPr>
        <w:t xml:space="preserve"> Evidences were taken from three hundred and thirty two (332) witnesses and four hundred and one (401) exhibits were tendered. Three hundred and </w:t>
      </w:r>
      <w:proofErr w:type="gramStart"/>
      <w:r w:rsidRPr="004A110B">
        <w:rPr>
          <w:color w:val="000000"/>
        </w:rPr>
        <w:t>fifty nine</w:t>
      </w:r>
      <w:proofErr w:type="gramEnd"/>
      <w:r w:rsidRPr="004A110B">
        <w:rPr>
          <w:color w:val="000000"/>
        </w:rPr>
        <w:t xml:space="preserve"> (359) memoranda were received and considered, while valuable information were gathered from a number of statutory corporations, experts and individuals. Appreciable assistance was also received from officials of various government departments who placed their knowledge and wealth of experience at the disposal of the Commission in informal discussions, and at no cost. Scenes of the disturbances were also visited by the Commission with a view to assessing the extent of damages to property and by the 19</w:t>
      </w:r>
      <w:r w:rsidRPr="004A110B">
        <w:rPr>
          <w:color w:val="000000"/>
          <w:vertAlign w:val="superscript"/>
        </w:rPr>
        <w:t>th</w:t>
      </w:r>
      <w:r w:rsidRPr="004A110B">
        <w:rPr>
          <w:color w:val="000000"/>
        </w:rPr>
        <w:t xml:space="preserve"> of March, 1969, all sittings had ended.</w:t>
      </w:r>
      <w:r w:rsidRPr="004A110B">
        <w:rPr>
          <w:color w:val="000000"/>
          <w:vertAlign w:val="superscript"/>
        </w:rPr>
        <w:t xml:space="preserve"> </w:t>
      </w:r>
      <w:r w:rsidRPr="004A110B">
        <w:rPr>
          <w:rStyle w:val="FootnoteReference"/>
          <w:color w:val="000000"/>
        </w:rPr>
        <w:footnoteReference w:id="3"/>
      </w:r>
    </w:p>
    <w:p w:rsidR="00872B10" w:rsidRPr="004A110B" w:rsidRDefault="00872B10" w:rsidP="00872B10">
      <w:pPr>
        <w:spacing w:line="480" w:lineRule="auto"/>
        <w:ind w:firstLine="720"/>
        <w:jc w:val="both"/>
        <w:rPr>
          <w:color w:val="000000"/>
        </w:rPr>
      </w:pPr>
      <w:r w:rsidRPr="004A110B">
        <w:rPr>
          <w:color w:val="000000"/>
        </w:rPr>
        <w:t xml:space="preserve">From the outset, Justice </w:t>
      </w:r>
      <w:proofErr w:type="spellStart"/>
      <w:r w:rsidRPr="004A110B">
        <w:rPr>
          <w:color w:val="000000"/>
        </w:rPr>
        <w:t>Olu</w:t>
      </w:r>
      <w:proofErr w:type="spellEnd"/>
      <w:r w:rsidRPr="004A110B">
        <w:rPr>
          <w:color w:val="000000"/>
        </w:rPr>
        <w:t xml:space="preserve"> Ayoola Commission decided not to limit this inquiry to December 1968, although the mandate actually limited the Commission to December. The Commission realized very quickly that limiting itself to December would have amounted to disregarding the events which added up to the December rising.  This would certainly have amounted to a half view of the events preceding the December disturbances.  It is important to note that the major disturbances in Ibadan city and parts of Ibadan Division occurred on the 25</w:t>
      </w:r>
      <w:r w:rsidRPr="004A110B">
        <w:rPr>
          <w:color w:val="000000"/>
          <w:vertAlign w:val="superscript"/>
        </w:rPr>
        <w:t>th</w:t>
      </w:r>
      <w:r w:rsidRPr="004A110B">
        <w:rPr>
          <w:color w:val="000000"/>
        </w:rPr>
        <w:t xml:space="preserve"> and 26</w:t>
      </w:r>
      <w:r w:rsidRPr="004A110B">
        <w:rPr>
          <w:color w:val="000000"/>
          <w:vertAlign w:val="superscript"/>
        </w:rPr>
        <w:t>th</w:t>
      </w:r>
      <w:r w:rsidRPr="004A110B">
        <w:rPr>
          <w:color w:val="000000"/>
        </w:rPr>
        <w:t xml:space="preserve"> of November 1968. The first disturbances in </w:t>
      </w:r>
      <w:proofErr w:type="spellStart"/>
      <w:r w:rsidRPr="004A110B">
        <w:rPr>
          <w:color w:val="000000"/>
        </w:rPr>
        <w:t>Ishara</w:t>
      </w:r>
      <w:proofErr w:type="spellEnd"/>
      <w:r w:rsidRPr="004A110B">
        <w:rPr>
          <w:color w:val="000000"/>
        </w:rPr>
        <w:t xml:space="preserve"> occurred on the 24</w:t>
      </w:r>
      <w:r w:rsidRPr="004A110B">
        <w:rPr>
          <w:color w:val="000000"/>
          <w:vertAlign w:val="superscript"/>
        </w:rPr>
        <w:t>th</w:t>
      </w:r>
      <w:r w:rsidRPr="004A110B">
        <w:rPr>
          <w:color w:val="000000"/>
        </w:rPr>
        <w:t xml:space="preserve"> and 25</w:t>
      </w:r>
      <w:r w:rsidRPr="004A110B">
        <w:rPr>
          <w:color w:val="000000"/>
          <w:vertAlign w:val="superscript"/>
        </w:rPr>
        <w:t>th</w:t>
      </w:r>
      <w:r w:rsidRPr="004A110B">
        <w:rPr>
          <w:color w:val="000000"/>
        </w:rPr>
        <w:t xml:space="preserve"> of November 1968. Also, in Oyo, there had been minor disturbances as early as 7</w:t>
      </w:r>
      <w:r w:rsidRPr="004A110B">
        <w:rPr>
          <w:color w:val="000000"/>
          <w:vertAlign w:val="superscript"/>
        </w:rPr>
        <w:t>th</w:t>
      </w:r>
      <w:r w:rsidRPr="004A110B">
        <w:rPr>
          <w:color w:val="000000"/>
        </w:rPr>
        <w:t xml:space="preserve"> of October, 1968, which did not receive much publicity.</w:t>
      </w:r>
      <w:r w:rsidRPr="004A110B">
        <w:rPr>
          <w:color w:val="000000"/>
          <w:vertAlign w:val="superscript"/>
        </w:rPr>
        <w:t xml:space="preserve"> </w:t>
      </w:r>
      <w:r w:rsidRPr="004A110B">
        <w:rPr>
          <w:rStyle w:val="FootnoteReference"/>
          <w:color w:val="000000"/>
        </w:rPr>
        <w:footnoteReference w:id="4"/>
      </w:r>
    </w:p>
    <w:p w:rsidR="00872B10" w:rsidRPr="004A110B" w:rsidRDefault="00872B10" w:rsidP="00872B10">
      <w:pPr>
        <w:spacing w:line="480" w:lineRule="auto"/>
        <w:ind w:firstLine="720"/>
        <w:jc w:val="both"/>
        <w:rPr>
          <w:b/>
          <w:color w:val="000000"/>
        </w:rPr>
      </w:pPr>
      <w:r w:rsidRPr="004A110B">
        <w:rPr>
          <w:b/>
          <w:color w:val="000000"/>
        </w:rPr>
        <w:t xml:space="preserve">The Findings of the Ayoola Commission of Enquiry </w:t>
      </w:r>
    </w:p>
    <w:p w:rsidR="00872B10" w:rsidRPr="004A110B" w:rsidRDefault="00872B10" w:rsidP="00872B10">
      <w:pPr>
        <w:spacing w:line="480" w:lineRule="auto"/>
        <w:ind w:firstLine="720"/>
        <w:jc w:val="both"/>
        <w:rPr>
          <w:color w:val="000000"/>
        </w:rPr>
      </w:pPr>
      <w:r w:rsidRPr="004A110B">
        <w:rPr>
          <w:color w:val="000000"/>
        </w:rPr>
        <w:lastRenderedPageBreak/>
        <w:t>The disturbances, which occurred in 1968/69 in some parts of Yorubaland in Western Region of Nigeria, cannot rightly be considered in isolation. These disturbances were definitely related to the general background of the people, which depicts at any given time, their economic condition, political behaviorism, their attitude to law and order, and to authority, their expectations and their understanding of civic rights, obligations and responsibilities.</w:t>
      </w:r>
      <w:r w:rsidRPr="004A110B">
        <w:rPr>
          <w:rStyle w:val="FootnoteReference"/>
          <w:color w:val="000000"/>
        </w:rPr>
        <w:footnoteReference w:id="5"/>
      </w:r>
      <w:r w:rsidRPr="004A110B">
        <w:rPr>
          <w:color w:val="000000"/>
        </w:rPr>
        <w:t xml:space="preserve"> In executing its mandate, the Commission arrived at some general and specific findings; it was found that the disturbances referred to in the terms of reference occurred against a general background of tax agitation. The Commission was also convinced that the tax agitation developed when, against a background of economic depression and bad harvest, it came to the knowledge of the ‘little people’ that they were required by the state to pay some additional levies in one form or another.</w:t>
      </w:r>
    </w:p>
    <w:p w:rsidR="00872B10" w:rsidRPr="004A110B" w:rsidRDefault="00872B10" w:rsidP="00872B10">
      <w:pPr>
        <w:spacing w:line="480" w:lineRule="auto"/>
        <w:jc w:val="both"/>
        <w:rPr>
          <w:color w:val="000000"/>
        </w:rPr>
      </w:pPr>
      <w:r w:rsidRPr="004A110B">
        <w:rPr>
          <w:color w:val="000000"/>
        </w:rPr>
        <w:t xml:space="preserve">            According to the Commission, there were direct and indirect causes; the principal indirect cause of disturbances peculiar to Ibadan and part of the division was the political leadership struggle among the Ibadan leaders. The political struggle for leadership was mainly between Chief </w:t>
      </w:r>
      <w:proofErr w:type="spellStart"/>
      <w:r w:rsidRPr="004A110B">
        <w:rPr>
          <w:color w:val="000000"/>
        </w:rPr>
        <w:t>Agbaje</w:t>
      </w:r>
      <w:proofErr w:type="spellEnd"/>
      <w:r w:rsidRPr="004A110B">
        <w:rPr>
          <w:color w:val="000000"/>
        </w:rPr>
        <w:t xml:space="preserve"> and his supporters (formerly of the banned NCNC) and Chief </w:t>
      </w:r>
      <w:proofErr w:type="spellStart"/>
      <w:r w:rsidRPr="004A110B">
        <w:rPr>
          <w:color w:val="000000"/>
        </w:rPr>
        <w:t>Lanleyin</w:t>
      </w:r>
      <w:proofErr w:type="spellEnd"/>
      <w:r w:rsidRPr="004A110B">
        <w:rPr>
          <w:color w:val="000000"/>
        </w:rPr>
        <w:t xml:space="preserve"> and his own supporters (formerly of the banned ‘Action Group’). Also, the past political hostilities between the NNDP and UPGA were part of the causes of riots in </w:t>
      </w:r>
      <w:proofErr w:type="spellStart"/>
      <w:r w:rsidRPr="004A110B">
        <w:rPr>
          <w:color w:val="000000"/>
        </w:rPr>
        <w:t>Egba</w:t>
      </w:r>
      <w:proofErr w:type="spellEnd"/>
      <w:r w:rsidRPr="004A110B">
        <w:rPr>
          <w:color w:val="000000"/>
        </w:rPr>
        <w:t xml:space="preserve"> division in 1968.</w:t>
      </w:r>
      <w:r w:rsidRPr="004A110B">
        <w:rPr>
          <w:rStyle w:val="FootnoteReference"/>
          <w:color w:val="000000"/>
        </w:rPr>
        <w:footnoteReference w:id="6"/>
      </w:r>
      <w:r w:rsidRPr="004A110B">
        <w:rPr>
          <w:color w:val="000000"/>
        </w:rPr>
        <w:t xml:space="preserve"> There was absolutely no understanding between the District Council Officials and the people they served, and this contributed in no small way to the tax riots in Western State.</w:t>
      </w:r>
      <w:r w:rsidRPr="004A110B">
        <w:rPr>
          <w:rStyle w:val="FootnoteReference"/>
          <w:color w:val="000000"/>
        </w:rPr>
        <w:footnoteReference w:id="7"/>
      </w:r>
      <w:r w:rsidRPr="004A110B">
        <w:rPr>
          <w:color w:val="000000"/>
        </w:rPr>
        <w:t xml:space="preserve"> Also, the Commission observed that </w:t>
      </w:r>
      <w:r w:rsidRPr="004A110B">
        <w:rPr>
          <w:color w:val="000000"/>
        </w:rPr>
        <w:lastRenderedPageBreak/>
        <w:t>the ingredient of discontent was the Local Government structure that was so easily susceptible to malfunction.  Some of the councils were so poor in terms of revenue that they could not really discharge the statutory functions expected of them in terms of provision of amenities such as good roads, maternity homes, public toilets, etc.</w:t>
      </w:r>
    </w:p>
    <w:p w:rsidR="00872B10" w:rsidRPr="004A110B" w:rsidRDefault="00872B10" w:rsidP="00872B10">
      <w:pPr>
        <w:spacing w:line="480" w:lineRule="auto"/>
        <w:jc w:val="both"/>
        <w:rPr>
          <w:color w:val="000000"/>
        </w:rPr>
      </w:pPr>
      <w:r w:rsidRPr="004A110B">
        <w:rPr>
          <w:color w:val="000000"/>
        </w:rPr>
        <w:t xml:space="preserve">            The Commission also isolated some factors, which he referred to as ‘inferred’ causes of the disturbances. The general feeling of neglect in rural areas as against the towns regarding the distribution of social amenities was an inferred cause of disturbances. The people of Oyo, Osun, Ibadan, Ife/Ilesha felt particularly slighted by those in power because there were noticeable imbalances in the distribution of social amenities.  Certain areas were </w:t>
      </w:r>
      <w:proofErr w:type="spellStart"/>
      <w:r w:rsidRPr="004A110B">
        <w:rPr>
          <w:color w:val="000000"/>
        </w:rPr>
        <w:t>favoured</w:t>
      </w:r>
      <w:proofErr w:type="spellEnd"/>
      <w:r w:rsidRPr="004A110B">
        <w:rPr>
          <w:color w:val="000000"/>
        </w:rPr>
        <w:t xml:space="preserve"> in terms of industries and amenities.</w:t>
      </w:r>
      <w:r w:rsidRPr="004A110B">
        <w:rPr>
          <w:rStyle w:val="FootnoteReference"/>
          <w:color w:val="000000"/>
        </w:rPr>
        <w:footnoteReference w:id="8"/>
      </w:r>
    </w:p>
    <w:p w:rsidR="00872B10" w:rsidRPr="004A110B" w:rsidRDefault="00872B10" w:rsidP="00872B10">
      <w:pPr>
        <w:spacing w:line="480" w:lineRule="auto"/>
        <w:jc w:val="both"/>
        <w:rPr>
          <w:color w:val="000000"/>
        </w:rPr>
      </w:pPr>
      <w:r w:rsidRPr="004A110B">
        <w:rPr>
          <w:color w:val="000000"/>
        </w:rPr>
        <w:t xml:space="preserve">               In </w:t>
      </w:r>
      <w:proofErr w:type="spellStart"/>
      <w:r w:rsidRPr="004A110B">
        <w:rPr>
          <w:color w:val="000000"/>
        </w:rPr>
        <w:t>Egba</w:t>
      </w:r>
      <w:proofErr w:type="spellEnd"/>
      <w:r w:rsidRPr="004A110B">
        <w:rPr>
          <w:color w:val="000000"/>
        </w:rPr>
        <w:t xml:space="preserve">, much of the ‘incitement’ to rioting in the initial stage appeared to have been engineered by the </w:t>
      </w:r>
      <w:proofErr w:type="spellStart"/>
      <w:r w:rsidRPr="004A110B">
        <w:rPr>
          <w:i/>
          <w:iCs/>
          <w:color w:val="000000"/>
        </w:rPr>
        <w:t>Parakoyis</w:t>
      </w:r>
      <w:proofErr w:type="spellEnd"/>
      <w:r w:rsidRPr="004A110B">
        <w:rPr>
          <w:color w:val="000000"/>
        </w:rPr>
        <w:t xml:space="preserve"> who felt that the district council functionaries had usurped their functions. The </w:t>
      </w:r>
      <w:r w:rsidRPr="004A110B">
        <w:rPr>
          <w:i/>
          <w:iCs/>
          <w:color w:val="000000"/>
        </w:rPr>
        <w:t xml:space="preserve">Alake </w:t>
      </w:r>
      <w:r w:rsidRPr="004A110B">
        <w:rPr>
          <w:color w:val="000000"/>
        </w:rPr>
        <w:t xml:space="preserve">also opposed the District Councils as he felt that they reduced his authority while the </w:t>
      </w:r>
      <w:proofErr w:type="spellStart"/>
      <w:r w:rsidRPr="004A110B">
        <w:rPr>
          <w:i/>
          <w:iCs/>
          <w:color w:val="000000"/>
        </w:rPr>
        <w:t>Olubadan</w:t>
      </w:r>
      <w:proofErr w:type="spellEnd"/>
      <w:r w:rsidRPr="004A110B">
        <w:rPr>
          <w:color w:val="000000"/>
        </w:rPr>
        <w:t xml:space="preserve"> too felt the same way in respect of the councils in Ibadan Districts.  In Ogbomoso, the savage brutality</w:t>
      </w:r>
      <w:r w:rsidRPr="004A110B">
        <w:rPr>
          <w:rStyle w:val="FootnoteReference"/>
          <w:color w:val="000000"/>
        </w:rPr>
        <w:footnoteReference w:id="9"/>
      </w:r>
      <w:r w:rsidRPr="004A110B">
        <w:rPr>
          <w:color w:val="000000"/>
        </w:rPr>
        <w:t xml:space="preserve"> of the local farmers was directed at the </w:t>
      </w:r>
      <w:r w:rsidRPr="004A110B">
        <w:rPr>
          <w:i/>
          <w:iCs/>
          <w:color w:val="000000"/>
        </w:rPr>
        <w:t>Oba</w:t>
      </w:r>
      <w:r w:rsidRPr="004A110B">
        <w:rPr>
          <w:color w:val="000000"/>
        </w:rPr>
        <w:t>.</w:t>
      </w:r>
    </w:p>
    <w:p w:rsidR="00872B10" w:rsidRPr="004A110B" w:rsidRDefault="00872B10" w:rsidP="00872B10">
      <w:pPr>
        <w:spacing w:line="480" w:lineRule="auto"/>
        <w:jc w:val="both"/>
        <w:rPr>
          <w:color w:val="000000"/>
        </w:rPr>
      </w:pPr>
      <w:r w:rsidRPr="004A110B">
        <w:rPr>
          <w:color w:val="000000"/>
        </w:rPr>
        <w:t xml:space="preserve">             The arrest of tax defaulters was the main spark for attacks on the authorities. In several cases, </w:t>
      </w:r>
      <w:r w:rsidRPr="004A110B">
        <w:rPr>
          <w:i/>
          <w:iCs/>
          <w:color w:val="000000"/>
        </w:rPr>
        <w:t>Oba’s</w:t>
      </w:r>
      <w:r w:rsidRPr="004A110B">
        <w:rPr>
          <w:color w:val="000000"/>
        </w:rPr>
        <w:t xml:space="preserve"> palaces were attacked and burnt down because they had allegedly called for the soldiers to assist in the tax collection exercise and in some cases, they had embezzled public funds.</w:t>
      </w:r>
      <w:r w:rsidRPr="004A110B">
        <w:rPr>
          <w:rStyle w:val="FootnoteReference"/>
          <w:color w:val="000000"/>
        </w:rPr>
        <w:footnoteReference w:id="10"/>
      </w:r>
      <w:r w:rsidRPr="004A110B">
        <w:rPr>
          <w:color w:val="000000"/>
        </w:rPr>
        <w:t xml:space="preserve"> In some places, like </w:t>
      </w:r>
      <w:proofErr w:type="spellStart"/>
      <w:r w:rsidRPr="004A110B">
        <w:rPr>
          <w:color w:val="000000"/>
        </w:rPr>
        <w:t>Egba</w:t>
      </w:r>
      <w:proofErr w:type="spellEnd"/>
      <w:r w:rsidRPr="004A110B">
        <w:rPr>
          <w:color w:val="000000"/>
        </w:rPr>
        <w:t xml:space="preserve"> Division, the dissatisfaction of market women led by the </w:t>
      </w:r>
      <w:proofErr w:type="spellStart"/>
      <w:r w:rsidRPr="004A110B">
        <w:rPr>
          <w:i/>
          <w:iCs/>
          <w:color w:val="000000"/>
        </w:rPr>
        <w:lastRenderedPageBreak/>
        <w:t>Parakoyi</w:t>
      </w:r>
      <w:proofErr w:type="spellEnd"/>
      <w:r w:rsidRPr="004A110B">
        <w:rPr>
          <w:color w:val="000000"/>
        </w:rPr>
        <w:t xml:space="preserve"> and distaste for the conduct of market supervisors/council officials played major roles. In Oyo, however, one of the causes of the December 1968 riots was the misappropriation of a grant of three thousand, five hundred pounds (£3,500) which was allocated to a privately owned school from a local education rate fund.</w:t>
      </w:r>
      <w:r w:rsidRPr="004A110B">
        <w:rPr>
          <w:rStyle w:val="FootnoteReference"/>
          <w:color w:val="000000"/>
        </w:rPr>
        <w:footnoteReference w:id="11"/>
      </w:r>
      <w:r w:rsidRPr="004A110B">
        <w:rPr>
          <w:color w:val="000000"/>
        </w:rPr>
        <w:t xml:space="preserve"> </w:t>
      </w:r>
    </w:p>
    <w:p w:rsidR="00872B10" w:rsidRPr="004A110B" w:rsidRDefault="00872B10" w:rsidP="00872B10">
      <w:pPr>
        <w:spacing w:line="480" w:lineRule="auto"/>
        <w:jc w:val="both"/>
        <w:rPr>
          <w:color w:val="000000"/>
        </w:rPr>
      </w:pPr>
      <w:r w:rsidRPr="004A110B">
        <w:rPr>
          <w:color w:val="000000"/>
        </w:rPr>
        <w:t xml:space="preserve">            The particular finding of the Commission concerning Ede confirmed that the agitation in other places influenced the riots in Ede. Some ex-politicians were said to have complained that Ede was too calm; too peaceful, and there was the need to stir it up a little.  It was also found by the Commission that the Ede disturbances arose because the Sole Administrator, Mr. </w:t>
      </w:r>
      <w:proofErr w:type="spellStart"/>
      <w:r w:rsidRPr="004A110B">
        <w:rPr>
          <w:color w:val="000000"/>
        </w:rPr>
        <w:t>Olanre</w:t>
      </w:r>
      <w:proofErr w:type="spellEnd"/>
      <w:r w:rsidRPr="004A110B">
        <w:rPr>
          <w:color w:val="000000"/>
        </w:rPr>
        <w:t xml:space="preserve"> </w:t>
      </w:r>
      <w:proofErr w:type="spellStart"/>
      <w:r w:rsidRPr="004A110B">
        <w:rPr>
          <w:color w:val="000000"/>
        </w:rPr>
        <w:t>Olayemi</w:t>
      </w:r>
      <w:proofErr w:type="spellEnd"/>
      <w:r w:rsidRPr="004A110B">
        <w:rPr>
          <w:color w:val="000000"/>
        </w:rPr>
        <w:t>, had earlier scheduled a meeting with the people on the 19</w:t>
      </w:r>
      <w:r w:rsidRPr="004A110B">
        <w:rPr>
          <w:color w:val="000000"/>
          <w:vertAlign w:val="superscript"/>
        </w:rPr>
        <w:t>th</w:t>
      </w:r>
      <w:r w:rsidRPr="004A110B">
        <w:rPr>
          <w:color w:val="000000"/>
        </w:rPr>
        <w:t xml:space="preserve"> of December, but it was later called off on the 16</w:t>
      </w:r>
      <w:r w:rsidRPr="004A110B">
        <w:rPr>
          <w:color w:val="000000"/>
          <w:vertAlign w:val="superscript"/>
        </w:rPr>
        <w:t>th</w:t>
      </w:r>
      <w:r w:rsidRPr="004A110B">
        <w:rPr>
          <w:color w:val="000000"/>
        </w:rPr>
        <w:t xml:space="preserve"> of the same month without appropriate and timely notification. They arrived for the meeting, waited for six hours in vain and resorted to rioting. The Ede disturbance of 22</w:t>
      </w:r>
      <w:r w:rsidRPr="004A110B">
        <w:rPr>
          <w:color w:val="000000"/>
          <w:vertAlign w:val="superscript"/>
        </w:rPr>
        <w:t>nd</w:t>
      </w:r>
      <w:r w:rsidRPr="004A110B">
        <w:rPr>
          <w:color w:val="000000"/>
        </w:rPr>
        <w:t xml:space="preserve"> of December 1968, it was confirmed, occurred when a crowd of people insisted upon the release of some men who had been arrested as a result of the riot of 19</w:t>
      </w:r>
      <w:r w:rsidRPr="004A110B">
        <w:rPr>
          <w:color w:val="000000"/>
          <w:vertAlign w:val="superscript"/>
        </w:rPr>
        <w:t>th</w:t>
      </w:r>
      <w:r w:rsidRPr="004A110B">
        <w:rPr>
          <w:color w:val="000000"/>
        </w:rPr>
        <w:t xml:space="preserve"> of December 1968.</w:t>
      </w:r>
      <w:r w:rsidRPr="004A110B">
        <w:rPr>
          <w:rStyle w:val="FootnoteReference"/>
          <w:color w:val="000000"/>
        </w:rPr>
        <w:footnoteReference w:id="12"/>
      </w:r>
    </w:p>
    <w:p w:rsidR="00872B10" w:rsidRPr="004A110B" w:rsidRDefault="00872B10" w:rsidP="00872B10">
      <w:pPr>
        <w:spacing w:line="480" w:lineRule="auto"/>
        <w:ind w:firstLine="720"/>
        <w:jc w:val="both"/>
        <w:rPr>
          <w:color w:val="000000"/>
        </w:rPr>
      </w:pPr>
      <w:r w:rsidRPr="004A110B">
        <w:rPr>
          <w:color w:val="000000"/>
        </w:rPr>
        <w:t>Many roads in the rural areas were in a poor state and this situation caused the reduction of economic activities of the peasant farmers, thereby making them financially poorer. Farmers often complained bitterly that the tax assessment committee, which comprised the officials of the local council and those of the ministry of finance, did not have adequate knowledge to enable a just assessment and so, they campaigned for their own representation on the committee.</w:t>
      </w:r>
      <w:r w:rsidRPr="004A110B">
        <w:rPr>
          <w:rStyle w:val="FootnoteReference"/>
          <w:color w:val="000000"/>
        </w:rPr>
        <w:footnoteReference w:id="13"/>
      </w:r>
      <w:r w:rsidRPr="004A110B">
        <w:rPr>
          <w:color w:val="000000"/>
        </w:rPr>
        <w:t xml:space="preserve"> Moreover, the Commission submitted that due to the absence of adequate security measures, many council officials obstinately refused to return to their desks in the remote areas and resultantly, the </w:t>
      </w:r>
      <w:r w:rsidRPr="004A110B">
        <w:rPr>
          <w:color w:val="000000"/>
        </w:rPr>
        <w:lastRenderedPageBreak/>
        <w:t>work in some council areas came to a standstill. Consequently, some uninformed misconstrued this for “victory for the masses”.</w:t>
      </w:r>
      <w:r w:rsidRPr="004A110B">
        <w:rPr>
          <w:rStyle w:val="FootnoteReference"/>
          <w:color w:val="000000"/>
        </w:rPr>
        <w:footnoteReference w:id="14"/>
      </w:r>
    </w:p>
    <w:p w:rsidR="00872B10" w:rsidRPr="004A110B" w:rsidRDefault="00872B10" w:rsidP="00872B10">
      <w:pPr>
        <w:spacing w:line="480" w:lineRule="auto"/>
        <w:ind w:firstLine="720"/>
        <w:jc w:val="both"/>
        <w:rPr>
          <w:color w:val="000000"/>
          <w:vertAlign w:val="superscript"/>
        </w:rPr>
      </w:pPr>
      <w:r w:rsidRPr="004A110B">
        <w:rPr>
          <w:color w:val="000000"/>
        </w:rPr>
        <w:t>Also, the Commission observed that the ingredient of discontent was the Local government structure that was so easily susceptible to malfunction.  Some of the councils were so poor in terms of revenue that they could not really discharge the statutory functions expected of them in terms of provision of amenities such as good roads, maternity homes, public toilets, etc. The situation has not changed much in 2005! More often than not, official monies were diverted into personal purses. Money laundering and embezzlement by officials are still the order of the day! Even in the present day 2005, some local government could only manage to pay just the staff salary annually, leaving nothing to be spent on provision of local amenities.</w:t>
      </w:r>
    </w:p>
    <w:p w:rsidR="00A600A6" w:rsidRDefault="00A600A6">
      <w:bookmarkStart w:id="0" w:name="_GoBack"/>
      <w:bookmarkEnd w:id="0"/>
    </w:p>
    <w:sectPr w:rsidR="00A600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1D2" w:rsidRDefault="003B51D2" w:rsidP="00872B10">
      <w:r>
        <w:separator/>
      </w:r>
    </w:p>
  </w:endnote>
  <w:endnote w:type="continuationSeparator" w:id="0">
    <w:p w:rsidR="003B51D2" w:rsidRDefault="003B51D2" w:rsidP="00872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1D2" w:rsidRDefault="003B51D2" w:rsidP="00872B10">
      <w:r>
        <w:separator/>
      </w:r>
    </w:p>
  </w:footnote>
  <w:footnote w:type="continuationSeparator" w:id="0">
    <w:p w:rsidR="003B51D2" w:rsidRDefault="003B51D2" w:rsidP="00872B10">
      <w:r>
        <w:continuationSeparator/>
      </w:r>
    </w:p>
  </w:footnote>
  <w:footnote w:id="1">
    <w:p w:rsidR="00872B10" w:rsidRPr="00E81D89" w:rsidRDefault="00872B10" w:rsidP="00872B10">
      <w:pPr>
        <w:pStyle w:val="FootnoteText"/>
        <w:ind w:left="-90"/>
        <w:jc w:val="both"/>
        <w:rPr>
          <w:sz w:val="24"/>
          <w:szCs w:val="24"/>
          <w:vertAlign w:val="superscript"/>
        </w:rPr>
      </w:pPr>
      <w:r w:rsidRPr="00E81D89">
        <w:rPr>
          <w:rStyle w:val="FootnoteReference"/>
        </w:rPr>
        <w:footnoteRef/>
      </w:r>
      <w:r w:rsidRPr="00E81D89">
        <w:rPr>
          <w:vertAlign w:val="superscript"/>
        </w:rPr>
        <w:t xml:space="preserve"> </w:t>
      </w:r>
      <w:r w:rsidRPr="00E81D89">
        <w:rPr>
          <w:rStyle w:val="EndnoteReference"/>
          <w:color w:val="000000"/>
          <w:sz w:val="24"/>
          <w:szCs w:val="24"/>
        </w:rPr>
        <w:t>Ayoola Commission Report, p.</w:t>
      </w:r>
      <w:r w:rsidRPr="00E81D89">
        <w:rPr>
          <w:color w:val="000000"/>
          <w:sz w:val="24"/>
          <w:szCs w:val="24"/>
          <w:vertAlign w:val="superscript"/>
        </w:rPr>
        <w:t xml:space="preserve"> 1.</w:t>
      </w:r>
    </w:p>
  </w:footnote>
  <w:footnote w:id="2">
    <w:p w:rsidR="00872B10" w:rsidRPr="00E81D89" w:rsidRDefault="00872B10" w:rsidP="00872B10">
      <w:pPr>
        <w:pStyle w:val="FootnoteText"/>
        <w:ind w:left="90" w:hanging="180"/>
        <w:jc w:val="both"/>
        <w:rPr>
          <w:sz w:val="24"/>
          <w:szCs w:val="24"/>
          <w:vertAlign w:val="superscript"/>
        </w:rPr>
      </w:pPr>
      <w:r w:rsidRPr="00E81D89">
        <w:rPr>
          <w:rStyle w:val="FootnoteReference"/>
          <w:sz w:val="24"/>
          <w:szCs w:val="24"/>
        </w:rPr>
        <w:footnoteRef/>
      </w:r>
      <w:r w:rsidRPr="00E81D89">
        <w:rPr>
          <w:sz w:val="24"/>
          <w:szCs w:val="24"/>
          <w:vertAlign w:val="superscript"/>
        </w:rPr>
        <w:t xml:space="preserve"> </w:t>
      </w:r>
      <w:r w:rsidRPr="00E81D89">
        <w:rPr>
          <w:color w:val="000000"/>
          <w:sz w:val="24"/>
          <w:szCs w:val="24"/>
          <w:vertAlign w:val="superscript"/>
        </w:rPr>
        <w:t xml:space="preserve">Ayoola Commission Report, p. 13. Governor </w:t>
      </w:r>
      <w:proofErr w:type="spellStart"/>
      <w:r w:rsidRPr="00E81D89">
        <w:rPr>
          <w:color w:val="000000"/>
          <w:sz w:val="24"/>
          <w:szCs w:val="24"/>
          <w:vertAlign w:val="superscript"/>
        </w:rPr>
        <w:t>Adeyinka</w:t>
      </w:r>
      <w:proofErr w:type="spellEnd"/>
      <w:r w:rsidRPr="00E81D89">
        <w:rPr>
          <w:color w:val="000000"/>
          <w:sz w:val="24"/>
          <w:szCs w:val="24"/>
          <w:vertAlign w:val="superscript"/>
        </w:rPr>
        <w:t xml:space="preserve"> Adebayo had almost forgotten about the Justice Ayoola Commission which he set up to address the farmer’s issues.</w:t>
      </w:r>
    </w:p>
  </w:footnote>
  <w:footnote w:id="3">
    <w:p w:rsidR="00872B10" w:rsidRPr="00E81D89" w:rsidRDefault="00872B10" w:rsidP="00872B10">
      <w:pPr>
        <w:pStyle w:val="FootnoteText"/>
        <w:ind w:left="-90"/>
        <w:jc w:val="both"/>
        <w:rPr>
          <w:sz w:val="24"/>
          <w:szCs w:val="24"/>
          <w:vertAlign w:val="superscript"/>
        </w:rPr>
      </w:pPr>
      <w:r w:rsidRPr="00E81D89">
        <w:rPr>
          <w:rStyle w:val="FootnoteReference"/>
          <w:sz w:val="24"/>
          <w:szCs w:val="24"/>
        </w:rPr>
        <w:footnoteRef/>
      </w:r>
      <w:r w:rsidRPr="00E81D89">
        <w:rPr>
          <w:sz w:val="24"/>
          <w:szCs w:val="24"/>
          <w:vertAlign w:val="superscript"/>
        </w:rPr>
        <w:t xml:space="preserve"> </w:t>
      </w:r>
      <w:r w:rsidRPr="00E81D89">
        <w:rPr>
          <w:color w:val="000000"/>
          <w:sz w:val="24"/>
          <w:szCs w:val="24"/>
          <w:vertAlign w:val="superscript"/>
        </w:rPr>
        <w:t>Ayoola Commission Report, p. 109.</w:t>
      </w:r>
    </w:p>
  </w:footnote>
  <w:footnote w:id="4">
    <w:p w:rsidR="00872B10" w:rsidRPr="00E81D89" w:rsidRDefault="00872B10" w:rsidP="00872B10">
      <w:pPr>
        <w:pStyle w:val="FootnoteText"/>
        <w:ind w:left="-90"/>
        <w:jc w:val="both"/>
        <w:rPr>
          <w:sz w:val="24"/>
          <w:szCs w:val="24"/>
          <w:vertAlign w:val="superscript"/>
        </w:rPr>
      </w:pPr>
      <w:r w:rsidRPr="00E81D89">
        <w:rPr>
          <w:rStyle w:val="FootnoteReference"/>
          <w:sz w:val="24"/>
          <w:szCs w:val="24"/>
        </w:rPr>
        <w:footnoteRef/>
      </w:r>
      <w:r w:rsidRPr="00E81D89">
        <w:rPr>
          <w:sz w:val="24"/>
          <w:szCs w:val="24"/>
          <w:vertAlign w:val="superscript"/>
        </w:rPr>
        <w:t xml:space="preserve"> </w:t>
      </w:r>
      <w:r w:rsidRPr="00E81D89">
        <w:rPr>
          <w:color w:val="000000"/>
          <w:sz w:val="24"/>
          <w:szCs w:val="24"/>
          <w:vertAlign w:val="superscript"/>
        </w:rPr>
        <w:t>Ayoola Commission Report, p. 13.</w:t>
      </w:r>
    </w:p>
  </w:footnote>
  <w:footnote w:id="5">
    <w:p w:rsidR="00872B10" w:rsidRPr="00E81D89" w:rsidRDefault="00872B10" w:rsidP="00872B10">
      <w:pPr>
        <w:pStyle w:val="FootnoteText"/>
        <w:ind w:left="-90"/>
        <w:jc w:val="both"/>
        <w:rPr>
          <w:sz w:val="24"/>
          <w:szCs w:val="24"/>
          <w:vertAlign w:val="superscript"/>
        </w:rPr>
      </w:pPr>
      <w:r w:rsidRPr="00E81D89">
        <w:rPr>
          <w:rStyle w:val="FootnoteReference"/>
          <w:sz w:val="24"/>
          <w:szCs w:val="24"/>
        </w:rPr>
        <w:footnoteRef/>
      </w:r>
      <w:r w:rsidRPr="00E81D89">
        <w:rPr>
          <w:sz w:val="24"/>
          <w:szCs w:val="24"/>
          <w:vertAlign w:val="superscript"/>
        </w:rPr>
        <w:t xml:space="preserve"> </w:t>
      </w:r>
      <w:r w:rsidRPr="00E81D89">
        <w:rPr>
          <w:color w:val="000000"/>
          <w:sz w:val="24"/>
          <w:szCs w:val="24"/>
          <w:vertAlign w:val="superscript"/>
        </w:rPr>
        <w:t>Ayoola Commission Report, p. 2.</w:t>
      </w:r>
    </w:p>
  </w:footnote>
  <w:footnote w:id="6">
    <w:p w:rsidR="00872B10" w:rsidRPr="00E81D89" w:rsidRDefault="00872B10" w:rsidP="00872B10">
      <w:pPr>
        <w:pStyle w:val="EndnoteText"/>
        <w:ind w:left="90" w:hanging="180"/>
        <w:jc w:val="both"/>
        <w:rPr>
          <w:color w:val="000000"/>
          <w:sz w:val="24"/>
          <w:szCs w:val="24"/>
          <w:vertAlign w:val="superscript"/>
        </w:rPr>
      </w:pPr>
      <w:r w:rsidRPr="00E81D89">
        <w:rPr>
          <w:rStyle w:val="FootnoteReference"/>
          <w:sz w:val="24"/>
          <w:szCs w:val="24"/>
        </w:rPr>
        <w:footnoteRef/>
      </w:r>
      <w:r w:rsidRPr="00E81D89">
        <w:rPr>
          <w:sz w:val="24"/>
          <w:szCs w:val="24"/>
          <w:vertAlign w:val="superscript"/>
        </w:rPr>
        <w:t xml:space="preserve"> </w:t>
      </w:r>
      <w:r w:rsidRPr="00E81D89">
        <w:rPr>
          <w:rStyle w:val="EndnoteReference"/>
          <w:color w:val="000000"/>
          <w:sz w:val="24"/>
          <w:szCs w:val="24"/>
        </w:rPr>
        <w:t>C. Beer. 1976. T</w:t>
      </w:r>
      <w:r w:rsidRPr="00E81D89">
        <w:rPr>
          <w:rStyle w:val="EndnoteReference"/>
          <w:i/>
          <w:color w:val="000000"/>
          <w:sz w:val="24"/>
          <w:szCs w:val="24"/>
        </w:rPr>
        <w:t xml:space="preserve">he Politics of Peasant Groups in Western Nigeria, </w:t>
      </w:r>
      <w:r w:rsidRPr="00E81D89">
        <w:rPr>
          <w:rStyle w:val="EndnoteReference"/>
          <w:color w:val="000000"/>
          <w:sz w:val="24"/>
          <w:szCs w:val="24"/>
        </w:rPr>
        <w:t>Ibadan: Ibadan University Press. p</w:t>
      </w:r>
      <w:r>
        <w:rPr>
          <w:color w:val="000000"/>
          <w:sz w:val="24"/>
          <w:szCs w:val="24"/>
          <w:vertAlign w:val="superscript"/>
        </w:rPr>
        <w:t xml:space="preserve">. 167. </w:t>
      </w:r>
      <w:r w:rsidRPr="00E81D89">
        <w:rPr>
          <w:color w:val="000000"/>
          <w:sz w:val="24"/>
          <w:szCs w:val="24"/>
          <w:vertAlign w:val="superscript"/>
        </w:rPr>
        <w:t xml:space="preserve"> Although the ex-Governor </w:t>
      </w:r>
      <w:proofErr w:type="spellStart"/>
      <w:r w:rsidRPr="00E81D89">
        <w:rPr>
          <w:color w:val="000000"/>
          <w:sz w:val="24"/>
          <w:szCs w:val="24"/>
          <w:vertAlign w:val="superscript"/>
        </w:rPr>
        <w:t>Adeyinka</w:t>
      </w:r>
      <w:proofErr w:type="spellEnd"/>
      <w:r w:rsidRPr="00E81D89">
        <w:rPr>
          <w:color w:val="000000"/>
          <w:sz w:val="24"/>
          <w:szCs w:val="24"/>
          <w:vertAlign w:val="superscript"/>
        </w:rPr>
        <w:t xml:space="preserve"> Adebayo too felt that some politicians whose names he refused to mention were behind the farmer’s agitation, Justice Ayoola ruled out the conspiracy theory. See also Ayoola Commission Rep</w:t>
      </w:r>
      <w:r>
        <w:rPr>
          <w:color w:val="000000"/>
          <w:sz w:val="24"/>
          <w:szCs w:val="24"/>
          <w:vertAlign w:val="superscript"/>
        </w:rPr>
        <w:t xml:space="preserve">ort, p. 5 where the </w:t>
      </w:r>
      <w:r w:rsidRPr="00E81D89">
        <w:rPr>
          <w:color w:val="000000"/>
          <w:sz w:val="24"/>
          <w:szCs w:val="24"/>
          <w:vertAlign w:val="superscript"/>
        </w:rPr>
        <w:t xml:space="preserve">probe panel was told at its opening in Ibadan that a prominent Ibadan lawyer, Chief A.M.F. </w:t>
      </w:r>
      <w:proofErr w:type="spellStart"/>
      <w:r w:rsidRPr="00E81D89">
        <w:rPr>
          <w:color w:val="000000"/>
          <w:sz w:val="24"/>
          <w:szCs w:val="24"/>
          <w:vertAlign w:val="superscript"/>
        </w:rPr>
        <w:t>Agbaje</w:t>
      </w:r>
      <w:proofErr w:type="spellEnd"/>
      <w:r w:rsidRPr="00E81D89">
        <w:rPr>
          <w:color w:val="000000"/>
          <w:sz w:val="24"/>
          <w:szCs w:val="24"/>
          <w:vertAlign w:val="superscript"/>
        </w:rPr>
        <w:t xml:space="preserve">, was the brain behind the anti-tax campaign in parts of Ibadan Division. See </w:t>
      </w:r>
      <w:r>
        <w:rPr>
          <w:color w:val="000000"/>
          <w:sz w:val="24"/>
          <w:szCs w:val="24"/>
          <w:vertAlign w:val="superscript"/>
        </w:rPr>
        <w:t xml:space="preserve">also </w:t>
      </w:r>
      <w:r w:rsidRPr="00E81D89">
        <w:rPr>
          <w:i/>
          <w:color w:val="000000"/>
          <w:sz w:val="24"/>
          <w:szCs w:val="24"/>
          <w:vertAlign w:val="superscript"/>
        </w:rPr>
        <w:t>Daily Times</w:t>
      </w:r>
      <w:r w:rsidRPr="00E81D89">
        <w:rPr>
          <w:color w:val="000000"/>
          <w:sz w:val="24"/>
          <w:szCs w:val="24"/>
          <w:vertAlign w:val="superscript"/>
        </w:rPr>
        <w:t xml:space="preserve">, January 23rd 1969. Allegation at Ayoola Probe: ‘Top Men behind Tax Riots; </w:t>
      </w:r>
      <w:proofErr w:type="spellStart"/>
      <w:r w:rsidRPr="00E81D89">
        <w:rPr>
          <w:color w:val="000000"/>
          <w:sz w:val="24"/>
          <w:szCs w:val="24"/>
          <w:vertAlign w:val="superscript"/>
        </w:rPr>
        <w:t>Agbaje</w:t>
      </w:r>
      <w:proofErr w:type="spellEnd"/>
      <w:r w:rsidRPr="00E81D89">
        <w:rPr>
          <w:color w:val="000000"/>
          <w:sz w:val="24"/>
          <w:szCs w:val="24"/>
          <w:vertAlign w:val="superscript"/>
        </w:rPr>
        <w:t xml:space="preserve"> named’. Front page.</w:t>
      </w:r>
    </w:p>
  </w:footnote>
  <w:footnote w:id="7">
    <w:p w:rsidR="00872B10" w:rsidRPr="00E81D89" w:rsidRDefault="00872B10" w:rsidP="00872B10">
      <w:pPr>
        <w:pStyle w:val="FootnoteText"/>
        <w:ind w:left="90" w:hanging="180"/>
        <w:jc w:val="both"/>
        <w:rPr>
          <w:sz w:val="24"/>
          <w:szCs w:val="24"/>
          <w:vertAlign w:val="superscript"/>
        </w:rPr>
      </w:pPr>
      <w:r w:rsidRPr="00E81D89">
        <w:rPr>
          <w:rStyle w:val="FootnoteReference"/>
          <w:sz w:val="24"/>
          <w:szCs w:val="24"/>
        </w:rPr>
        <w:footnoteRef/>
      </w:r>
      <w:r w:rsidRPr="00E81D89">
        <w:rPr>
          <w:sz w:val="24"/>
          <w:szCs w:val="24"/>
          <w:vertAlign w:val="superscript"/>
        </w:rPr>
        <w:t xml:space="preserve"> </w:t>
      </w:r>
      <w:r w:rsidRPr="00E81D89">
        <w:rPr>
          <w:i/>
          <w:color w:val="000000"/>
          <w:sz w:val="24"/>
          <w:szCs w:val="24"/>
          <w:vertAlign w:val="superscript"/>
        </w:rPr>
        <w:t>Daily Times</w:t>
      </w:r>
      <w:r w:rsidRPr="00E81D89">
        <w:rPr>
          <w:color w:val="000000"/>
          <w:sz w:val="24"/>
          <w:szCs w:val="24"/>
          <w:vertAlign w:val="superscript"/>
        </w:rPr>
        <w:t xml:space="preserve">, January 23rd 1969. P. 9. ‘Tax Probe Shifts to the Palace: </w:t>
      </w:r>
      <w:proofErr w:type="spellStart"/>
      <w:r w:rsidRPr="00E81D89">
        <w:rPr>
          <w:color w:val="000000"/>
          <w:sz w:val="24"/>
          <w:szCs w:val="24"/>
          <w:vertAlign w:val="superscript"/>
        </w:rPr>
        <w:t>Olubadan</w:t>
      </w:r>
      <w:proofErr w:type="spellEnd"/>
      <w:r w:rsidRPr="00E81D89">
        <w:rPr>
          <w:color w:val="000000"/>
          <w:sz w:val="24"/>
          <w:szCs w:val="24"/>
          <w:vertAlign w:val="superscript"/>
        </w:rPr>
        <w:t xml:space="preserve"> Testifies’. The wickedness of some council officials knew no bound; investigation carried out revealed that the riot was ignited when some arrested tax defaulters were asked to ‘face the sun’ at the top of the council offices.</w:t>
      </w:r>
      <w:r w:rsidRPr="00E81D89">
        <w:rPr>
          <w:i/>
          <w:color w:val="000000"/>
          <w:sz w:val="24"/>
          <w:szCs w:val="24"/>
          <w:vertAlign w:val="superscript"/>
        </w:rPr>
        <w:t xml:space="preserve"> </w:t>
      </w:r>
      <w:proofErr w:type="gramStart"/>
      <w:r w:rsidRPr="00E81D89">
        <w:rPr>
          <w:i/>
          <w:color w:val="000000"/>
          <w:sz w:val="24"/>
          <w:szCs w:val="24"/>
          <w:vertAlign w:val="superscript"/>
        </w:rPr>
        <w:t>See  Daily</w:t>
      </w:r>
      <w:proofErr w:type="gramEnd"/>
      <w:r w:rsidRPr="00E81D89">
        <w:rPr>
          <w:i/>
          <w:color w:val="000000"/>
          <w:sz w:val="24"/>
          <w:szCs w:val="24"/>
          <w:vertAlign w:val="superscript"/>
        </w:rPr>
        <w:t xml:space="preserve"> Times</w:t>
      </w:r>
      <w:r w:rsidRPr="00E81D89">
        <w:rPr>
          <w:color w:val="000000"/>
          <w:sz w:val="24"/>
          <w:szCs w:val="24"/>
          <w:vertAlign w:val="superscript"/>
        </w:rPr>
        <w:t>, 14th February, 1969. ‘22 held in Ogbomoso’. Front page.</w:t>
      </w:r>
    </w:p>
  </w:footnote>
  <w:footnote w:id="8">
    <w:p w:rsidR="00872B10" w:rsidRPr="00E81D89" w:rsidRDefault="00872B10" w:rsidP="00872B10">
      <w:pPr>
        <w:pStyle w:val="FootnoteText"/>
        <w:ind w:left="-90"/>
        <w:jc w:val="both"/>
        <w:rPr>
          <w:sz w:val="24"/>
          <w:szCs w:val="24"/>
          <w:vertAlign w:val="superscript"/>
        </w:rPr>
      </w:pPr>
      <w:r w:rsidRPr="00E81D89">
        <w:rPr>
          <w:rStyle w:val="FootnoteReference"/>
          <w:sz w:val="24"/>
          <w:szCs w:val="24"/>
        </w:rPr>
        <w:footnoteRef/>
      </w:r>
      <w:r w:rsidRPr="00E81D89">
        <w:rPr>
          <w:sz w:val="24"/>
          <w:szCs w:val="24"/>
          <w:vertAlign w:val="superscript"/>
        </w:rPr>
        <w:t xml:space="preserve"> </w:t>
      </w:r>
      <w:r w:rsidRPr="00E81D89">
        <w:rPr>
          <w:i/>
          <w:color w:val="000000"/>
          <w:sz w:val="24"/>
          <w:szCs w:val="24"/>
          <w:vertAlign w:val="superscript"/>
        </w:rPr>
        <w:t>Daily Times</w:t>
      </w:r>
      <w:r w:rsidRPr="00E81D89">
        <w:rPr>
          <w:color w:val="000000"/>
          <w:sz w:val="24"/>
          <w:szCs w:val="24"/>
          <w:vertAlign w:val="superscript"/>
        </w:rPr>
        <w:t>, 3rd February 1969, p. 3.</w:t>
      </w:r>
    </w:p>
  </w:footnote>
  <w:footnote w:id="9">
    <w:p w:rsidR="00872B10" w:rsidRPr="00E81D89" w:rsidRDefault="00872B10" w:rsidP="00872B10">
      <w:pPr>
        <w:pStyle w:val="FootnoteText"/>
        <w:ind w:left="90" w:hanging="180"/>
        <w:jc w:val="both"/>
        <w:rPr>
          <w:sz w:val="24"/>
          <w:szCs w:val="24"/>
          <w:vertAlign w:val="superscript"/>
        </w:rPr>
      </w:pPr>
      <w:r w:rsidRPr="00E81D89">
        <w:rPr>
          <w:rStyle w:val="FootnoteReference"/>
          <w:sz w:val="24"/>
          <w:szCs w:val="24"/>
        </w:rPr>
        <w:footnoteRef/>
      </w:r>
      <w:r w:rsidRPr="00E81D89">
        <w:rPr>
          <w:sz w:val="24"/>
          <w:szCs w:val="24"/>
          <w:vertAlign w:val="superscript"/>
        </w:rPr>
        <w:t xml:space="preserve"> </w:t>
      </w:r>
      <w:r w:rsidRPr="00E81D89">
        <w:rPr>
          <w:color w:val="000000"/>
          <w:sz w:val="24"/>
          <w:szCs w:val="24"/>
          <w:vertAlign w:val="superscript"/>
        </w:rPr>
        <w:t xml:space="preserve">Ayoola Commission Report, p. 167. ‘The body of </w:t>
      </w:r>
      <w:proofErr w:type="spellStart"/>
      <w:r w:rsidRPr="00E81D89">
        <w:rPr>
          <w:color w:val="000000"/>
          <w:sz w:val="24"/>
          <w:szCs w:val="24"/>
          <w:vertAlign w:val="superscript"/>
        </w:rPr>
        <w:t>Shoun</w:t>
      </w:r>
      <w:proofErr w:type="spellEnd"/>
      <w:r w:rsidRPr="00E81D89">
        <w:rPr>
          <w:color w:val="000000"/>
          <w:sz w:val="24"/>
          <w:szCs w:val="24"/>
          <w:vertAlign w:val="superscript"/>
        </w:rPr>
        <w:t xml:space="preserve"> of Ogbomoso was dismembered by a mob’. For more on the mob aggres</w:t>
      </w:r>
      <w:r>
        <w:rPr>
          <w:color w:val="000000"/>
          <w:sz w:val="24"/>
          <w:szCs w:val="24"/>
          <w:vertAlign w:val="superscript"/>
        </w:rPr>
        <w:t xml:space="preserve">sion against the </w:t>
      </w:r>
      <w:proofErr w:type="spellStart"/>
      <w:r>
        <w:rPr>
          <w:color w:val="000000"/>
          <w:sz w:val="24"/>
          <w:szCs w:val="24"/>
          <w:vertAlign w:val="superscript"/>
        </w:rPr>
        <w:t>Soun</w:t>
      </w:r>
      <w:proofErr w:type="spellEnd"/>
      <w:r>
        <w:rPr>
          <w:color w:val="000000"/>
          <w:sz w:val="24"/>
          <w:szCs w:val="24"/>
          <w:vertAlign w:val="superscript"/>
        </w:rPr>
        <w:t xml:space="preserve">, see </w:t>
      </w:r>
      <w:r w:rsidRPr="00DC5A37">
        <w:rPr>
          <w:i/>
          <w:color w:val="000000"/>
          <w:sz w:val="24"/>
          <w:szCs w:val="24"/>
          <w:vertAlign w:val="superscript"/>
        </w:rPr>
        <w:t>Nigerian Tribune</w:t>
      </w:r>
      <w:r w:rsidRPr="00E81D89">
        <w:rPr>
          <w:color w:val="000000"/>
          <w:sz w:val="24"/>
          <w:szCs w:val="24"/>
          <w:vertAlign w:val="superscript"/>
        </w:rPr>
        <w:t>, August, 12, 1969.</w:t>
      </w:r>
    </w:p>
  </w:footnote>
  <w:footnote w:id="10">
    <w:p w:rsidR="00872B10" w:rsidRPr="00E81D89" w:rsidRDefault="00872B10" w:rsidP="00872B10">
      <w:pPr>
        <w:pStyle w:val="FootnoteText"/>
        <w:ind w:left="90" w:hanging="180"/>
        <w:jc w:val="both"/>
        <w:rPr>
          <w:sz w:val="24"/>
          <w:szCs w:val="24"/>
          <w:vertAlign w:val="superscript"/>
        </w:rPr>
      </w:pPr>
      <w:r w:rsidRPr="00E81D89">
        <w:rPr>
          <w:rStyle w:val="FootnoteReference"/>
          <w:sz w:val="24"/>
          <w:szCs w:val="24"/>
        </w:rPr>
        <w:footnoteRef/>
      </w:r>
      <w:r w:rsidRPr="00E81D89">
        <w:rPr>
          <w:sz w:val="24"/>
          <w:szCs w:val="24"/>
          <w:vertAlign w:val="superscript"/>
        </w:rPr>
        <w:t xml:space="preserve"> </w:t>
      </w:r>
      <w:r w:rsidRPr="00E81D89">
        <w:rPr>
          <w:color w:val="000000"/>
          <w:sz w:val="24"/>
          <w:szCs w:val="24"/>
          <w:vertAlign w:val="superscript"/>
        </w:rPr>
        <w:t xml:space="preserve">G. William, 1980, State and Society in Nigeria. </w:t>
      </w:r>
      <w:proofErr w:type="spellStart"/>
      <w:r w:rsidRPr="00E81D89">
        <w:rPr>
          <w:color w:val="000000"/>
          <w:sz w:val="24"/>
          <w:szCs w:val="24"/>
          <w:vertAlign w:val="superscript"/>
        </w:rPr>
        <w:t>Afrografika</w:t>
      </w:r>
      <w:proofErr w:type="spellEnd"/>
      <w:r w:rsidRPr="00E81D89">
        <w:rPr>
          <w:color w:val="000000"/>
          <w:sz w:val="24"/>
          <w:szCs w:val="24"/>
          <w:vertAlign w:val="superscript"/>
        </w:rPr>
        <w:t xml:space="preserve">, Ondo, p. 125. For instance, Daily Times Newspaper reported that over 2,000 men, armed with dangerous weapons, stormed the palace of Oba </w:t>
      </w:r>
      <w:proofErr w:type="spellStart"/>
      <w:r w:rsidRPr="00E81D89">
        <w:rPr>
          <w:color w:val="000000"/>
          <w:sz w:val="24"/>
          <w:szCs w:val="24"/>
          <w:vertAlign w:val="superscript"/>
        </w:rPr>
        <w:t>Adetayo</w:t>
      </w:r>
      <w:proofErr w:type="spellEnd"/>
      <w:r w:rsidRPr="00E81D89">
        <w:rPr>
          <w:color w:val="000000"/>
          <w:sz w:val="24"/>
          <w:szCs w:val="24"/>
          <w:vertAlign w:val="superscript"/>
        </w:rPr>
        <w:t xml:space="preserve"> Sami, the </w:t>
      </w:r>
      <w:proofErr w:type="spellStart"/>
      <w:r w:rsidRPr="00E81D89">
        <w:rPr>
          <w:color w:val="000000"/>
          <w:sz w:val="24"/>
          <w:szCs w:val="24"/>
          <w:vertAlign w:val="superscript"/>
        </w:rPr>
        <w:t>Orimolusi</w:t>
      </w:r>
      <w:proofErr w:type="spellEnd"/>
      <w:r w:rsidRPr="00E81D89">
        <w:rPr>
          <w:color w:val="000000"/>
          <w:sz w:val="24"/>
          <w:szCs w:val="24"/>
          <w:vertAlign w:val="superscript"/>
        </w:rPr>
        <w:t xml:space="preserve"> of </w:t>
      </w:r>
      <w:proofErr w:type="spellStart"/>
      <w:r w:rsidRPr="00E81D89">
        <w:rPr>
          <w:color w:val="000000"/>
          <w:sz w:val="24"/>
          <w:szCs w:val="24"/>
          <w:vertAlign w:val="superscript"/>
        </w:rPr>
        <w:t>Ijebu</w:t>
      </w:r>
      <w:proofErr w:type="spellEnd"/>
      <w:r w:rsidRPr="00E81D89">
        <w:rPr>
          <w:color w:val="000000"/>
          <w:sz w:val="24"/>
          <w:szCs w:val="24"/>
          <w:vertAlign w:val="superscript"/>
        </w:rPr>
        <w:t xml:space="preserve">-Igbo, and damaged valuable properties. See the front page of </w:t>
      </w:r>
      <w:r w:rsidRPr="00E81D89">
        <w:rPr>
          <w:i/>
          <w:color w:val="000000"/>
          <w:sz w:val="24"/>
          <w:szCs w:val="24"/>
          <w:vertAlign w:val="superscript"/>
        </w:rPr>
        <w:t>Daily Times</w:t>
      </w:r>
      <w:r w:rsidRPr="00E81D89">
        <w:rPr>
          <w:color w:val="000000"/>
          <w:sz w:val="24"/>
          <w:szCs w:val="24"/>
          <w:vertAlign w:val="superscript"/>
        </w:rPr>
        <w:t xml:space="preserve">, 17th of December, 1968. See also </w:t>
      </w:r>
      <w:r w:rsidRPr="00DC5A37">
        <w:rPr>
          <w:i/>
          <w:color w:val="000000"/>
          <w:sz w:val="24"/>
          <w:szCs w:val="24"/>
          <w:vertAlign w:val="superscript"/>
        </w:rPr>
        <w:t>Daily Times</w:t>
      </w:r>
      <w:r w:rsidRPr="00E81D89">
        <w:rPr>
          <w:color w:val="000000"/>
          <w:sz w:val="24"/>
          <w:szCs w:val="24"/>
          <w:vertAlign w:val="superscript"/>
        </w:rPr>
        <w:t>, 26th January 1969, p. 3.</w:t>
      </w:r>
    </w:p>
  </w:footnote>
  <w:footnote w:id="11">
    <w:p w:rsidR="00872B10" w:rsidRPr="00E81D89" w:rsidRDefault="00872B10" w:rsidP="00872B10">
      <w:pPr>
        <w:pStyle w:val="FootnoteText"/>
        <w:ind w:left="-90"/>
        <w:jc w:val="both"/>
        <w:rPr>
          <w:sz w:val="24"/>
          <w:szCs w:val="24"/>
          <w:vertAlign w:val="superscript"/>
        </w:rPr>
      </w:pPr>
      <w:r w:rsidRPr="00E81D89">
        <w:rPr>
          <w:rStyle w:val="FootnoteReference"/>
          <w:sz w:val="24"/>
          <w:szCs w:val="24"/>
        </w:rPr>
        <w:footnoteRef/>
      </w:r>
      <w:r w:rsidRPr="00E81D89">
        <w:rPr>
          <w:sz w:val="24"/>
          <w:szCs w:val="24"/>
          <w:vertAlign w:val="superscript"/>
        </w:rPr>
        <w:t xml:space="preserve"> </w:t>
      </w:r>
      <w:r w:rsidRPr="00E81D89">
        <w:rPr>
          <w:i/>
          <w:color w:val="000000"/>
          <w:sz w:val="24"/>
          <w:szCs w:val="24"/>
          <w:vertAlign w:val="superscript"/>
        </w:rPr>
        <w:t>Daily times</w:t>
      </w:r>
      <w:r w:rsidRPr="00E81D89">
        <w:rPr>
          <w:color w:val="000000"/>
          <w:sz w:val="24"/>
          <w:szCs w:val="24"/>
          <w:vertAlign w:val="superscript"/>
        </w:rPr>
        <w:t>, 26th January 1969, p. 3. ‘School grant caused Oyo tax riot, witness tell Ayoola probe’.</w:t>
      </w:r>
    </w:p>
  </w:footnote>
  <w:footnote w:id="12">
    <w:p w:rsidR="00872B10" w:rsidRPr="00E81D89" w:rsidRDefault="00872B10" w:rsidP="00872B10">
      <w:pPr>
        <w:pStyle w:val="FootnoteText"/>
        <w:ind w:left="-90"/>
        <w:jc w:val="both"/>
        <w:rPr>
          <w:sz w:val="24"/>
          <w:szCs w:val="24"/>
          <w:vertAlign w:val="superscript"/>
        </w:rPr>
      </w:pPr>
      <w:r w:rsidRPr="00E81D89">
        <w:rPr>
          <w:rStyle w:val="FootnoteReference"/>
          <w:sz w:val="24"/>
          <w:szCs w:val="24"/>
        </w:rPr>
        <w:footnoteRef/>
      </w:r>
      <w:r w:rsidRPr="00E81D89">
        <w:rPr>
          <w:sz w:val="24"/>
          <w:szCs w:val="24"/>
          <w:vertAlign w:val="superscript"/>
        </w:rPr>
        <w:t xml:space="preserve"> </w:t>
      </w:r>
      <w:r w:rsidRPr="00E81D89">
        <w:rPr>
          <w:color w:val="000000"/>
          <w:sz w:val="24"/>
          <w:szCs w:val="24"/>
          <w:vertAlign w:val="superscript"/>
        </w:rPr>
        <w:t>Ayoola Commission Report, p. 83 &amp; 84.</w:t>
      </w:r>
    </w:p>
  </w:footnote>
  <w:footnote w:id="13">
    <w:p w:rsidR="00872B10" w:rsidRPr="00E81D89" w:rsidRDefault="00872B10" w:rsidP="00872B10">
      <w:pPr>
        <w:pStyle w:val="FootnoteText"/>
        <w:ind w:left="-90"/>
        <w:jc w:val="both"/>
        <w:rPr>
          <w:sz w:val="24"/>
          <w:szCs w:val="24"/>
          <w:vertAlign w:val="superscript"/>
        </w:rPr>
      </w:pPr>
      <w:r w:rsidRPr="00E81D89">
        <w:rPr>
          <w:rStyle w:val="FootnoteReference"/>
          <w:sz w:val="24"/>
          <w:szCs w:val="24"/>
        </w:rPr>
        <w:footnoteRef/>
      </w:r>
      <w:r w:rsidRPr="00E81D89">
        <w:rPr>
          <w:sz w:val="24"/>
          <w:szCs w:val="24"/>
          <w:vertAlign w:val="superscript"/>
        </w:rPr>
        <w:t xml:space="preserve"> </w:t>
      </w:r>
      <w:r w:rsidRPr="00E81D89">
        <w:rPr>
          <w:color w:val="000000"/>
          <w:sz w:val="24"/>
          <w:szCs w:val="24"/>
          <w:vertAlign w:val="superscript"/>
        </w:rPr>
        <w:t>Ayoola Commission Report, p. 112.</w:t>
      </w:r>
    </w:p>
  </w:footnote>
  <w:footnote w:id="14">
    <w:p w:rsidR="00872B10" w:rsidRPr="00E81D89" w:rsidRDefault="00872B10" w:rsidP="00872B10">
      <w:pPr>
        <w:pStyle w:val="FootnoteText"/>
        <w:ind w:left="-90"/>
        <w:jc w:val="both"/>
        <w:rPr>
          <w:sz w:val="24"/>
          <w:szCs w:val="24"/>
          <w:vertAlign w:val="superscript"/>
        </w:rPr>
      </w:pPr>
      <w:r w:rsidRPr="00E81D89">
        <w:rPr>
          <w:rStyle w:val="FootnoteReference"/>
          <w:sz w:val="24"/>
          <w:szCs w:val="24"/>
        </w:rPr>
        <w:footnoteRef/>
      </w:r>
      <w:r w:rsidRPr="00E81D89">
        <w:rPr>
          <w:sz w:val="24"/>
          <w:szCs w:val="24"/>
          <w:vertAlign w:val="superscript"/>
        </w:rPr>
        <w:t xml:space="preserve"> </w:t>
      </w:r>
      <w:r w:rsidRPr="00E81D89">
        <w:rPr>
          <w:color w:val="000000"/>
          <w:sz w:val="24"/>
          <w:szCs w:val="24"/>
          <w:vertAlign w:val="superscript"/>
        </w:rPr>
        <w:t>Ayoola Commission Report, p. 110.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B10"/>
    <w:rsid w:val="00101360"/>
    <w:rsid w:val="003B51D2"/>
    <w:rsid w:val="00872B10"/>
    <w:rsid w:val="00A600A6"/>
    <w:rsid w:val="00D33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31CC07-3745-474D-AB57-46EF5297D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B1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1"/>
    <w:uiPriority w:val="99"/>
    <w:semiHidden/>
    <w:rsid w:val="00872B10"/>
    <w:rPr>
      <w:sz w:val="20"/>
      <w:szCs w:val="20"/>
    </w:rPr>
  </w:style>
  <w:style w:type="character" w:customStyle="1" w:styleId="EndnoteTextChar">
    <w:name w:val="Endnote Text Char"/>
    <w:basedOn w:val="DefaultParagraphFont"/>
    <w:uiPriority w:val="99"/>
    <w:semiHidden/>
    <w:rsid w:val="00872B10"/>
    <w:rPr>
      <w:rFonts w:ascii="Times New Roman" w:eastAsia="Times New Roman" w:hAnsi="Times New Roman" w:cs="Times New Roman"/>
      <w:sz w:val="20"/>
      <w:szCs w:val="20"/>
    </w:rPr>
  </w:style>
  <w:style w:type="character" w:styleId="EndnoteReference">
    <w:name w:val="endnote reference"/>
    <w:basedOn w:val="DefaultParagraphFont"/>
    <w:uiPriority w:val="99"/>
    <w:semiHidden/>
    <w:rsid w:val="00872B10"/>
    <w:rPr>
      <w:vertAlign w:val="superscript"/>
    </w:rPr>
  </w:style>
  <w:style w:type="character" w:styleId="FootnoteReference">
    <w:name w:val="footnote reference"/>
    <w:basedOn w:val="DefaultParagraphFont"/>
    <w:semiHidden/>
    <w:rsid w:val="00872B10"/>
    <w:rPr>
      <w:vertAlign w:val="superscript"/>
    </w:rPr>
  </w:style>
  <w:style w:type="paragraph" w:styleId="FootnoteText">
    <w:name w:val="footnote text"/>
    <w:basedOn w:val="Normal"/>
    <w:link w:val="FootnoteTextChar"/>
    <w:uiPriority w:val="99"/>
    <w:semiHidden/>
    <w:rsid w:val="00872B10"/>
    <w:rPr>
      <w:sz w:val="20"/>
      <w:szCs w:val="20"/>
    </w:rPr>
  </w:style>
  <w:style w:type="character" w:customStyle="1" w:styleId="FootnoteTextChar">
    <w:name w:val="Footnote Text Char"/>
    <w:basedOn w:val="DefaultParagraphFont"/>
    <w:link w:val="FootnoteText"/>
    <w:uiPriority w:val="99"/>
    <w:semiHidden/>
    <w:rsid w:val="00872B10"/>
    <w:rPr>
      <w:rFonts w:ascii="Times New Roman" w:eastAsia="Times New Roman" w:hAnsi="Times New Roman" w:cs="Times New Roman"/>
      <w:sz w:val="20"/>
      <w:szCs w:val="20"/>
    </w:rPr>
  </w:style>
  <w:style w:type="character" w:customStyle="1" w:styleId="EndnoteTextChar1">
    <w:name w:val="Endnote Text Char1"/>
    <w:basedOn w:val="DefaultParagraphFont"/>
    <w:link w:val="EndnoteText"/>
    <w:uiPriority w:val="99"/>
    <w:semiHidden/>
    <w:rsid w:val="00872B10"/>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1406</Words>
  <Characters>8019</Characters>
  <Application>Microsoft Office Word</Application>
  <DocSecurity>0</DocSecurity>
  <Lines>66</Lines>
  <Paragraphs>18</Paragraphs>
  <ScaleCrop>false</ScaleCrop>
  <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2021-01-27T12:05:00Z</dcterms:created>
  <dcterms:modified xsi:type="dcterms:W3CDTF">2021-01-27T12:06:00Z</dcterms:modified>
</cp:coreProperties>
</file>