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B12" w:rsidRDefault="005E0B12" w:rsidP="005E0B12">
      <w:pPr>
        <w:jc w:val="center"/>
        <w:rPr>
          <w:b/>
        </w:rPr>
      </w:pPr>
    </w:p>
    <w:p w:rsidR="005E0B12" w:rsidRDefault="005E0B12" w:rsidP="005E0B12">
      <w:pPr>
        <w:jc w:val="center"/>
        <w:rPr>
          <w:b/>
        </w:rPr>
      </w:pPr>
      <w:r>
        <w:rPr>
          <w:b/>
        </w:rPr>
        <w:t xml:space="preserve">GENDER ACCESS TO URBAN </w:t>
      </w:r>
      <w:r w:rsidRPr="002F3CAF">
        <w:rPr>
          <w:b/>
        </w:rPr>
        <w:t>RESIDENTIAL LAND</w:t>
      </w:r>
      <w:r>
        <w:rPr>
          <w:b/>
        </w:rPr>
        <w:t xml:space="preserve"> AND LEGAL SECURITY OF TENURE: A REVIEW </w:t>
      </w:r>
      <w:r w:rsidRPr="002F3CAF">
        <w:rPr>
          <w:b/>
        </w:rPr>
        <w:t>OF LITERATURE</w:t>
      </w:r>
    </w:p>
    <w:p w:rsidR="005E0B12" w:rsidRDefault="005E0B12" w:rsidP="005E0B12"/>
    <w:p w:rsidR="005E0B12" w:rsidRDefault="005E0B12" w:rsidP="005E0B12"/>
    <w:p w:rsidR="005E0B12" w:rsidRPr="0031521E" w:rsidRDefault="005E0B12" w:rsidP="005E0B12">
      <w:pPr>
        <w:pStyle w:val="NoSpacing"/>
        <w:jc w:val="center"/>
        <w:rPr>
          <w:rFonts w:ascii="Times New Roman" w:hAnsi="Times New Roman"/>
          <w:b/>
          <w:sz w:val="24"/>
          <w:szCs w:val="24"/>
        </w:rPr>
      </w:pPr>
      <w:r>
        <w:rPr>
          <w:rFonts w:ascii="Times New Roman" w:hAnsi="Times New Roman"/>
          <w:b/>
          <w:sz w:val="24"/>
          <w:szCs w:val="24"/>
        </w:rPr>
        <w:t xml:space="preserve">J.A.B. </w:t>
      </w:r>
      <w:proofErr w:type="spellStart"/>
      <w:r>
        <w:rPr>
          <w:rFonts w:ascii="Times New Roman" w:hAnsi="Times New Roman"/>
          <w:b/>
          <w:sz w:val="24"/>
          <w:szCs w:val="24"/>
        </w:rPr>
        <w:t>Olujimi</w:t>
      </w:r>
      <w:proofErr w:type="spellEnd"/>
      <w:r>
        <w:rPr>
          <w:rFonts w:ascii="Times New Roman" w:hAnsi="Times New Roman"/>
          <w:b/>
          <w:sz w:val="24"/>
          <w:szCs w:val="24"/>
        </w:rPr>
        <w:t xml:space="preserve"> </w:t>
      </w:r>
      <w:r w:rsidRPr="0031521E">
        <w:rPr>
          <w:rFonts w:ascii="Times New Roman" w:hAnsi="Times New Roman"/>
          <w:b/>
          <w:sz w:val="24"/>
          <w:szCs w:val="24"/>
        </w:rPr>
        <w:t xml:space="preserve">and </w:t>
      </w:r>
      <w:r>
        <w:rPr>
          <w:rFonts w:ascii="Times New Roman" w:hAnsi="Times New Roman"/>
          <w:b/>
          <w:sz w:val="24"/>
          <w:szCs w:val="24"/>
        </w:rPr>
        <w:t>Abdul-</w:t>
      </w:r>
      <w:proofErr w:type="spellStart"/>
      <w:r>
        <w:rPr>
          <w:rFonts w:ascii="Times New Roman" w:hAnsi="Times New Roman"/>
          <w:b/>
          <w:sz w:val="24"/>
          <w:szCs w:val="24"/>
        </w:rPr>
        <w:t>Lateef</w:t>
      </w:r>
      <w:proofErr w:type="spellEnd"/>
      <w:r>
        <w:rPr>
          <w:rFonts w:ascii="Times New Roman" w:hAnsi="Times New Roman"/>
          <w:b/>
          <w:sz w:val="24"/>
          <w:szCs w:val="24"/>
        </w:rPr>
        <w:t xml:space="preserve"> </w:t>
      </w:r>
      <w:proofErr w:type="spellStart"/>
      <w:r>
        <w:rPr>
          <w:rFonts w:ascii="Times New Roman" w:hAnsi="Times New Roman"/>
          <w:b/>
          <w:sz w:val="24"/>
          <w:szCs w:val="24"/>
        </w:rPr>
        <w:t>Iyanda</w:t>
      </w:r>
      <w:proofErr w:type="spellEnd"/>
      <w:r>
        <w:rPr>
          <w:rFonts w:ascii="Times New Roman" w:hAnsi="Times New Roman"/>
          <w:b/>
          <w:sz w:val="24"/>
          <w:szCs w:val="24"/>
        </w:rPr>
        <w:t xml:space="preserve"> </w:t>
      </w:r>
      <w:proofErr w:type="spellStart"/>
      <w:r>
        <w:rPr>
          <w:rFonts w:ascii="Times New Roman" w:hAnsi="Times New Roman"/>
          <w:b/>
          <w:sz w:val="24"/>
          <w:szCs w:val="24"/>
        </w:rPr>
        <w:t>Bako</w:t>
      </w:r>
      <w:proofErr w:type="spellEnd"/>
      <w:r w:rsidRPr="0031521E">
        <w:rPr>
          <w:rFonts w:ascii="Times New Roman" w:hAnsi="Times New Roman"/>
          <w:b/>
          <w:sz w:val="24"/>
          <w:szCs w:val="24"/>
        </w:rPr>
        <w:t xml:space="preserve"> </w:t>
      </w:r>
    </w:p>
    <w:p w:rsidR="005E0B12" w:rsidRPr="0031521E" w:rsidRDefault="005E0B12" w:rsidP="005E0B12">
      <w:pPr>
        <w:pStyle w:val="NoSpacing"/>
        <w:jc w:val="center"/>
        <w:rPr>
          <w:rFonts w:ascii="Times New Roman" w:hAnsi="Times New Roman"/>
          <w:sz w:val="24"/>
          <w:szCs w:val="24"/>
        </w:rPr>
      </w:pPr>
      <w:r w:rsidRPr="0031521E">
        <w:rPr>
          <w:rFonts w:ascii="Times New Roman" w:hAnsi="Times New Roman"/>
          <w:sz w:val="24"/>
          <w:szCs w:val="24"/>
        </w:rPr>
        <w:t>Department</w:t>
      </w:r>
      <w:r>
        <w:rPr>
          <w:rFonts w:ascii="Times New Roman" w:hAnsi="Times New Roman"/>
          <w:sz w:val="24"/>
          <w:szCs w:val="24"/>
        </w:rPr>
        <w:t xml:space="preserve"> of Urban and Regional Planning</w:t>
      </w:r>
    </w:p>
    <w:p w:rsidR="005E0B12" w:rsidRPr="0031521E" w:rsidRDefault="005E0B12" w:rsidP="005E0B12">
      <w:pPr>
        <w:pStyle w:val="NoSpacing"/>
        <w:jc w:val="center"/>
        <w:rPr>
          <w:rFonts w:ascii="Times New Roman" w:hAnsi="Times New Roman"/>
          <w:sz w:val="24"/>
          <w:szCs w:val="24"/>
        </w:rPr>
      </w:pPr>
      <w:r>
        <w:rPr>
          <w:rFonts w:ascii="Times New Roman" w:hAnsi="Times New Roman"/>
          <w:sz w:val="24"/>
          <w:szCs w:val="24"/>
        </w:rPr>
        <w:t>School of Environmental Technology</w:t>
      </w:r>
    </w:p>
    <w:p w:rsidR="005E0B12" w:rsidRPr="0031521E" w:rsidRDefault="005E0B12" w:rsidP="005E0B12">
      <w:pPr>
        <w:pStyle w:val="NoSpacing"/>
        <w:jc w:val="center"/>
        <w:rPr>
          <w:rFonts w:ascii="Times New Roman" w:hAnsi="Times New Roman"/>
          <w:sz w:val="24"/>
          <w:szCs w:val="24"/>
        </w:rPr>
      </w:pPr>
      <w:r>
        <w:rPr>
          <w:rFonts w:ascii="Times New Roman" w:hAnsi="Times New Roman"/>
          <w:sz w:val="24"/>
          <w:szCs w:val="24"/>
        </w:rPr>
        <w:t xml:space="preserve">Federal </w:t>
      </w:r>
      <w:r w:rsidRPr="0031521E">
        <w:rPr>
          <w:rFonts w:ascii="Times New Roman" w:hAnsi="Times New Roman"/>
          <w:sz w:val="24"/>
          <w:szCs w:val="24"/>
        </w:rPr>
        <w:t xml:space="preserve">University of </w:t>
      </w:r>
      <w:r>
        <w:rPr>
          <w:rFonts w:ascii="Times New Roman" w:hAnsi="Times New Roman"/>
          <w:sz w:val="24"/>
          <w:szCs w:val="24"/>
        </w:rPr>
        <w:t>Technology</w:t>
      </w:r>
    </w:p>
    <w:p w:rsidR="005E0B12" w:rsidRPr="0031521E" w:rsidRDefault="005E0B12" w:rsidP="005E0B12">
      <w:pPr>
        <w:pStyle w:val="NoSpacing"/>
        <w:jc w:val="center"/>
        <w:rPr>
          <w:rFonts w:ascii="Times New Roman" w:hAnsi="Times New Roman"/>
          <w:sz w:val="24"/>
          <w:szCs w:val="24"/>
        </w:rPr>
      </w:pPr>
      <w:proofErr w:type="spellStart"/>
      <w:r>
        <w:rPr>
          <w:rFonts w:ascii="Times New Roman" w:hAnsi="Times New Roman"/>
          <w:sz w:val="24"/>
          <w:szCs w:val="24"/>
        </w:rPr>
        <w:t>Akure</w:t>
      </w:r>
      <w:proofErr w:type="spellEnd"/>
      <w:r w:rsidRPr="0031521E">
        <w:rPr>
          <w:rFonts w:ascii="Times New Roman" w:hAnsi="Times New Roman"/>
          <w:sz w:val="24"/>
          <w:szCs w:val="24"/>
        </w:rPr>
        <w:t>, Niger</w:t>
      </w:r>
      <w:r>
        <w:rPr>
          <w:rFonts w:ascii="Times New Roman" w:hAnsi="Times New Roman"/>
          <w:sz w:val="24"/>
          <w:szCs w:val="24"/>
        </w:rPr>
        <w:t>ia</w:t>
      </w:r>
    </w:p>
    <w:p w:rsidR="005E0B12" w:rsidRDefault="005E0B12" w:rsidP="005E0B12">
      <w:pPr>
        <w:widowControl w:val="0"/>
        <w:autoSpaceDE w:val="0"/>
        <w:autoSpaceDN w:val="0"/>
        <w:adjustRightInd w:val="0"/>
        <w:jc w:val="both"/>
        <w:rPr>
          <w:b/>
          <w:bCs/>
        </w:rPr>
      </w:pPr>
    </w:p>
    <w:p w:rsidR="005E0B12" w:rsidRDefault="005E0B12" w:rsidP="005E0B12">
      <w:pPr>
        <w:widowControl w:val="0"/>
        <w:autoSpaceDE w:val="0"/>
        <w:autoSpaceDN w:val="0"/>
        <w:adjustRightInd w:val="0"/>
        <w:jc w:val="both"/>
        <w:rPr>
          <w:b/>
          <w:bCs/>
        </w:rPr>
      </w:pPr>
    </w:p>
    <w:p w:rsidR="005E0B12" w:rsidRPr="00BB2CFA" w:rsidRDefault="005E0B12" w:rsidP="005E0B12">
      <w:pPr>
        <w:jc w:val="both"/>
        <w:rPr>
          <w:b/>
        </w:rPr>
      </w:pPr>
      <w:r w:rsidRPr="00BB2CFA">
        <w:rPr>
          <w:b/>
        </w:rPr>
        <w:t>Introduction</w:t>
      </w:r>
    </w:p>
    <w:p w:rsidR="005E0B12" w:rsidRDefault="005E0B12" w:rsidP="005E0B12">
      <w:pPr>
        <w:jc w:val="both"/>
      </w:pPr>
      <w:r w:rsidRPr="002F3CAF">
        <w:tab/>
      </w:r>
    </w:p>
    <w:p w:rsidR="005E0B12" w:rsidRDefault="005E0B12" w:rsidP="005E0B12">
      <w:pPr>
        <w:ind w:firstLine="720"/>
        <w:jc w:val="both"/>
      </w:pPr>
      <w:r w:rsidRPr="00952B80">
        <w:t>Land can be defined as the total solid crust of the earth surface, including those features permanently attached (by nature) such as forest, hills, valleys and water bodies up to the sky (air space) and also the resources found therein (</w:t>
      </w:r>
      <w:proofErr w:type="spellStart"/>
      <w:r w:rsidRPr="00952B80">
        <w:t>Gaddy</w:t>
      </w:r>
      <w:proofErr w:type="spellEnd"/>
      <w:r w:rsidRPr="00952B80">
        <w:t xml:space="preserve"> and Hart, 1993).  As the foundation of all forms of human activities, food, shelter and space for other activities are obtained from land.  As rightly observed by </w:t>
      </w:r>
      <w:proofErr w:type="spellStart"/>
      <w:r w:rsidRPr="00952B80">
        <w:t>Gamu</w:t>
      </w:r>
      <w:proofErr w:type="spellEnd"/>
      <w:r w:rsidRPr="00952B80">
        <w:t xml:space="preserve"> (2003), nothing is achievable without land, and if its management in terms of delineation, distribution, accessibility, ownership, uses and control are very problematic, </w:t>
      </w:r>
      <w:proofErr w:type="gramStart"/>
      <w:r w:rsidRPr="00952B80">
        <w:t>then</w:t>
      </w:r>
      <w:proofErr w:type="gramEnd"/>
      <w:r w:rsidRPr="00952B80">
        <w:t xml:space="preserve"> the populace will find it difficult to develop in several spheres. Consequently, land and land resources need to be properly harnessed and managed to sustain current needs and ensure adequate provision for future generation (</w:t>
      </w:r>
      <w:proofErr w:type="spellStart"/>
      <w:r w:rsidRPr="00952B80">
        <w:t>Ibidapo-Obe</w:t>
      </w:r>
      <w:proofErr w:type="spellEnd"/>
      <w:r w:rsidRPr="00952B80">
        <w:t>, 2003).</w:t>
      </w:r>
    </w:p>
    <w:p w:rsidR="005E0B12" w:rsidRDefault="005E0B12" w:rsidP="005E0B12">
      <w:pPr>
        <w:ind w:firstLine="720"/>
        <w:jc w:val="both"/>
      </w:pPr>
      <w:r w:rsidRPr="00952B80">
        <w:t>The phrase “legal security of tenure” is an amalgam of two terms: “legal security” and “tenure”.  According to the Chambers 20</w:t>
      </w:r>
      <w:r w:rsidRPr="00952B80">
        <w:rPr>
          <w:vertAlign w:val="superscript"/>
        </w:rPr>
        <w:t>th</w:t>
      </w:r>
      <w:r w:rsidRPr="00952B80">
        <w:t xml:space="preserve"> Century Dictionary, “legal security” means protection offered to a person under the law in a given circumstance and over a particular subject-matter.  On the other hand, “tenure” can be described as a person’s holding, or interest in a thing (e.g. land, housing, office, etc) for an assumed length of time. It includes the conditions of which such a thing is held (</w:t>
      </w:r>
      <w:proofErr w:type="spellStart"/>
      <w:r w:rsidRPr="00952B80">
        <w:t>Ughochukwu</w:t>
      </w:r>
      <w:proofErr w:type="spellEnd"/>
      <w:r w:rsidRPr="00952B80">
        <w:t xml:space="preserve">, 2001). Implicit in the phrase, “legal security of tenure”, </w:t>
      </w:r>
      <w:proofErr w:type="spellStart"/>
      <w:r w:rsidRPr="00952B80">
        <w:t>Ugochukwu</w:t>
      </w:r>
      <w:proofErr w:type="spellEnd"/>
      <w:r w:rsidRPr="00952B80">
        <w:t xml:space="preserve"> (2001) explains is the imperative of ensuring that everyone is guaranteed protection under the law and that when it is necessary to interfere with tenure, steps are taken to ameliorate the hardship it will cause. In summary, a person or household can be said to have secured tenure when they are protected from involuntary removal from their land or residence, except in exceptional circumstances, and then only by means of a known and agreed legal procedure, which must itself be objective, equally applicable, contestable and independent (UNCHS, 1996). </w:t>
      </w:r>
    </w:p>
    <w:p w:rsidR="005E0B12" w:rsidRDefault="005E0B12" w:rsidP="005E0B12">
      <w:pPr>
        <w:ind w:firstLine="720"/>
        <w:jc w:val="both"/>
      </w:pPr>
      <w:r w:rsidRPr="00952B80">
        <w:t xml:space="preserve">Consideration for land accessibility as revealed by </w:t>
      </w:r>
      <w:proofErr w:type="spellStart"/>
      <w:r w:rsidRPr="00952B80">
        <w:t>Omirin</w:t>
      </w:r>
      <w:proofErr w:type="spellEnd"/>
      <w:r w:rsidRPr="00952B80">
        <w:t xml:space="preserve"> (2003) is vital to the effort to achieve efficient and sustainable development of the human settlements.</w:t>
      </w:r>
      <w:r>
        <w:t xml:space="preserve"> </w:t>
      </w:r>
      <w:r w:rsidRPr="00952B80">
        <w:t>For sustainable housing delivery and urban development, access to land and security of tenure need to benefits both men and women equally. Unfortunately, there is a plethora of evidence for discriminating in many communities (</w:t>
      </w:r>
      <w:proofErr w:type="spellStart"/>
      <w:r w:rsidRPr="00952B80">
        <w:t>Kanshahu</w:t>
      </w:r>
      <w:proofErr w:type="spellEnd"/>
      <w:r w:rsidRPr="00952B80">
        <w:t>, 2000). Many religions have firm rules on land and inheritance.</w:t>
      </w:r>
      <w:r>
        <w:t xml:space="preserve"> </w:t>
      </w:r>
      <w:r w:rsidRPr="00952B80">
        <w:t xml:space="preserve">In many countries, the rules work against women owing land (UN-Habitat, 2003). In similar manner, most local communities have deeply ingrained cultural traditions or rules which relate to women owing land and granting secured tenure. In </w:t>
      </w:r>
      <w:proofErr w:type="spellStart"/>
      <w:r w:rsidRPr="00952B80">
        <w:t>patrilineal</w:t>
      </w:r>
      <w:proofErr w:type="spellEnd"/>
      <w:r w:rsidRPr="00952B80">
        <w:t xml:space="preserve"> societies, male superiority and dominance originate from historically rooted culture. Examples of women discrimination include the prohibition to allocate land to women, the right to choose a husband, and lack of accessibility to some educational </w:t>
      </w:r>
      <w:proofErr w:type="spellStart"/>
      <w:r w:rsidRPr="00952B80">
        <w:t>programmes</w:t>
      </w:r>
      <w:proofErr w:type="spellEnd"/>
      <w:r w:rsidRPr="00952B80">
        <w:t>, reserved professions and job positions (</w:t>
      </w:r>
      <w:proofErr w:type="spellStart"/>
      <w:r w:rsidRPr="00952B80">
        <w:t>Kanshahu</w:t>
      </w:r>
      <w:proofErr w:type="spellEnd"/>
      <w:r w:rsidRPr="00952B80">
        <w:t xml:space="preserve">, 2000). </w:t>
      </w:r>
      <w:r w:rsidRPr="00952B80">
        <w:lastRenderedPageBreak/>
        <w:t>However, there are very few exceptions such as what is experienced in some parts of North-East India, where ‘traditionally, only the youngest daughter can inherit and only women can own land’ (UN-Habitat, 2003).</w:t>
      </w:r>
    </w:p>
    <w:p w:rsidR="005E0B12" w:rsidRDefault="005E0B12" w:rsidP="005E0B12">
      <w:pPr>
        <w:ind w:firstLine="720"/>
        <w:jc w:val="both"/>
      </w:pPr>
      <w:r w:rsidRPr="00952B80">
        <w:t>The negative effects of inadequate and inequitable access to land and legal security of tenure manifest in inefficient use of land resources, inequitable distribution of wealth, worsening housing conditions, environmental degradation, poverty accentuation and regional imbalance in economic development’ (</w:t>
      </w:r>
      <w:proofErr w:type="spellStart"/>
      <w:r w:rsidRPr="00952B80">
        <w:t>Omirin</w:t>
      </w:r>
      <w:proofErr w:type="spellEnd"/>
      <w:r w:rsidRPr="00952B80">
        <w:t>, 2002). The inequitable access to land and secured tenure constitute a major constraint to the achievement of housing and city for all. Whereas much attention has been devoted to housing problems, albeit to little effect, not enough attention is being paid to the constraint of land accessibility – which in fact, constitutes serious obstacles to efficient housing provision (</w:t>
      </w:r>
      <w:proofErr w:type="spellStart"/>
      <w:r w:rsidRPr="00952B80">
        <w:t>Omirin</w:t>
      </w:r>
      <w:proofErr w:type="spellEnd"/>
      <w:r w:rsidRPr="00952B80">
        <w:t xml:space="preserve">, 2003) and sustainable urban development. </w:t>
      </w:r>
    </w:p>
    <w:p w:rsidR="005E0B12" w:rsidRDefault="005E0B12" w:rsidP="005E0B12">
      <w:pPr>
        <w:jc w:val="both"/>
      </w:pPr>
      <w:r>
        <w:tab/>
      </w:r>
      <w:r w:rsidRPr="002F3CAF">
        <w:t xml:space="preserve">No time in the history of mankind has there been a greater realization of the well being of women as a social group than the recent times. This is manifested in increased interests by governments of nations and their local agencies, non-governmental </w:t>
      </w:r>
      <w:proofErr w:type="spellStart"/>
      <w:r w:rsidRPr="002F3CAF">
        <w:t>organisations</w:t>
      </w:r>
      <w:proofErr w:type="spellEnd"/>
      <w:r w:rsidRPr="002F3CAF">
        <w:t xml:space="preserve">, the international </w:t>
      </w:r>
      <w:proofErr w:type="spellStart"/>
      <w:r w:rsidRPr="002F3CAF">
        <w:t>organisations</w:t>
      </w:r>
      <w:proofErr w:type="spellEnd"/>
      <w:r w:rsidRPr="002F3CAF">
        <w:t xml:space="preserve"> and their agencies and the women liberation </w:t>
      </w:r>
      <w:proofErr w:type="spellStart"/>
      <w:r w:rsidRPr="002F3CAF">
        <w:t>organisations</w:t>
      </w:r>
      <w:proofErr w:type="spellEnd"/>
      <w:r w:rsidRPr="002F3CAF">
        <w:t xml:space="preserve"> in matters concerning women (</w:t>
      </w:r>
      <w:proofErr w:type="spellStart"/>
      <w:r w:rsidRPr="002F3CAF">
        <w:t>Bogunjoko-Adukwu</w:t>
      </w:r>
      <w:proofErr w:type="spellEnd"/>
      <w:r w:rsidRPr="002F3CAF">
        <w:t xml:space="preserve">, 2000). </w:t>
      </w:r>
      <w:r>
        <w:t>A</w:t>
      </w:r>
      <w:r w:rsidRPr="002F3CAF">
        <w:t xml:space="preserve">mong scholars all over the world, there is also heightened interest in gender research. This </w:t>
      </w:r>
      <w:r>
        <w:t>paper is a review</w:t>
      </w:r>
      <w:r w:rsidRPr="002F3CAF">
        <w:t xml:space="preserve"> </w:t>
      </w:r>
      <w:r>
        <w:t>of gender analysis of access to land and legal security of tenure, most especially in the Third World cities.</w:t>
      </w:r>
    </w:p>
    <w:p w:rsidR="005E0B12" w:rsidRDefault="005E0B12" w:rsidP="005E0B12">
      <w:pPr>
        <w:jc w:val="both"/>
      </w:pPr>
    </w:p>
    <w:p w:rsidR="005E0B12" w:rsidRDefault="005E0B12" w:rsidP="005E0B12"/>
    <w:p w:rsidR="005E0B12" w:rsidRPr="009D4145" w:rsidRDefault="005E0B12" w:rsidP="005E0B12">
      <w:pPr>
        <w:rPr>
          <w:b/>
        </w:rPr>
      </w:pPr>
      <w:r>
        <w:rPr>
          <w:b/>
        </w:rPr>
        <w:t>2.0</w:t>
      </w:r>
      <w:r>
        <w:rPr>
          <w:b/>
        </w:rPr>
        <w:tab/>
        <w:t xml:space="preserve">Gender Access to Urban </w:t>
      </w:r>
      <w:r w:rsidRPr="002F3CAF">
        <w:rPr>
          <w:b/>
        </w:rPr>
        <w:t>Residential Land</w:t>
      </w:r>
      <w:r>
        <w:rPr>
          <w:b/>
        </w:rPr>
        <w:t xml:space="preserve"> and Legal Security of Tenure</w:t>
      </w:r>
    </w:p>
    <w:p w:rsidR="005E0B12" w:rsidRDefault="005E0B12" w:rsidP="005E0B12">
      <w:pPr>
        <w:jc w:val="both"/>
      </w:pPr>
      <w:r>
        <w:tab/>
        <w:t xml:space="preserve">According to </w:t>
      </w:r>
      <w:smartTag w:uri="urn:schemas-microsoft-com:office:smarttags" w:element="place">
        <w:smartTag w:uri="urn:schemas-microsoft-com:office:smarttags" w:element="City">
          <w:r>
            <w:t>Pereira</w:t>
          </w:r>
        </w:smartTag>
      </w:smartTag>
      <w:r>
        <w:t xml:space="preserve"> (2001), ‘gender’ refers to the network of socially defined functions and attributes of being a woman or man in given society, at a particular time. ‘Gender’ is a term used to convey the process of social construct that mediates the relations between women and men. As a key concept in understanding the social differentiation of women and men, the concept has critical relevance as a tool of analysis of the distribution of power, status, and access to economic resources between the two social groups (</w:t>
      </w:r>
      <w:proofErr w:type="spellStart"/>
      <w:r>
        <w:t>Atsenuwa</w:t>
      </w:r>
      <w:proofErr w:type="spellEnd"/>
      <w:r>
        <w:t xml:space="preserve">, 2001). In the context of a society in which women are subordinated to men, gender-based analysis of the nature of access to land and legal security of tenure opens up the way for examining and questioning how men established greater access to land and secure tenure relative to women. </w:t>
      </w:r>
    </w:p>
    <w:p w:rsidR="005E0B12" w:rsidRPr="002F3CAF" w:rsidRDefault="005E0B12" w:rsidP="005E0B12">
      <w:pPr>
        <w:jc w:val="both"/>
      </w:pPr>
      <w:r w:rsidRPr="002F3CAF">
        <w:tab/>
        <w:t xml:space="preserve">Literature on gender indicate that major factors responsible for the exclusion or marginalization of women </w:t>
      </w:r>
      <w:r>
        <w:t xml:space="preserve">in the realm of access to land and legal security of tenure </w:t>
      </w:r>
      <w:r w:rsidRPr="002F3CAF">
        <w:t>include patriarchy, gender contrasts, capitalism and obscurantism (</w:t>
      </w:r>
      <w:proofErr w:type="spellStart"/>
      <w:r w:rsidRPr="002F3CAF">
        <w:t>Micheal</w:t>
      </w:r>
      <w:proofErr w:type="spellEnd"/>
      <w:r w:rsidRPr="002F3CAF">
        <w:t xml:space="preserve"> 1975; </w:t>
      </w:r>
      <w:proofErr w:type="spellStart"/>
      <w:r w:rsidRPr="002F3CAF">
        <w:t>Milimo</w:t>
      </w:r>
      <w:proofErr w:type="spellEnd"/>
      <w:r w:rsidRPr="002F3CAF">
        <w:t xml:space="preserve"> 1984; </w:t>
      </w:r>
      <w:proofErr w:type="spellStart"/>
      <w:r w:rsidRPr="002F3CAF">
        <w:t>Chiwawa</w:t>
      </w:r>
      <w:proofErr w:type="spellEnd"/>
      <w:r w:rsidRPr="002F3CAF">
        <w:t xml:space="preserve"> 1995; </w:t>
      </w:r>
      <w:proofErr w:type="spellStart"/>
      <w:r w:rsidRPr="002F3CAF">
        <w:t>Bogunjoko-Adukwu</w:t>
      </w:r>
      <w:proofErr w:type="spellEnd"/>
      <w:r w:rsidRPr="002F3CAF">
        <w:t xml:space="preserve"> 2000; </w:t>
      </w:r>
      <w:proofErr w:type="spellStart"/>
      <w:r w:rsidRPr="002F3CAF">
        <w:t>Olatubara</w:t>
      </w:r>
      <w:proofErr w:type="spellEnd"/>
      <w:r w:rsidRPr="002F3CAF">
        <w:t>, 2003a). These are followed by powerlessness of women (</w:t>
      </w:r>
      <w:proofErr w:type="spellStart"/>
      <w:r w:rsidRPr="002F3CAF">
        <w:t>K</w:t>
      </w:r>
      <w:r>
        <w:t>a</w:t>
      </w:r>
      <w:r w:rsidRPr="002F3CAF">
        <w:t>nter</w:t>
      </w:r>
      <w:proofErr w:type="spellEnd"/>
      <w:r w:rsidRPr="002F3CAF">
        <w:t xml:space="preserve"> 1977; </w:t>
      </w:r>
      <w:proofErr w:type="spellStart"/>
      <w:r w:rsidRPr="002F3CAF">
        <w:t>Stichter</w:t>
      </w:r>
      <w:proofErr w:type="spellEnd"/>
      <w:r w:rsidRPr="002F3CAF">
        <w:t xml:space="preserve"> 1984; </w:t>
      </w:r>
      <w:proofErr w:type="spellStart"/>
      <w:r w:rsidRPr="002F3CAF">
        <w:t>Bogunjoko-Adukwu</w:t>
      </w:r>
      <w:proofErr w:type="spellEnd"/>
      <w:r w:rsidRPr="002F3CAF">
        <w:t xml:space="preserve"> 2000; </w:t>
      </w:r>
      <w:proofErr w:type="spellStart"/>
      <w:r w:rsidRPr="002F3CAF">
        <w:t>Alonge</w:t>
      </w:r>
      <w:proofErr w:type="spellEnd"/>
      <w:r w:rsidRPr="002F3CAF">
        <w:t xml:space="preserve"> 2004), cultural beliefs, structural arrangements and inadequate policies Courtier 2000; </w:t>
      </w:r>
      <w:proofErr w:type="spellStart"/>
      <w:r w:rsidRPr="002F3CAF">
        <w:t>Bogunjoko-Adukwu</w:t>
      </w:r>
      <w:proofErr w:type="spellEnd"/>
      <w:r w:rsidRPr="002F3CAF">
        <w:t xml:space="preserve"> 2000; </w:t>
      </w:r>
      <w:proofErr w:type="spellStart"/>
      <w:r w:rsidRPr="002F3CAF">
        <w:t>Kanshanu</w:t>
      </w:r>
      <w:proofErr w:type="spellEnd"/>
      <w:r w:rsidRPr="002F3CAF">
        <w:t xml:space="preserve"> 2000; UN-HABITAT 2005).. Others are </w:t>
      </w:r>
      <w:proofErr w:type="spellStart"/>
      <w:r w:rsidRPr="002F3CAF">
        <w:t>feminisation</w:t>
      </w:r>
      <w:proofErr w:type="spellEnd"/>
      <w:r w:rsidRPr="002F3CAF">
        <w:t xml:space="preserve"> of poverty (</w:t>
      </w:r>
      <w:proofErr w:type="spellStart"/>
      <w:r w:rsidRPr="002F3CAF">
        <w:t>Sen</w:t>
      </w:r>
      <w:proofErr w:type="spellEnd"/>
      <w:r w:rsidRPr="002F3CAF">
        <w:t xml:space="preserve"> 1999; </w:t>
      </w:r>
      <w:proofErr w:type="spellStart"/>
      <w:r w:rsidRPr="002F3CAF">
        <w:t>Kaber</w:t>
      </w:r>
      <w:proofErr w:type="spellEnd"/>
      <w:r w:rsidRPr="002F3CAF">
        <w:t xml:space="preserve"> 1999; UN-HABITAT 2005), social class structure (</w:t>
      </w:r>
      <w:proofErr w:type="spellStart"/>
      <w:r w:rsidRPr="002F3CAF">
        <w:t>Gidden</w:t>
      </w:r>
      <w:proofErr w:type="spellEnd"/>
      <w:r w:rsidRPr="002F3CAF">
        <w:t xml:space="preserve"> 1995; </w:t>
      </w:r>
      <w:proofErr w:type="spellStart"/>
      <w:r w:rsidRPr="002F3CAF">
        <w:t>Parkin</w:t>
      </w:r>
      <w:proofErr w:type="spellEnd"/>
      <w:r w:rsidRPr="002F3CAF">
        <w:t xml:space="preserve"> 1996; </w:t>
      </w:r>
      <w:proofErr w:type="spellStart"/>
      <w:r w:rsidRPr="002F3CAF">
        <w:t>Olatubara</w:t>
      </w:r>
      <w:proofErr w:type="spellEnd"/>
      <w:r w:rsidRPr="002F3CAF">
        <w:t xml:space="preserve"> 2003a), dependency of women (Dowling 1981; </w:t>
      </w:r>
      <w:proofErr w:type="spellStart"/>
      <w:r w:rsidRPr="002F3CAF">
        <w:t>Oyelaja</w:t>
      </w:r>
      <w:proofErr w:type="spellEnd"/>
      <w:r w:rsidRPr="002F3CAF">
        <w:t xml:space="preserve"> 1992; </w:t>
      </w:r>
      <w:proofErr w:type="spellStart"/>
      <w:r w:rsidRPr="002F3CAF">
        <w:t>Bogunjoko-Adukwu</w:t>
      </w:r>
      <w:proofErr w:type="spellEnd"/>
      <w:r w:rsidRPr="002F3CAF">
        <w:t xml:space="preserve"> 2000) and the girl-child situation (Shiva 1991; </w:t>
      </w:r>
      <w:proofErr w:type="spellStart"/>
      <w:r w:rsidRPr="002F3CAF">
        <w:t>Olunloyo</w:t>
      </w:r>
      <w:proofErr w:type="spellEnd"/>
      <w:r w:rsidRPr="002F3CAF">
        <w:t xml:space="preserve"> 1993; </w:t>
      </w:r>
      <w:proofErr w:type="spellStart"/>
      <w:r w:rsidRPr="002F3CAF">
        <w:t>Pandey</w:t>
      </w:r>
      <w:proofErr w:type="spellEnd"/>
      <w:r w:rsidRPr="002F3CAF">
        <w:t xml:space="preserve"> 1995; Desai 1995; </w:t>
      </w:r>
      <w:proofErr w:type="spellStart"/>
      <w:r w:rsidRPr="002F3CAF">
        <w:t>Ajala</w:t>
      </w:r>
      <w:proofErr w:type="spellEnd"/>
      <w:r w:rsidRPr="002F3CAF">
        <w:t xml:space="preserve"> 2000).</w:t>
      </w:r>
    </w:p>
    <w:p w:rsidR="005E0B12" w:rsidRDefault="005E0B12" w:rsidP="005E0B12">
      <w:pPr>
        <w:jc w:val="both"/>
      </w:pPr>
    </w:p>
    <w:p w:rsidR="005E0B12" w:rsidRDefault="005E0B12" w:rsidP="005E0B12">
      <w:pPr>
        <w:jc w:val="both"/>
      </w:pPr>
    </w:p>
    <w:p w:rsidR="005E0B12" w:rsidRDefault="005E0B12" w:rsidP="005E0B12">
      <w:pPr>
        <w:jc w:val="both"/>
      </w:pPr>
    </w:p>
    <w:p w:rsidR="005E0B12" w:rsidRDefault="005E0B12" w:rsidP="005E0B12">
      <w:pPr>
        <w:jc w:val="both"/>
      </w:pPr>
    </w:p>
    <w:p w:rsidR="005E0B12" w:rsidRPr="002F3CAF" w:rsidRDefault="005E0B12" w:rsidP="005E0B12">
      <w:pPr>
        <w:jc w:val="both"/>
      </w:pPr>
    </w:p>
    <w:p w:rsidR="005E0B12" w:rsidRPr="00D742F5" w:rsidRDefault="005E0B12" w:rsidP="005E0B12">
      <w:pPr>
        <w:jc w:val="both"/>
        <w:rPr>
          <w:b/>
        </w:rPr>
      </w:pPr>
      <w:r w:rsidRPr="00D742F5">
        <w:rPr>
          <w:b/>
        </w:rPr>
        <w:lastRenderedPageBreak/>
        <w:t>Patriarchy, Gender Contrasts, Capitalism and Obscurantism</w:t>
      </w:r>
    </w:p>
    <w:p w:rsidR="005E0B12" w:rsidRPr="002F3CAF" w:rsidRDefault="005E0B12" w:rsidP="005E0B12">
      <w:pPr>
        <w:jc w:val="both"/>
      </w:pPr>
      <w:r w:rsidRPr="002F3CAF">
        <w:tab/>
        <w:t>The exclusion or marginalization of women can be attributed to patriarchy and gender contrasts. The gender contrasts are said to be invisible social contracts regulating the relations between men and women at all levels of the society (</w:t>
      </w:r>
      <w:proofErr w:type="spellStart"/>
      <w:r w:rsidRPr="002F3CAF">
        <w:t>Chiwawa</w:t>
      </w:r>
      <w:proofErr w:type="spellEnd"/>
      <w:r w:rsidRPr="002F3CAF">
        <w:t xml:space="preserve">, 1996). According to </w:t>
      </w:r>
      <w:proofErr w:type="spellStart"/>
      <w:r w:rsidRPr="002F3CAF">
        <w:t>Olatubara</w:t>
      </w:r>
      <w:proofErr w:type="spellEnd"/>
      <w:r w:rsidRPr="002F3CAF">
        <w:t xml:space="preserve"> (2003a), patriarchy is a societal value system with a basis in gender discrimination. Women attempts at gaining access to land for residential development are often frustrated and met with resistance in a male dominated structure. They are often looked at as being too ambitious if they aspire to own land or house. This constrained </w:t>
      </w:r>
      <w:proofErr w:type="spellStart"/>
      <w:r w:rsidRPr="002F3CAF">
        <w:t>Milimo</w:t>
      </w:r>
      <w:proofErr w:type="spellEnd"/>
      <w:r w:rsidRPr="002F3CAF">
        <w:t xml:space="preserve"> (1984) to state that even if the problem of colonialism and dependency were to be removed overnight, patriarchy as a factor is strong enough to keep women in perpetual subjugation.</w:t>
      </w:r>
    </w:p>
    <w:p w:rsidR="005E0B12" w:rsidRDefault="005E0B12" w:rsidP="005E0B12">
      <w:pPr>
        <w:jc w:val="both"/>
      </w:pPr>
      <w:r w:rsidRPr="002F3CAF">
        <w:t xml:space="preserve"> </w:t>
      </w:r>
      <w:r w:rsidRPr="002F3CAF">
        <w:tab/>
        <w:t>Engels (1962) in his own contribution holds patriarchy and the initiations of private property responsible for women’s subordination. These are based on the supremacy of men as exposited in the final arrangements aimed at begetting children of undisputed paternity who would inherit their fathers’ wealth. Capitalists societies based on private ownership of property and the exploitation of person by person typically elaborates its beliefs, norms and values to include the systematic exploitation of women and their transformation into mere reproducers with no rights but at the service of their owners whether husbands or fathers. This process necessitated the establishment of a corresponding ideology and culture together with an educational system to pass them on.  The latter is referred to as obscurantism, which its general principle is to keep women in ignorance or to give them an essential minimum education. In every society, we find that illiteracy is higher among women than men; they are always minority in schools, colleges and universities, even though they are the majority of the population. Obscurantism and ignorance go hand in hand with superstition and it gives rise to passivity (Michael, 1975).</w:t>
      </w:r>
    </w:p>
    <w:p w:rsidR="005E0B12" w:rsidRPr="00952B80" w:rsidRDefault="005E0B12" w:rsidP="005E0B12">
      <w:pPr>
        <w:ind w:firstLine="720"/>
        <w:jc w:val="both"/>
      </w:pPr>
      <w:r w:rsidRPr="00952B80">
        <w:t>In pre-colonial traditional African society, females generally speaking were accorded less value and lower social status. With the coming of colonialism, traditional patriarchy encountered western patriarchy and the two cultural systems reinforced each other. Western culture introduced by the colonialists regarded and treated women as inferior to men (</w:t>
      </w:r>
      <w:proofErr w:type="spellStart"/>
      <w:r w:rsidRPr="00952B80">
        <w:t>Atsenuwa</w:t>
      </w:r>
      <w:proofErr w:type="spellEnd"/>
      <w:r w:rsidRPr="00952B80">
        <w:t>, 2000). Under the colonial rule as well as after independence, most women did not gain access to land as independent persons. It is important to stress that it is the idea or custom of land registration in the name of males that changes women’s access rather than the formal registration of title itself (Lee Smith, 1996).</w:t>
      </w:r>
    </w:p>
    <w:p w:rsidR="005E0B12" w:rsidRPr="002F3CAF" w:rsidRDefault="005E0B12" w:rsidP="005E0B12">
      <w:pPr>
        <w:jc w:val="both"/>
        <w:rPr>
          <w:b/>
        </w:rPr>
      </w:pPr>
    </w:p>
    <w:p w:rsidR="005E0B12" w:rsidRPr="00D742F5" w:rsidRDefault="005E0B12" w:rsidP="005E0B12">
      <w:pPr>
        <w:jc w:val="both"/>
        <w:rPr>
          <w:b/>
        </w:rPr>
      </w:pPr>
      <w:r w:rsidRPr="00D742F5">
        <w:rPr>
          <w:b/>
        </w:rPr>
        <w:t>Powerlessness of Women</w:t>
      </w:r>
    </w:p>
    <w:p w:rsidR="005E0B12" w:rsidRPr="002F3CAF" w:rsidRDefault="005E0B12" w:rsidP="005E0B12">
      <w:pPr>
        <w:jc w:val="both"/>
      </w:pPr>
      <w:r w:rsidRPr="002F3CAF">
        <w:tab/>
        <w:t>We can also see the exclusion of women from securing land as being rooted in their powerlessness. Power is hereby defined as the ability of an individual or group to induce or influence the beliefs or actions of other persons or groups, that is, efficacy rather than domination (</w:t>
      </w:r>
      <w:proofErr w:type="spellStart"/>
      <w:r w:rsidRPr="002F3CAF">
        <w:t>Kanter</w:t>
      </w:r>
      <w:proofErr w:type="spellEnd"/>
      <w:r w:rsidRPr="002F3CAF">
        <w:t>, 1977). Access to land is mediated by the control that certain groups or categories of people exercise over the action of others.  What enables such control to be enforced and/or challenged is the existence of stock of power, or political capital. Present day notions of power have evolved in hierarchical, male dominated societies and are based on diverse, destructive and oppressive values (</w:t>
      </w:r>
      <w:proofErr w:type="spellStart"/>
      <w:r w:rsidRPr="002F3CAF">
        <w:t>Alonge</w:t>
      </w:r>
      <w:proofErr w:type="spellEnd"/>
      <w:r w:rsidRPr="002F3CAF">
        <w:t xml:space="preserve">, 2004).  </w:t>
      </w:r>
    </w:p>
    <w:p w:rsidR="005E0B12" w:rsidRPr="002F3CAF" w:rsidRDefault="005E0B12" w:rsidP="005E0B12">
      <w:pPr>
        <w:jc w:val="both"/>
      </w:pPr>
      <w:r w:rsidRPr="002F3CAF">
        <w:tab/>
        <w:t xml:space="preserve">One of the most important factors in gaining access to land with legal security of tenure pertains to power. For Marx, economic power is the dominant structure and the most important source for the determination of power base. According to him, the forces of production exerted the most important influence on the entire social stratification system and on the oppression and </w:t>
      </w:r>
      <w:r w:rsidRPr="002F3CAF">
        <w:lastRenderedPageBreak/>
        <w:t>subordination of women (</w:t>
      </w:r>
      <w:proofErr w:type="spellStart"/>
      <w:r w:rsidRPr="002F3CAF">
        <w:t>Bogunjoko-Adukwu</w:t>
      </w:r>
      <w:proofErr w:type="spellEnd"/>
      <w:r w:rsidRPr="002F3CAF">
        <w:t xml:space="preserve">, 2000). Hay and </w:t>
      </w:r>
      <w:proofErr w:type="spellStart"/>
      <w:r w:rsidRPr="002F3CAF">
        <w:t>Stichter</w:t>
      </w:r>
      <w:proofErr w:type="spellEnd"/>
      <w:r w:rsidRPr="002F3CAF">
        <w:t xml:space="preserve"> (1984) reiterate that women’s power and status were less than men’s. </w:t>
      </w:r>
    </w:p>
    <w:p w:rsidR="005E0B12" w:rsidRPr="002F3CAF" w:rsidRDefault="005E0B12" w:rsidP="005E0B12">
      <w:pPr>
        <w:jc w:val="both"/>
      </w:pPr>
      <w:r w:rsidRPr="002F3CAF">
        <w:tab/>
      </w:r>
      <w:proofErr w:type="spellStart"/>
      <w:r w:rsidRPr="002F3CAF">
        <w:t>Alonge</w:t>
      </w:r>
      <w:proofErr w:type="spellEnd"/>
      <w:r w:rsidRPr="002F3CAF">
        <w:t xml:space="preserve"> (2004) states that it has been discovered that Nigerian women, like in many other African countries, lack the ability to make decisions on vital issues that concern them and that also variably or invariably affect the society negatively.  Women in general and poor ones in particular, are relatively powerless, with little or no control over resources and little decision-making power’. This is because the extents of power held by particular individuals or groups correspond to the number of the kinds of resources they can shape prevailing ideologies, whether social, religious or political. This control, in turn, confers the power of decision-making (</w:t>
      </w:r>
      <w:proofErr w:type="spellStart"/>
      <w:r w:rsidRPr="002F3CAF">
        <w:t>Alonge</w:t>
      </w:r>
      <w:proofErr w:type="spellEnd"/>
      <w:r w:rsidRPr="002F3CAF">
        <w:t>, 2004:3).</w:t>
      </w:r>
    </w:p>
    <w:p w:rsidR="005E0B12" w:rsidRPr="002F3CAF" w:rsidRDefault="005E0B12" w:rsidP="005E0B12">
      <w:pPr>
        <w:jc w:val="both"/>
      </w:pPr>
      <w:r w:rsidRPr="002F3CAF">
        <w:tab/>
        <w:t xml:space="preserve">The problems with “absolute power” of the men are that it renders women powerless. The powerful “men” are therefore the ones who most of the times have access to secure land for residential development. This does not mean that women are, or have always been totally powerless; for centuries they have tried to exercise their power within the family (Nelson, 1974; </w:t>
      </w:r>
      <w:proofErr w:type="spellStart"/>
      <w:r w:rsidRPr="002F3CAF">
        <w:t>Stacay</w:t>
      </w:r>
      <w:proofErr w:type="spellEnd"/>
      <w:r w:rsidRPr="002F3CAF">
        <w:t xml:space="preserve"> and Price, 1981).  They also have taken control of the resources to which society has allowed them access, and even seized control of resources when they would as is the case in the </w:t>
      </w:r>
      <w:proofErr w:type="spellStart"/>
      <w:r w:rsidRPr="002F3CAF">
        <w:t>Chipko</w:t>
      </w:r>
      <w:proofErr w:type="spellEnd"/>
      <w:r w:rsidRPr="002F3CAF">
        <w:t xml:space="preserve"> movement in Northern India and the Great Belt movement in Kenya (</w:t>
      </w:r>
      <w:proofErr w:type="spellStart"/>
      <w:r w:rsidRPr="002F3CAF">
        <w:t>Misra</w:t>
      </w:r>
      <w:proofErr w:type="spellEnd"/>
      <w:r w:rsidRPr="002F3CAF">
        <w:t xml:space="preserve">, 1978; </w:t>
      </w:r>
      <w:proofErr w:type="spellStart"/>
      <w:r w:rsidRPr="002F3CAF">
        <w:t>Rodda</w:t>
      </w:r>
      <w:proofErr w:type="spellEnd"/>
      <w:r w:rsidRPr="002F3CAF">
        <w:t xml:space="preserve">, 1991).  However, the prevailing ideology, which promotes the values of submission, sacrifice, obedience, and silent suffering, often undermines even these attempts by women to assert </w:t>
      </w:r>
      <w:proofErr w:type="gramStart"/>
      <w:r w:rsidRPr="002F3CAF">
        <w:t>themselves</w:t>
      </w:r>
      <w:proofErr w:type="gramEnd"/>
      <w:r w:rsidRPr="002F3CAF">
        <w:t xml:space="preserve"> or demand some share of resources (</w:t>
      </w:r>
      <w:proofErr w:type="spellStart"/>
      <w:r w:rsidRPr="002F3CAF">
        <w:t>Hawkesworth</w:t>
      </w:r>
      <w:proofErr w:type="spellEnd"/>
      <w:r w:rsidRPr="002F3CAF">
        <w:t xml:space="preserve">, 1990; Schuler and </w:t>
      </w:r>
      <w:proofErr w:type="spellStart"/>
      <w:r w:rsidRPr="002F3CAF">
        <w:t>Kardirgramor-Rajasingham</w:t>
      </w:r>
      <w:proofErr w:type="spellEnd"/>
      <w:r w:rsidRPr="002F3CAF">
        <w:t xml:space="preserve">, 1992). There is established gender imbalance as women are in disadvantaged situations in terms of education, nutrition, health, </w:t>
      </w:r>
      <w:proofErr w:type="spellStart"/>
      <w:r w:rsidRPr="002F3CAF">
        <w:t>labour</w:t>
      </w:r>
      <w:proofErr w:type="spellEnd"/>
      <w:r w:rsidRPr="002F3CAF">
        <w:t xml:space="preserve"> (</w:t>
      </w:r>
      <w:proofErr w:type="spellStart"/>
      <w:r w:rsidRPr="002F3CAF">
        <w:t>Alonge</w:t>
      </w:r>
      <w:proofErr w:type="spellEnd"/>
      <w:r w:rsidRPr="002F3CAF">
        <w:t>, 2004), land and housing.</w:t>
      </w:r>
    </w:p>
    <w:p w:rsidR="005E0B12" w:rsidRPr="002F3CAF" w:rsidRDefault="005E0B12" w:rsidP="005E0B12">
      <w:pPr>
        <w:jc w:val="both"/>
      </w:pPr>
    </w:p>
    <w:p w:rsidR="005E0B12" w:rsidRPr="00D742F5" w:rsidRDefault="005E0B12" w:rsidP="005E0B12">
      <w:pPr>
        <w:jc w:val="both"/>
        <w:rPr>
          <w:b/>
        </w:rPr>
      </w:pPr>
      <w:r w:rsidRPr="00D742F5">
        <w:rPr>
          <w:b/>
        </w:rPr>
        <w:t>Religion, Cultural Beliefs, Structural Arrangements and Inadequate Policies</w:t>
      </w:r>
    </w:p>
    <w:p w:rsidR="005E0B12" w:rsidRPr="002F3CAF" w:rsidRDefault="005E0B12" w:rsidP="005E0B12">
      <w:pPr>
        <w:jc w:val="both"/>
        <w:rPr>
          <w:b/>
        </w:rPr>
      </w:pPr>
      <w:r w:rsidRPr="002F3CAF">
        <w:t xml:space="preserve">In most communities in developing countries, </w:t>
      </w:r>
      <w:proofErr w:type="spellStart"/>
      <w:r w:rsidRPr="002F3CAF">
        <w:t>Kanshahu</w:t>
      </w:r>
      <w:proofErr w:type="spellEnd"/>
      <w:r w:rsidRPr="002F3CAF">
        <w:t xml:space="preserve"> (2000) reports that women are still accorded a second rate status while a prime status being given to men. Cultural determinists argue that culture and society determines gender roles. It is believed that the differences between male and female take a social significance of superior/inferior within the framework of culturally defined systems (</w:t>
      </w:r>
      <w:proofErr w:type="spellStart"/>
      <w:r w:rsidRPr="002F3CAF">
        <w:t>Orner</w:t>
      </w:r>
      <w:proofErr w:type="spellEnd"/>
      <w:r w:rsidRPr="002F3CAF">
        <w:t>, 1986).</w:t>
      </w:r>
    </w:p>
    <w:p w:rsidR="005E0B12" w:rsidRPr="002F3CAF" w:rsidRDefault="005E0B12" w:rsidP="005E0B12">
      <w:pPr>
        <w:jc w:val="both"/>
      </w:pPr>
      <w:r w:rsidRPr="002F3CAF">
        <w:tab/>
        <w:t xml:space="preserve">There are deeply-rooted cultural beliefs, structural arrangements and inadequate policies </w:t>
      </w:r>
      <w:proofErr w:type="spellStart"/>
      <w:r w:rsidRPr="002F3CAF">
        <w:t>favouring</w:t>
      </w:r>
      <w:proofErr w:type="spellEnd"/>
      <w:r w:rsidRPr="002F3CAF">
        <w:t xml:space="preserve"> men access to land at the detriment of the women </w:t>
      </w:r>
      <w:proofErr w:type="spellStart"/>
      <w:r w:rsidRPr="002F3CAF">
        <w:t>inspite</w:t>
      </w:r>
      <w:proofErr w:type="spellEnd"/>
      <w:r w:rsidRPr="002F3CAF">
        <w:t xml:space="preserve"> of the different roles being played by women in the society. The inheritance rights of women are being increasingly violated in the name of custom and religion.  The Centre on Housing Rights and Evictions (COHRE) has undertaken extensive research on the right to inheritance for women in sub-Saharan Africa and the Middle East.  In both regions, the stories are the same, only cloaked in different contexts.  In sub-Saharan Africa, inheritance rights are denied in the name of custom and in the Middle East, in the name of religion. </w:t>
      </w:r>
      <w:proofErr w:type="gramStart"/>
      <w:r w:rsidRPr="002F3CAF">
        <w:t>The result into situation where women - both rich and poor are denied their rights and left with nothing (UN-HABITAT, 2005).</w:t>
      </w:r>
      <w:proofErr w:type="gramEnd"/>
    </w:p>
    <w:p w:rsidR="005E0B12" w:rsidRPr="002F3CAF" w:rsidRDefault="005E0B12" w:rsidP="005E0B12">
      <w:pPr>
        <w:jc w:val="both"/>
      </w:pPr>
      <w:r w:rsidRPr="002F3CAF">
        <w:tab/>
        <w:t>Socio-cultural factors, among others, have also been adduced to encourage early marriage, plurality of children, excessive dependence on the man for support (</w:t>
      </w:r>
      <w:proofErr w:type="spellStart"/>
      <w:r w:rsidRPr="002F3CAF">
        <w:t>Bogunjoko-Adukwu</w:t>
      </w:r>
      <w:proofErr w:type="spellEnd"/>
      <w:r w:rsidRPr="002F3CAF">
        <w:t>, 2000). In the absence of access to education and income generating activities, these weigh women down and constitute a serious handicap to any effort to own a land for housing production. In addition to this, it is a fact that the right type of support by men is lacking. For example, five years after the Beijing (China) conference, there is little improvement in the attitude and opinions of men concerning the women (Courtier, 2000).</w:t>
      </w:r>
    </w:p>
    <w:p w:rsidR="005E0B12" w:rsidRPr="002F3CAF" w:rsidRDefault="005E0B12" w:rsidP="005E0B12">
      <w:pPr>
        <w:jc w:val="both"/>
      </w:pPr>
    </w:p>
    <w:p w:rsidR="005E0B12" w:rsidRPr="00D742F5" w:rsidRDefault="005E0B12" w:rsidP="005E0B12">
      <w:pPr>
        <w:jc w:val="both"/>
        <w:rPr>
          <w:b/>
        </w:rPr>
      </w:pPr>
      <w:proofErr w:type="spellStart"/>
      <w:r w:rsidRPr="00D742F5">
        <w:rPr>
          <w:b/>
        </w:rPr>
        <w:t>Feminisation</w:t>
      </w:r>
      <w:proofErr w:type="spellEnd"/>
      <w:r w:rsidRPr="00D742F5">
        <w:rPr>
          <w:b/>
        </w:rPr>
        <w:t xml:space="preserve"> of Poverty</w:t>
      </w:r>
    </w:p>
    <w:p w:rsidR="005E0B12" w:rsidRPr="002F3CAF" w:rsidRDefault="005E0B12" w:rsidP="005E0B12">
      <w:pPr>
        <w:jc w:val="both"/>
      </w:pPr>
      <w:r w:rsidRPr="002F3CAF">
        <w:tab/>
        <w:t xml:space="preserve">“The </w:t>
      </w:r>
      <w:proofErr w:type="spellStart"/>
      <w:r w:rsidRPr="002F3CAF">
        <w:t>feminisation</w:t>
      </w:r>
      <w:proofErr w:type="spellEnd"/>
      <w:r w:rsidRPr="002F3CAF">
        <w:t xml:space="preserve"> of poverty” has been cited as the principal reason for the increase in the number of inadequately housed or homeless women. From a gender perspective, broader concept of poverty are more useful than a focus purely on household income levels because they allow a better grasp of the multi-dimensional aspects of gender disadvantage, such as lack of power to control important decisions that affect one’s life (</w:t>
      </w:r>
      <w:proofErr w:type="spellStart"/>
      <w:r w:rsidRPr="002F3CAF">
        <w:t>Sen</w:t>
      </w:r>
      <w:proofErr w:type="spellEnd"/>
      <w:r w:rsidRPr="002F3CAF">
        <w:t xml:space="preserve">, 1999).  Similarly, </w:t>
      </w:r>
      <w:proofErr w:type="spellStart"/>
      <w:r w:rsidRPr="002F3CAF">
        <w:t>Kabeer</w:t>
      </w:r>
      <w:proofErr w:type="spellEnd"/>
      <w:r w:rsidRPr="002F3CAF">
        <w:t xml:space="preserve"> (1999) argued that confining the analysis of gender inequality to basic well being outcomes alone serves to convey the impression that female disadvantage is largely a matter of poverty.</w:t>
      </w:r>
    </w:p>
    <w:p w:rsidR="005E0B12" w:rsidRPr="002F3CAF" w:rsidRDefault="005E0B12" w:rsidP="005E0B12">
      <w:pPr>
        <w:jc w:val="both"/>
        <w:rPr>
          <w:b/>
        </w:rPr>
      </w:pPr>
      <w:r w:rsidRPr="002F3CAF">
        <w:t xml:space="preserve"> </w:t>
      </w:r>
      <w:r w:rsidRPr="002F3CAF">
        <w:tab/>
        <w:t>While globalization has exacerbated poverty, especially for women, it is clear that a combination of the lack of protections for women’s rights, and poverty, are causing an increase in the number of inadequately housed women throughout the world (UN-HABITAT, 2005).  In several countries, while general homelessness is decreasing slightly, the number of homeless women is increasing.  The number of female-headed households living in slums is similarly increasing (UN-HABITAT, 2005). Inheritance rights violations, domestic violence, forced evictions and displacement, within underlying factors of discrimination, unequal treatment under the law and in practice, as well vulnerability to violence all contribute to the cycle of inadequate housing and homelessness among women (UN-HABITAT, 2005).</w:t>
      </w:r>
    </w:p>
    <w:p w:rsidR="005E0B12" w:rsidRPr="002F3CAF" w:rsidRDefault="005E0B12" w:rsidP="005E0B12">
      <w:pPr>
        <w:jc w:val="both"/>
        <w:rPr>
          <w:b/>
        </w:rPr>
      </w:pPr>
    </w:p>
    <w:p w:rsidR="005E0B12" w:rsidRPr="00D742F5" w:rsidRDefault="005E0B12" w:rsidP="005E0B12">
      <w:pPr>
        <w:jc w:val="both"/>
        <w:rPr>
          <w:b/>
        </w:rPr>
      </w:pPr>
      <w:r w:rsidRPr="00D742F5">
        <w:rPr>
          <w:b/>
        </w:rPr>
        <w:t>Dependency of Women</w:t>
      </w:r>
    </w:p>
    <w:p w:rsidR="005E0B12" w:rsidRPr="002F3CAF" w:rsidRDefault="005E0B12" w:rsidP="005E0B12">
      <w:pPr>
        <w:jc w:val="both"/>
      </w:pPr>
      <w:r w:rsidRPr="002F3CAF">
        <w:tab/>
        <w:t>The issue of dependency is another factor constraining women access to housing resources. The issue of dependency can be traced back to women’s childhood, and socialization (</w:t>
      </w:r>
      <w:proofErr w:type="spellStart"/>
      <w:r w:rsidRPr="002F3CAF">
        <w:t>Bogunjoko-Adukwu</w:t>
      </w:r>
      <w:proofErr w:type="spellEnd"/>
      <w:r w:rsidRPr="002F3CAF">
        <w:t xml:space="preserve">, 2000). She states further that this was when they were safe when parents took care of their worries and problems. Dependency training begins from the time female babies are handled less frequently and less vigorously than boy’s (Dowling, 1981).  </w:t>
      </w:r>
    </w:p>
    <w:p w:rsidR="005E0B12" w:rsidRPr="002F3CAF" w:rsidRDefault="005E0B12" w:rsidP="005E0B12">
      <w:pPr>
        <w:jc w:val="both"/>
      </w:pPr>
      <w:r w:rsidRPr="002F3CAF">
        <w:tab/>
        <w:t xml:space="preserve">Women are continuously reinforced with the notion that they can achieve only with the help of others. Eventually, this is internalized and they grow with the perception that they cannot succeed in meeting life’s challenges on their own. This syndrome is referred to as “learned helplessness” by Seligman (1975). Women still perceive men as the provider and </w:t>
      </w:r>
      <w:proofErr w:type="gramStart"/>
      <w:r w:rsidRPr="002F3CAF">
        <w:t>they</w:t>
      </w:r>
      <w:proofErr w:type="gramEnd"/>
      <w:r w:rsidRPr="002F3CAF">
        <w:t xml:space="preserve"> as the protected, less strong and less competent (</w:t>
      </w:r>
      <w:proofErr w:type="spellStart"/>
      <w:r w:rsidRPr="002F3CAF">
        <w:t>Oyelaja</w:t>
      </w:r>
      <w:proofErr w:type="spellEnd"/>
      <w:r w:rsidRPr="002F3CAF">
        <w:t>, 1992). Women were brought up to depend on man and to feel lacking, insecure and frightened without men. Women are also taught to believe that they cannot stand alone, that they are too fragile and needful of protection, so that even in these enlightened days, unresolved emotional issues still drag women down when they are out to stand on their two feet (Seligman, 1975). “The Cinderella Complex” in women that is, the deep wish to be taken care of by others, is the chief force that is holding women down (Dowling, 1981) and thus constraining their access to vital housing resources. The “Cinderella Complex” is a network of largely requested attitudes and fear that keep women in a kind of half-light retreating from the full use of their minds and creativity (Seligman, 1975).</w:t>
      </w:r>
    </w:p>
    <w:p w:rsidR="005E0B12" w:rsidRPr="002F3CAF" w:rsidRDefault="005E0B12" w:rsidP="005E0B12">
      <w:pPr>
        <w:jc w:val="both"/>
      </w:pPr>
      <w:r w:rsidRPr="002F3CAF">
        <w:tab/>
        <w:t>It is obvious that Nigerian women, despite their education, face serious constraints in accessing secured land for housing. Women are a pitiable minority in the area of access to land and legal security of tenure. Indeed, the harsh reality of our social scene is that women and access to land or housing are seen as two mutually exclusive and incompatible entities. To the ordinary Nigerian, normal gender – free (</w:t>
      </w:r>
      <w:proofErr w:type="spellStart"/>
      <w:r w:rsidRPr="002F3CAF">
        <w:t>Obilade</w:t>
      </w:r>
      <w:proofErr w:type="spellEnd"/>
      <w:r w:rsidRPr="002F3CAF">
        <w:t>, 1984) term like access to land or housing connotes a male subject. This is often compounded by marriage laws and practices (</w:t>
      </w:r>
      <w:proofErr w:type="spellStart"/>
      <w:r w:rsidRPr="002F3CAF">
        <w:t>Macoloo</w:t>
      </w:r>
      <w:proofErr w:type="spellEnd"/>
      <w:r w:rsidRPr="002F3CAF">
        <w:t xml:space="preserve">, 1990). Married women, according to </w:t>
      </w:r>
      <w:proofErr w:type="spellStart"/>
      <w:r w:rsidRPr="002F3CAF">
        <w:t>Makinwa</w:t>
      </w:r>
      <w:proofErr w:type="spellEnd"/>
      <w:r w:rsidRPr="002F3CAF">
        <w:t xml:space="preserve"> (1990), on whom bride price has been paid are regarded as part of the movable property of their husbands. This calls for concern since social </w:t>
      </w:r>
      <w:r w:rsidRPr="002F3CAF">
        <w:lastRenderedPageBreak/>
        <w:t>justice demands that states treat their citizens equally irrespective of sex (</w:t>
      </w:r>
      <w:proofErr w:type="spellStart"/>
      <w:r w:rsidRPr="002F3CAF">
        <w:t>Bogunjoko–Adukwu</w:t>
      </w:r>
      <w:proofErr w:type="spellEnd"/>
      <w:r w:rsidRPr="002F3CAF">
        <w:t xml:space="preserve">, 2000). </w:t>
      </w:r>
    </w:p>
    <w:p w:rsidR="005E0B12" w:rsidRPr="002F3CAF" w:rsidRDefault="005E0B12" w:rsidP="005E0B12">
      <w:pPr>
        <w:jc w:val="both"/>
        <w:rPr>
          <w:b/>
        </w:rPr>
      </w:pPr>
    </w:p>
    <w:p w:rsidR="005E0B12" w:rsidRPr="00D742F5" w:rsidRDefault="005E0B12" w:rsidP="005E0B12">
      <w:pPr>
        <w:jc w:val="both"/>
        <w:rPr>
          <w:b/>
        </w:rPr>
      </w:pPr>
      <w:r w:rsidRPr="00D742F5">
        <w:rPr>
          <w:b/>
        </w:rPr>
        <w:t>Social Class Structure</w:t>
      </w:r>
    </w:p>
    <w:p w:rsidR="005E0B12" w:rsidRPr="002F3CAF" w:rsidRDefault="005E0B12" w:rsidP="005E0B12">
      <w:pPr>
        <w:jc w:val="both"/>
      </w:pPr>
      <w:r w:rsidRPr="002F3CAF">
        <w:t xml:space="preserve"> </w:t>
      </w:r>
      <w:r w:rsidRPr="002F3CAF">
        <w:tab/>
        <w:t>There are no societies, in which men do not, in some aspects of social life, have more wealth, status and influence than women. Consequently, the materials position of most women tends to reflect that of their fathers or husbands; hence, it is argued that we have to explain gender inequality mainly in terms of class (</w:t>
      </w:r>
      <w:proofErr w:type="spellStart"/>
      <w:r w:rsidRPr="002F3CAF">
        <w:t>Giddens</w:t>
      </w:r>
      <w:proofErr w:type="spellEnd"/>
      <w:r w:rsidRPr="002F3CAF">
        <w:t xml:space="preserve">, 1995). </w:t>
      </w:r>
      <w:proofErr w:type="spellStart"/>
      <w:r w:rsidRPr="002F3CAF">
        <w:t>Parkin</w:t>
      </w:r>
      <w:proofErr w:type="spellEnd"/>
      <w:r w:rsidRPr="002F3CAF">
        <w:t xml:space="preserve"> (1996) has unambiguously expressed this point of view in the following terms: ‘Female status certainly carries with it many disadvantages compared with that of males in various aspects of social life including property ownership, income and so on. Although, women today share resources attributes in common simply by virtues of their sex, their claims over resources are not primarily determined by their own occupation, but more commonly, by that of their fathers or husbands’. Thus, gender inequality can be attributed to the material position of most women, which tends to reflect that of their fathers or husbands; hence, it is argued that we have to explain gender inequality mainly in terms of class (</w:t>
      </w:r>
      <w:proofErr w:type="spellStart"/>
      <w:r w:rsidRPr="002F3CAF">
        <w:t>Olatubara</w:t>
      </w:r>
      <w:proofErr w:type="spellEnd"/>
      <w:r w:rsidRPr="002F3CAF">
        <w:t>, 2003a).</w:t>
      </w:r>
    </w:p>
    <w:p w:rsidR="005E0B12" w:rsidRPr="002F3CAF" w:rsidRDefault="005E0B12" w:rsidP="005E0B12">
      <w:pPr>
        <w:jc w:val="both"/>
        <w:rPr>
          <w:b/>
          <w:u w:val="single"/>
        </w:rPr>
      </w:pPr>
    </w:p>
    <w:p w:rsidR="005E0B12" w:rsidRPr="00D742F5" w:rsidRDefault="005E0B12" w:rsidP="005E0B12">
      <w:pPr>
        <w:jc w:val="both"/>
        <w:rPr>
          <w:b/>
        </w:rPr>
      </w:pPr>
      <w:r w:rsidRPr="00D742F5">
        <w:rPr>
          <w:b/>
        </w:rPr>
        <w:t>The Girl-Child Situation</w:t>
      </w:r>
    </w:p>
    <w:p w:rsidR="005E0B12" w:rsidRPr="002F3CAF" w:rsidRDefault="005E0B12" w:rsidP="005E0B12">
      <w:pPr>
        <w:jc w:val="both"/>
        <w:rPr>
          <w:b/>
          <w:u w:val="single"/>
        </w:rPr>
      </w:pPr>
      <w:r w:rsidRPr="002F3CAF">
        <w:tab/>
        <w:t>The roots of the disadvantages faced by women lie in childhood (</w:t>
      </w:r>
      <w:proofErr w:type="spellStart"/>
      <w:r w:rsidRPr="002F3CAF">
        <w:t>Ajala</w:t>
      </w:r>
      <w:proofErr w:type="spellEnd"/>
      <w:r w:rsidRPr="002F3CAF">
        <w:t>, 2000).  Discrepancies between males and females begin to open up in early childhood, reflecting the discriminatory attitudes current in the social environment as well as the self-image which such attitudes engender in girls.  World-wide, girls children experience disadvantage in the form of a shorter and lower-level education, less food, less say in what affects their lives and bodies, and heavy household responsibilities (</w:t>
      </w:r>
      <w:proofErr w:type="spellStart"/>
      <w:r w:rsidRPr="002F3CAF">
        <w:t>Ghosh</w:t>
      </w:r>
      <w:proofErr w:type="spellEnd"/>
      <w:r w:rsidRPr="002F3CAF">
        <w:t xml:space="preserve">, 1992).  Indeed, social discrimination against women has been found to begin at birth (Shiva, 1991; </w:t>
      </w:r>
      <w:proofErr w:type="spellStart"/>
      <w:r w:rsidRPr="002F3CAF">
        <w:t>Olunloyo</w:t>
      </w:r>
      <w:proofErr w:type="spellEnd"/>
      <w:r w:rsidRPr="002F3CAF">
        <w:t>, 1993).</w:t>
      </w:r>
    </w:p>
    <w:p w:rsidR="005E0B12" w:rsidRPr="002F3CAF" w:rsidRDefault="005E0B12" w:rsidP="005E0B12">
      <w:pPr>
        <w:jc w:val="both"/>
      </w:pPr>
      <w:r w:rsidRPr="002F3CAF">
        <w:tab/>
        <w:t>Evidence indicates that a girl child faces discrimination and inequality (</w:t>
      </w:r>
      <w:proofErr w:type="spellStart"/>
      <w:r w:rsidRPr="002F3CAF">
        <w:t>Pandey</w:t>
      </w:r>
      <w:proofErr w:type="spellEnd"/>
      <w:r w:rsidRPr="002F3CAF">
        <w:t xml:space="preserve">, 1995).  As rightly observed by </w:t>
      </w:r>
      <w:proofErr w:type="spellStart"/>
      <w:r w:rsidRPr="002F3CAF">
        <w:t>Sogunro</w:t>
      </w:r>
      <w:proofErr w:type="spellEnd"/>
      <w:r w:rsidRPr="002F3CAF">
        <w:t xml:space="preserve"> </w:t>
      </w:r>
      <w:r w:rsidRPr="002F3CAF">
        <w:rPr>
          <w:i/>
        </w:rPr>
        <w:t>et al</w:t>
      </w:r>
      <w:r w:rsidRPr="002F3CAF">
        <w:t xml:space="preserve"> (1994), African girls are disadvantaged from birth by the male-bias which exists in African society.  This inequality does not only afford them less attention but it also affords them less education, less status and less control over their lives.  Those who bring children up pass on to them a set of social and religious norms and values (</w:t>
      </w:r>
      <w:proofErr w:type="spellStart"/>
      <w:r w:rsidRPr="002F3CAF">
        <w:t>Ajala</w:t>
      </w:r>
      <w:proofErr w:type="spellEnd"/>
      <w:r w:rsidRPr="002F3CAF">
        <w:t xml:space="preserve">, 2000) which constrain their access to residential land and legal security of tenure when they reach the stage of </w:t>
      </w:r>
      <w:proofErr w:type="spellStart"/>
      <w:r w:rsidRPr="002F3CAF">
        <w:t>womenhood</w:t>
      </w:r>
      <w:proofErr w:type="spellEnd"/>
      <w:r w:rsidRPr="002F3CAF">
        <w:t>. Family socializes children based on a norm of gender and age inequalities (Desai, 1995).  The status of women will be improved if the issues concerning the girl child are given adequate attention, for the girl of today is the woman of tomorrow (</w:t>
      </w:r>
      <w:proofErr w:type="spellStart"/>
      <w:r w:rsidRPr="002F3CAF">
        <w:t>Ajala</w:t>
      </w:r>
      <w:proofErr w:type="spellEnd"/>
      <w:r w:rsidRPr="002F3CAF">
        <w:t xml:space="preserve">, 2000). </w:t>
      </w:r>
    </w:p>
    <w:p w:rsidR="005E0B12" w:rsidRDefault="005E0B12" w:rsidP="005E0B12">
      <w:pPr>
        <w:jc w:val="both"/>
      </w:pPr>
    </w:p>
    <w:p w:rsidR="005E0B12" w:rsidRPr="001359F7" w:rsidRDefault="005E0B12" w:rsidP="005E0B12">
      <w:pPr>
        <w:jc w:val="both"/>
        <w:rPr>
          <w:b/>
        </w:rPr>
      </w:pPr>
      <w:r>
        <w:rPr>
          <w:b/>
        </w:rPr>
        <w:t xml:space="preserve">Urban Land </w:t>
      </w:r>
      <w:r w:rsidRPr="001359F7">
        <w:rPr>
          <w:b/>
        </w:rPr>
        <w:t>Governance</w:t>
      </w:r>
    </w:p>
    <w:p w:rsidR="005E0B12" w:rsidRDefault="005E0B12" w:rsidP="005E0B12">
      <w:pPr>
        <w:jc w:val="both"/>
      </w:pPr>
      <w:r w:rsidRPr="00952B80">
        <w:t xml:space="preserve">Governance is defined as the exercise of political, economic and administrative authority to manage a nation’s or society’s affairs (UNDP, 1997; FAO, 2007). </w:t>
      </w:r>
      <w:r>
        <w:t xml:space="preserve">It </w:t>
      </w:r>
      <w:r w:rsidRPr="00952B80">
        <w:t>is concerned with the process by which citizens participate in decision-making, how government is accountable to its citizens and how society obliged its members to observe it rules and laws. In other words, it is the way in which the society is managed and how the competing priorities and interests of different individuals and groups are reconciled. This is the basis to introduce the concept of governance which is particularly important at the urban level and will grow in importance within the next 30 years (</w:t>
      </w:r>
      <w:proofErr w:type="spellStart"/>
      <w:r w:rsidRPr="00952B80">
        <w:t>Rabinovitch</w:t>
      </w:r>
      <w:proofErr w:type="spellEnd"/>
      <w:r w:rsidRPr="00952B80">
        <w:t>, 2000).</w:t>
      </w:r>
    </w:p>
    <w:p w:rsidR="005E0B12" w:rsidRDefault="005E0B12" w:rsidP="005E0B12">
      <w:pPr>
        <w:jc w:val="both"/>
      </w:pPr>
      <w:r>
        <w:lastRenderedPageBreak/>
        <w:tab/>
      </w:r>
      <w:r w:rsidRPr="00952B80">
        <w:t xml:space="preserve">Although much has been written about the importance of good governance in achieving development goals, there are comparatively little materials on good governance in land tenure and administration (FAO, 2007). In conceptualizing governance in relation to land delivery, a central aspect is no longer only that of the government in land administration </w:t>
      </w:r>
      <w:r>
        <w:t>“</w:t>
      </w:r>
      <w:r w:rsidRPr="00952B80">
        <w:t>per se</w:t>
      </w:r>
      <w:r>
        <w:t>”</w:t>
      </w:r>
      <w:r w:rsidRPr="00952B80">
        <w:t>, but rather the quality of relationship between the various realms of governance that are involved in legal land delivery. It includes the formal institutions of government but also informal arrangements. Land issues cut across societ</w:t>
      </w:r>
      <w:r>
        <w:t>ies</w:t>
      </w:r>
      <w:r w:rsidRPr="00952B80">
        <w:t xml:space="preserve">, and a well-governed land administration system can strengthen local institutions, thereby contributing broadly to governance. </w:t>
      </w:r>
    </w:p>
    <w:p w:rsidR="005E0B12" w:rsidRPr="00952B80" w:rsidRDefault="005E0B12" w:rsidP="005E0B12">
      <w:pPr>
        <w:jc w:val="both"/>
      </w:pPr>
      <w:r w:rsidRPr="00952B80">
        <w:tab/>
        <w:t xml:space="preserve">Governance embraces all of the methods – </w:t>
      </w:r>
      <w:r>
        <w:t>“</w:t>
      </w:r>
      <w:r w:rsidRPr="00952B80">
        <w:t>good and bad</w:t>
      </w:r>
      <w:r>
        <w:t>”</w:t>
      </w:r>
      <w:r w:rsidRPr="00952B80">
        <w:t xml:space="preserve"> – that societies use to distribute power and manage public resources (UNDP, 1997)</w:t>
      </w:r>
      <w:r>
        <w:t xml:space="preserve"> such as state land and public housing</w:t>
      </w:r>
      <w:r w:rsidRPr="00952B80">
        <w:t xml:space="preserve">. Good governance can be assessed in the extent to which land administrators ensure that people </w:t>
      </w:r>
      <w:r>
        <w:t xml:space="preserve">(irrespective of sex, social class, race, etc) </w:t>
      </w:r>
      <w:r w:rsidRPr="00952B80">
        <w:t>within their boundaries have access to legal sites.</w:t>
      </w:r>
    </w:p>
    <w:p w:rsidR="005E0B12" w:rsidRDefault="005E0B12" w:rsidP="005E0B12">
      <w:pPr>
        <w:jc w:val="both"/>
      </w:pPr>
      <w:r w:rsidRPr="00952B80">
        <w:tab/>
        <w:t>Governance can be poor if government is corruptible, tyrannical, undemocratic, incompetent and ineffective (FAO, 2007). Weak governance</w:t>
      </w:r>
      <w:r>
        <w:t xml:space="preserve"> in formal land administration</w:t>
      </w:r>
      <w:r w:rsidRPr="00952B80">
        <w:t xml:space="preserve"> means that the land rights of the </w:t>
      </w:r>
      <w:r>
        <w:t xml:space="preserve">disadvantaged groups, women included </w:t>
      </w:r>
      <w:r w:rsidRPr="00952B80">
        <w:t xml:space="preserve">are not protected. It affects the </w:t>
      </w:r>
      <w:r>
        <w:t xml:space="preserve">women </w:t>
      </w:r>
      <w:r w:rsidRPr="00952B80">
        <w:t xml:space="preserve">in particular and may leave them marginalized. Weak urban land governance may also mean that land is not used appropriately to create wealth for the benefit of </w:t>
      </w:r>
      <w:r>
        <w:t xml:space="preserve">both male and female in the </w:t>
      </w:r>
      <w:r w:rsidRPr="00952B80">
        <w:t xml:space="preserve">society. </w:t>
      </w:r>
      <w:r>
        <w:t>Land a</w:t>
      </w:r>
      <w:r w:rsidRPr="00952B80">
        <w:t xml:space="preserve">dministration in chaos and unclear procedures help officials to secure bribes. For example, users of land registration may be obliged to make additional unofficial payments to get officials to process their documents. Officials discriminate in </w:t>
      </w:r>
      <w:proofErr w:type="spellStart"/>
      <w:r w:rsidRPr="00952B80">
        <w:t>favour</w:t>
      </w:r>
      <w:proofErr w:type="spellEnd"/>
      <w:r w:rsidRPr="00952B80">
        <w:t xml:space="preserve"> of the bribers. Those without the resources to bribe corrupt officials are left out, inevitably the poor suffer, and women more than men (FAO, 2007).</w:t>
      </w:r>
    </w:p>
    <w:p w:rsidR="005E0B12" w:rsidRDefault="005E0B12" w:rsidP="005E0B12">
      <w:pPr>
        <w:jc w:val="both"/>
      </w:pPr>
      <w:r>
        <w:tab/>
      </w:r>
      <w:r w:rsidRPr="00952B80">
        <w:t xml:space="preserve">The extent to which the state mediates relationships between women and men has critical implications for those who have access to land and secured tenure.  The last decade has witnessed important expansion of research on the state and the extent to which it liberates or controls the lives of women through a diversity of social, economic, political and legal policies (Moser, 1993). The modern State has failed to address squarely the sources of inequality such as unequal distribution of land between men and women. Basic requirements for granting access to land with secured tenure do not take ‘into account the needs of the poor, equal access to land, fair distribution and gender equality’ (UN-Habitat, 2003). This is </w:t>
      </w:r>
      <w:proofErr w:type="spellStart"/>
      <w:r w:rsidRPr="00952B80">
        <w:t>inspite</w:t>
      </w:r>
      <w:proofErr w:type="spellEnd"/>
      <w:r w:rsidRPr="00952B80">
        <w:t xml:space="preserve"> of the fact that in the last two decades, there has been an increase in the numbers of female headed and female-maintained households in developing countries (Bruce and </w:t>
      </w:r>
      <w:proofErr w:type="spellStart"/>
      <w:r w:rsidRPr="00952B80">
        <w:t>Llyod</w:t>
      </w:r>
      <w:proofErr w:type="spellEnd"/>
      <w:r w:rsidRPr="00952B80">
        <w:t>, 1991).</w:t>
      </w:r>
    </w:p>
    <w:p w:rsidR="005E0B12" w:rsidRPr="00B814E0" w:rsidRDefault="005E0B12" w:rsidP="005E0B12">
      <w:pPr>
        <w:ind w:firstLine="720"/>
        <w:jc w:val="both"/>
      </w:pPr>
      <w:r w:rsidRPr="002F3CAF">
        <w:t>In the past, Third World cities had a tremendous ability to provide residential land for its growing populations. Land has been available in fairly central location because of the loose structure of the cities and large public landholdings (</w:t>
      </w:r>
      <w:proofErr w:type="spellStart"/>
      <w:r w:rsidRPr="002F3CAF">
        <w:rPr>
          <w:color w:val="000000"/>
        </w:rPr>
        <w:t>Keivani</w:t>
      </w:r>
      <w:proofErr w:type="spellEnd"/>
      <w:r w:rsidRPr="002F3CAF">
        <w:rPr>
          <w:color w:val="000000"/>
        </w:rPr>
        <w:t>, Mattingly</w:t>
      </w:r>
      <w:r w:rsidRPr="002F3CAF">
        <w:rPr>
          <w:rStyle w:val="caps"/>
          <w:color w:val="000000"/>
        </w:rPr>
        <w:t xml:space="preserve"> </w:t>
      </w:r>
      <w:r w:rsidRPr="002F3CAF">
        <w:rPr>
          <w:color w:val="000000"/>
        </w:rPr>
        <w:t xml:space="preserve">and </w:t>
      </w:r>
      <w:proofErr w:type="spellStart"/>
      <w:r w:rsidRPr="002F3CAF">
        <w:rPr>
          <w:color w:val="000000"/>
        </w:rPr>
        <w:t>Majedi</w:t>
      </w:r>
      <w:proofErr w:type="spellEnd"/>
      <w:r w:rsidRPr="002F3CAF">
        <w:rPr>
          <w:color w:val="000000"/>
        </w:rPr>
        <w:t>, 2008)</w:t>
      </w:r>
      <w:r w:rsidRPr="002F3CAF">
        <w:t>. However, disadvantaged groups’ housing opportunities in many developing cities have rapidly been decreasing as there has been a commercialization of the urban land and, thus, rapid increases in land prices. As more and more land is being purchased by highly organized professional land developers with access to a considerable amount of capital (</w:t>
      </w:r>
      <w:proofErr w:type="spellStart"/>
      <w:r w:rsidRPr="002F3CAF">
        <w:rPr>
          <w:color w:val="000000"/>
        </w:rPr>
        <w:t>Keivani</w:t>
      </w:r>
      <w:proofErr w:type="spellEnd"/>
      <w:r w:rsidRPr="002F3CAF">
        <w:rPr>
          <w:color w:val="000000"/>
        </w:rPr>
        <w:t>, Mattingly</w:t>
      </w:r>
      <w:r w:rsidRPr="002F3CAF">
        <w:rPr>
          <w:rStyle w:val="caps"/>
          <w:color w:val="000000"/>
        </w:rPr>
        <w:t xml:space="preserve"> </w:t>
      </w:r>
      <w:r w:rsidRPr="002F3CAF">
        <w:rPr>
          <w:color w:val="000000"/>
        </w:rPr>
        <w:t xml:space="preserve">and </w:t>
      </w:r>
      <w:proofErr w:type="spellStart"/>
      <w:r w:rsidRPr="002F3CAF">
        <w:rPr>
          <w:color w:val="000000"/>
        </w:rPr>
        <w:t>Majedi</w:t>
      </w:r>
      <w:proofErr w:type="spellEnd"/>
      <w:r w:rsidRPr="002F3CAF">
        <w:rPr>
          <w:color w:val="000000"/>
        </w:rPr>
        <w:t>, 2008), disadvantaged groups such as the urban poor, the aged and women’s chances of gaining access to land have been reduced.</w:t>
      </w:r>
      <w:r w:rsidRPr="002F3CAF">
        <w:rPr>
          <w:b/>
        </w:rPr>
        <w:t xml:space="preserve"> </w:t>
      </w:r>
    </w:p>
    <w:p w:rsidR="005E0B12" w:rsidRPr="002F3CAF" w:rsidRDefault="005E0B12" w:rsidP="005E0B12">
      <w:pPr>
        <w:jc w:val="both"/>
      </w:pPr>
      <w:r w:rsidRPr="002F3CAF">
        <w:tab/>
        <w:t xml:space="preserve">Governments’ main role as an ‘enabler’ rather than as provider of  “low cost’ housing requires actions to ensure a competitive but regulated market in land, housing finance and building materials and to remove unnecessary bureaucratic constraints in the different stages of housing production (UNCHS, 1996). Housing enabling strategy is a concept that </w:t>
      </w:r>
      <w:proofErr w:type="spellStart"/>
      <w:r w:rsidRPr="002F3CAF">
        <w:t>favours</w:t>
      </w:r>
      <w:proofErr w:type="spellEnd"/>
      <w:r w:rsidRPr="002F3CAF">
        <w:t xml:space="preserve"> the </w:t>
      </w:r>
      <w:r w:rsidRPr="002F3CAF">
        <w:lastRenderedPageBreak/>
        <w:t xml:space="preserve">government assuming the role of “supporter” in contrast to “provider” in the housing sector. Instead of embarking on the construction of dwelling units, the government is to concentrate on managing the legal, regulatory and financial frameworks in such a way as to create an environment for the people and the private sector to provide housing (UNCHS, 1996). The World Bank (2003) identifies seven enabling instruments and one of these is </w:t>
      </w:r>
      <w:r>
        <w:t xml:space="preserve">the establishment of sites and services schemes. </w:t>
      </w:r>
      <w:r w:rsidRPr="002F3CAF">
        <w:t xml:space="preserve">Government sites-and-services schemes provide the target group with a plot and basic infrastructure, such as water, roads and sanitation facilities. </w:t>
      </w:r>
    </w:p>
    <w:p w:rsidR="005E0B12" w:rsidRPr="002F3CAF" w:rsidRDefault="005E0B12" w:rsidP="005E0B12">
      <w:pPr>
        <w:pStyle w:val="NormalWeb"/>
        <w:spacing w:before="0" w:beforeAutospacing="0" w:after="0"/>
        <w:ind w:firstLine="360"/>
        <w:jc w:val="both"/>
      </w:pPr>
      <w:r w:rsidRPr="002F3CAF">
        <w:t>Sites-and-services schemes have, often, proved to be unaffordable or inaccessible for an average woman. Some of the problems which have been discussed</w:t>
      </w:r>
      <w:r w:rsidRPr="002F3CAF">
        <w:rPr>
          <w:color w:val="000000"/>
        </w:rPr>
        <w:t xml:space="preserve"> (</w:t>
      </w:r>
      <w:proofErr w:type="spellStart"/>
      <w:r w:rsidRPr="002F3CAF">
        <w:rPr>
          <w:color w:val="000000"/>
        </w:rPr>
        <w:t>Keivani</w:t>
      </w:r>
      <w:proofErr w:type="spellEnd"/>
      <w:r w:rsidRPr="002F3CAF">
        <w:rPr>
          <w:color w:val="000000"/>
        </w:rPr>
        <w:t>, Mattingly</w:t>
      </w:r>
      <w:r w:rsidRPr="002F3CAF">
        <w:rPr>
          <w:rStyle w:val="caps"/>
          <w:color w:val="000000"/>
        </w:rPr>
        <w:t xml:space="preserve"> </w:t>
      </w:r>
      <w:r w:rsidRPr="002F3CAF">
        <w:rPr>
          <w:color w:val="000000"/>
        </w:rPr>
        <w:t xml:space="preserve">and </w:t>
      </w:r>
      <w:proofErr w:type="spellStart"/>
      <w:r w:rsidRPr="002F3CAF">
        <w:rPr>
          <w:color w:val="000000"/>
        </w:rPr>
        <w:t>Majedi</w:t>
      </w:r>
      <w:proofErr w:type="spellEnd"/>
      <w:r w:rsidRPr="002F3CAF">
        <w:rPr>
          <w:color w:val="000000"/>
        </w:rPr>
        <w:t>, 2008)</w:t>
      </w:r>
      <w:r w:rsidRPr="002F3CAF">
        <w:t xml:space="preserve"> are:</w:t>
      </w:r>
    </w:p>
    <w:p w:rsidR="005E0B12" w:rsidRPr="002F3CAF" w:rsidRDefault="005E0B12" w:rsidP="005E0B12">
      <w:pPr>
        <w:numPr>
          <w:ilvl w:val="0"/>
          <w:numId w:val="1"/>
        </w:numPr>
        <w:spacing w:before="100" w:beforeAutospacing="1" w:after="100" w:afterAutospacing="1"/>
        <w:jc w:val="both"/>
      </w:pPr>
      <w:r w:rsidRPr="002F3CAF">
        <w:t xml:space="preserve">Location. Many projects have been situated in the urban fringe in order to reduce costs for purchasing land. These locations have often been too far from income-generating activities. Furthermore, the costs for service provision have increased because of the distance to the existing service network; </w:t>
      </w:r>
    </w:p>
    <w:p w:rsidR="005E0B12" w:rsidRPr="002F3CAF" w:rsidRDefault="005E0B12" w:rsidP="005E0B12">
      <w:pPr>
        <w:numPr>
          <w:ilvl w:val="0"/>
          <w:numId w:val="1"/>
        </w:numPr>
        <w:spacing w:before="100" w:beforeAutospacing="1" w:after="100" w:afterAutospacing="1"/>
        <w:jc w:val="both"/>
      </w:pPr>
      <w:r w:rsidRPr="002F3CAF">
        <w:t xml:space="preserve">Failure to include one or more components. Many projects have failed to realize how comprehensive a scheme would have to be. Some examples of common shortcomings are access to finance, lack of income-generating activities, failure to mix various income groups (a nearby medium- or high-income area would, for example, provide income opportunities), a healthy mix of commercial and residential land use, social activities such as cinemas etc; </w:t>
      </w:r>
    </w:p>
    <w:p w:rsidR="005E0B12" w:rsidRPr="002F3CAF" w:rsidRDefault="005E0B12" w:rsidP="005E0B12">
      <w:pPr>
        <w:numPr>
          <w:ilvl w:val="0"/>
          <w:numId w:val="1"/>
        </w:numPr>
        <w:spacing w:before="100" w:beforeAutospacing="1" w:after="100" w:afterAutospacing="1"/>
        <w:jc w:val="both"/>
      </w:pPr>
      <w:r w:rsidRPr="002F3CAF">
        <w:t xml:space="preserve">Selection of eligible households. The process often takes a very long time and is hampered by problems of defining criteria for eligibility in order to avoid corruption and accusations of beneficiaries being selected for political reasons; </w:t>
      </w:r>
    </w:p>
    <w:p w:rsidR="005E0B12" w:rsidRPr="002F3CAF" w:rsidRDefault="005E0B12" w:rsidP="005E0B12">
      <w:pPr>
        <w:numPr>
          <w:ilvl w:val="0"/>
          <w:numId w:val="1"/>
        </w:numPr>
        <w:spacing w:before="100" w:beforeAutospacing="1" w:after="100" w:afterAutospacing="1"/>
        <w:jc w:val="both"/>
      </w:pPr>
      <w:r w:rsidRPr="002F3CAF">
        <w:t xml:space="preserve">Standards. Government officials in many countries still insist on standards which are too expensive for the intended beneficiaries, women included. Most officials, politicians and professionals have little contact with the actual economic and physical realities of women and have problems accepting the lower building standards required; </w:t>
      </w:r>
    </w:p>
    <w:p w:rsidR="005E0B12" w:rsidRPr="002F3CAF" w:rsidRDefault="005E0B12" w:rsidP="005E0B12">
      <w:pPr>
        <w:numPr>
          <w:ilvl w:val="0"/>
          <w:numId w:val="1"/>
        </w:numPr>
        <w:spacing w:before="100" w:beforeAutospacing="1" w:after="100" w:afterAutospacing="1"/>
        <w:jc w:val="both"/>
      </w:pPr>
      <w:r w:rsidRPr="002F3CAF">
        <w:t xml:space="preserve">Administrative delay and shortage of skilled staff. The provision of some necessary services has sometimes been delayed for years because various government agencies have different priorities and lack of coordination. This delay typically increases the costs for the beneficiaries, women included (Gilbert, 1993). </w:t>
      </w:r>
    </w:p>
    <w:p w:rsidR="005E0B12" w:rsidRPr="002F3CAF" w:rsidRDefault="005E0B12" w:rsidP="005E0B12">
      <w:pPr>
        <w:spacing w:before="100" w:beforeAutospacing="1" w:after="100" w:afterAutospacing="1"/>
        <w:ind w:firstLine="360"/>
        <w:jc w:val="both"/>
      </w:pPr>
      <w:r w:rsidRPr="002F3CAF">
        <w:t>Although the sites-and-services approach offers many opportunities, it is not a feasible method for providing housing to the majority of female headed households because of the huge shortage in the existing housing stock and high costs. The state (via the urban governments) produced land scarcity through the legal procedure adopted for land ownership.  This is peculiar mostly to the dependent capitalist economies where the procedure could be described as long, costly, time consuming, inefficient and unduly cumbersome ‘and they are often kept that way to allow middlemen and government officials to display their authority and earn an extra income’ (</w:t>
      </w:r>
      <w:proofErr w:type="spellStart"/>
      <w:r w:rsidRPr="002F3CAF">
        <w:t>Sheng</w:t>
      </w:r>
      <w:proofErr w:type="spellEnd"/>
      <w:r w:rsidRPr="002F3CAF">
        <w:t xml:space="preserve">, 2000).  State land has, thus, become a scarce commodity to the disadvantaged groups as substantial part of the land goes to the rich.  To corroborate this, UNCHS (1996) cited the example of the role of Delhi Development Authority in India where a substantial part of the land it releases goes to high-income groups with less than 10 per cent going to lower-income groups. The case of India is not different from other dependent capitalist states. </w:t>
      </w:r>
    </w:p>
    <w:p w:rsidR="005E0B12" w:rsidRPr="002F3CAF" w:rsidRDefault="005E0B12" w:rsidP="005E0B12">
      <w:pPr>
        <w:widowControl w:val="0"/>
        <w:autoSpaceDE w:val="0"/>
        <w:autoSpaceDN w:val="0"/>
        <w:adjustRightInd w:val="0"/>
        <w:jc w:val="both"/>
      </w:pPr>
      <w:r w:rsidRPr="002F3CAF">
        <w:lastRenderedPageBreak/>
        <w:tab/>
        <w:t xml:space="preserve"> </w:t>
      </w:r>
    </w:p>
    <w:p w:rsidR="005E0B12" w:rsidRPr="002F3CAF" w:rsidRDefault="005E0B12" w:rsidP="005E0B12">
      <w:pPr>
        <w:ind w:firstLine="720"/>
        <w:jc w:val="both"/>
      </w:pPr>
      <w:r w:rsidRPr="002F3CAF">
        <w:t>To be integrated fully into the city economy, all persons should possess a reliable degree of security of land tenure that guarantees legal protection against forced eviction, harassment and other threats (United Nations, 1992). Legal security of tenure ensures adequate access to land on a secured tenure basis and this enables the individual and community to plan on a sustainable basis the use of land without fear of involuntary removal or adverse “legal” claim of titles or ownership based upon objectionable and unreasonable grounds that debars the occupants from future use of land (</w:t>
      </w:r>
      <w:proofErr w:type="spellStart"/>
      <w:r w:rsidRPr="002F3CAF">
        <w:t>Onyekpere</w:t>
      </w:r>
      <w:proofErr w:type="spellEnd"/>
      <w:r w:rsidRPr="002F3CAF">
        <w:t>, 2000).  Providing legal security of tenure and equal access to secured residential land for all people irrespective of sex is one of the major prerequisites of sustainable housing delivery and urban development. Security of tenure is closely linked to two central objectives at international policies; the right to adequate housing or shelter and sustainable resource management (UNCHS, 2000). In Habitat Agenda 21, the significance of access to land and security of tenure are underlined in the chapter as “promoting sustainable human settlements”. Hence, to the extent that legal security of tenure is not provided in an area, proper management of local resources will remain an illusion and sustainable urban development will continue to remain a receding mirage in the horizon of the citizens (</w:t>
      </w:r>
      <w:proofErr w:type="spellStart"/>
      <w:r w:rsidRPr="002F3CAF">
        <w:t>Ugochukwu</w:t>
      </w:r>
      <w:proofErr w:type="spellEnd"/>
      <w:r w:rsidRPr="002F3CAF">
        <w:t xml:space="preserve"> 2001). </w:t>
      </w:r>
    </w:p>
    <w:p w:rsidR="005E0B12" w:rsidRDefault="005E0B12" w:rsidP="005E0B12">
      <w:pPr>
        <w:jc w:val="both"/>
      </w:pPr>
      <w:r>
        <w:tab/>
      </w:r>
    </w:p>
    <w:p w:rsidR="005E0B12" w:rsidRPr="002F3CAF" w:rsidRDefault="005E0B12" w:rsidP="005E0B12">
      <w:pPr>
        <w:jc w:val="both"/>
      </w:pPr>
      <w:r>
        <w:tab/>
        <w:t xml:space="preserve"> </w:t>
      </w:r>
    </w:p>
    <w:p w:rsidR="005E0B12" w:rsidRPr="002F3CAF" w:rsidRDefault="005E0B12" w:rsidP="005E0B12">
      <w:pPr>
        <w:jc w:val="both"/>
        <w:rPr>
          <w:b/>
        </w:rPr>
      </w:pPr>
      <w:r>
        <w:rPr>
          <w:b/>
        </w:rPr>
        <w:t>3.0</w:t>
      </w:r>
      <w:r>
        <w:rPr>
          <w:b/>
        </w:rPr>
        <w:tab/>
      </w:r>
      <w:r w:rsidRPr="002F3CAF">
        <w:rPr>
          <w:b/>
        </w:rPr>
        <w:t>Conclusion</w:t>
      </w:r>
    </w:p>
    <w:p w:rsidR="005E0B12" w:rsidRDefault="005E0B12" w:rsidP="005E0B12">
      <w:pPr>
        <w:jc w:val="both"/>
      </w:pPr>
      <w:r w:rsidRPr="002F3CAF">
        <w:tab/>
      </w:r>
      <w:r>
        <w:t xml:space="preserve">It can be inferred from the foregoing discussion that gender analysis helps in the recognition that because women and men have different positions within the household and different control over resources, men and women access to secured residential land differs markedly. In this respect, it is true that the female gender has been subordinated historically, thus, striving for gender equality through right to land and secure tenure would mean not only providing access to an important resource for female in the same term as male enjoy but it would mean also taking positive steps to redress the injustice of exclusion. Redressing inequality in access to secure land is a means of achieving “gender equality” or “gender justice”. There has been </w:t>
      </w:r>
      <w:proofErr w:type="spellStart"/>
      <w:r>
        <w:t>clamour</w:t>
      </w:r>
      <w:proofErr w:type="spellEnd"/>
      <w:r>
        <w:t xml:space="preserve"> for what has been called variously “gender equality”, “gender sensitivity”, “gender awareness”, “gender consciousness”, “gender balance”, “gender justice” amongst many others to redress injustice to women.</w:t>
      </w:r>
    </w:p>
    <w:p w:rsidR="005E0B12" w:rsidRDefault="005E0B12" w:rsidP="005E0B12">
      <w:pPr>
        <w:jc w:val="both"/>
      </w:pPr>
    </w:p>
    <w:p w:rsidR="005E0B12" w:rsidRDefault="005E0B12" w:rsidP="005E0B12">
      <w:pPr>
        <w:jc w:val="both"/>
      </w:pPr>
    </w:p>
    <w:p w:rsidR="005E0B12" w:rsidRDefault="005E0B12" w:rsidP="005E0B12"/>
    <w:p w:rsidR="005E0B12" w:rsidRPr="00BB2CFA" w:rsidRDefault="005E0B12" w:rsidP="005E0B12">
      <w:pPr>
        <w:widowControl w:val="0"/>
        <w:autoSpaceDE w:val="0"/>
        <w:autoSpaceDN w:val="0"/>
        <w:adjustRightInd w:val="0"/>
        <w:jc w:val="center"/>
        <w:rPr>
          <w:b/>
          <w:bCs/>
        </w:rPr>
      </w:pPr>
      <w:r w:rsidRPr="00BB2CFA">
        <w:rPr>
          <w:b/>
        </w:rPr>
        <w:t>REFERENCES</w:t>
      </w:r>
    </w:p>
    <w:p w:rsidR="005E0B12" w:rsidRPr="00BB2CFA" w:rsidRDefault="005E0B12" w:rsidP="005E0B12">
      <w:pPr>
        <w:ind w:left="720" w:hanging="720"/>
        <w:jc w:val="both"/>
      </w:pPr>
    </w:p>
    <w:p w:rsidR="005E0B12" w:rsidRDefault="005E0B12" w:rsidP="005E0B12">
      <w:pPr>
        <w:jc w:val="both"/>
      </w:pPr>
      <w:proofErr w:type="spellStart"/>
      <w:proofErr w:type="gramStart"/>
      <w:r w:rsidRPr="00BB2CFA">
        <w:t>Agbola</w:t>
      </w:r>
      <w:proofErr w:type="spellEnd"/>
      <w:r w:rsidRPr="00BB2CFA">
        <w:t>, T. (1990).</w:t>
      </w:r>
      <w:proofErr w:type="gramEnd"/>
      <w:r w:rsidRPr="00BB2CFA">
        <w:t xml:space="preserve"> The nature of women’s involvement in housing development: a </w:t>
      </w:r>
      <w:r w:rsidRPr="00BB2CFA">
        <w:tab/>
        <w:t xml:space="preserve">survey </w:t>
      </w:r>
      <w:r w:rsidRPr="00BB2CFA">
        <w:tab/>
        <w:t xml:space="preserve">of the literature. </w:t>
      </w:r>
      <w:r w:rsidRPr="00BB2CFA">
        <w:rPr>
          <w:i/>
        </w:rPr>
        <w:t>Urban Quarterly</w:t>
      </w:r>
      <w:r w:rsidRPr="00BB2CFA">
        <w:t xml:space="preserve">, </w:t>
      </w:r>
      <w:r w:rsidRPr="00BB2CFA">
        <w:rPr>
          <w:b/>
          <w:bCs/>
        </w:rPr>
        <w:t>5</w:t>
      </w:r>
      <w:r w:rsidRPr="00BB2CFA">
        <w:t xml:space="preserve"> (394): 178-186.</w:t>
      </w:r>
    </w:p>
    <w:p w:rsidR="005E0B12" w:rsidRPr="00BB2CFA" w:rsidRDefault="005E0B12" w:rsidP="005E0B12">
      <w:pPr>
        <w:jc w:val="both"/>
      </w:pPr>
    </w:p>
    <w:p w:rsidR="005E0B12" w:rsidRPr="00BB2CFA" w:rsidRDefault="005E0B12" w:rsidP="005E0B12">
      <w:pPr>
        <w:pStyle w:val="BodyTextIndent"/>
        <w:ind w:left="792" w:hanging="720"/>
        <w:jc w:val="both"/>
      </w:pPr>
      <w:proofErr w:type="spellStart"/>
      <w:r w:rsidRPr="00BB2CFA">
        <w:t>Ajala</w:t>
      </w:r>
      <w:proofErr w:type="spellEnd"/>
      <w:r w:rsidRPr="00BB2CFA">
        <w:t>, O. A. (2000).  The girl-child situation: determinants, patterns and perception. Monograph Series No. 6, Nigerian Institute of Social and Economic Research (NISER), Ibadan, Nigeria.</w:t>
      </w:r>
    </w:p>
    <w:p w:rsidR="005E0B12" w:rsidRPr="00BB2CFA" w:rsidRDefault="005E0B12" w:rsidP="005E0B12">
      <w:pPr>
        <w:pStyle w:val="BodyTextIndent"/>
        <w:ind w:left="792" w:hanging="720"/>
        <w:jc w:val="both"/>
      </w:pPr>
      <w:proofErr w:type="spellStart"/>
      <w:r w:rsidRPr="00BB2CFA">
        <w:t>Alonge</w:t>
      </w:r>
      <w:proofErr w:type="spellEnd"/>
      <w:r w:rsidRPr="00BB2CFA">
        <w:t xml:space="preserve">, K. S. (2004).  </w:t>
      </w:r>
      <w:proofErr w:type="gramStart"/>
      <w:r w:rsidRPr="00BB2CFA">
        <w:t>Determinants of women’s empowerment in Ibadan metropolis.</w:t>
      </w:r>
      <w:proofErr w:type="gramEnd"/>
      <w:r w:rsidRPr="00BB2CFA">
        <w:t xml:space="preserve">  </w:t>
      </w:r>
      <w:proofErr w:type="gramStart"/>
      <w:r w:rsidRPr="00BB2CFA">
        <w:t>Occasional Paper No. 1, Nigerian Institute of Social and Economic Research (NISER), Ibadan, Nigeria.</w:t>
      </w:r>
      <w:proofErr w:type="gramEnd"/>
    </w:p>
    <w:p w:rsidR="005E0B12" w:rsidRPr="00BB2CFA" w:rsidRDefault="005E0B12" w:rsidP="005E0B12">
      <w:pPr>
        <w:jc w:val="both"/>
      </w:pP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lastRenderedPageBreak/>
        <w:t>Atsenuwa</w:t>
      </w:r>
      <w:proofErr w:type="spellEnd"/>
      <w:r w:rsidRPr="00BB2CFA">
        <w:t xml:space="preserve">, A. (2001). </w:t>
      </w:r>
      <w:proofErr w:type="gramStart"/>
      <w:r w:rsidRPr="00BB2CFA">
        <w:t>The right to education and gender equality.</w:t>
      </w:r>
      <w:proofErr w:type="gramEnd"/>
      <w:r w:rsidRPr="00BB2CFA">
        <w:t xml:space="preserve"> </w:t>
      </w:r>
      <w:r w:rsidRPr="00BB2CFA">
        <w:rPr>
          <w:i/>
        </w:rPr>
        <w:t>Journal of Economic, Social and Cultural Rights</w:t>
      </w:r>
      <w:r w:rsidRPr="00BB2CFA">
        <w:t>, 1 (1): 1-29.</w:t>
      </w:r>
    </w:p>
    <w:p w:rsidR="005E0B12" w:rsidRPr="00BB2CFA" w:rsidRDefault="005E0B12" w:rsidP="005E0B12">
      <w:pPr>
        <w:jc w:val="both"/>
      </w:pPr>
    </w:p>
    <w:p w:rsidR="005E0B12" w:rsidRPr="00BB2CFA" w:rsidRDefault="005E0B12" w:rsidP="005E0B12">
      <w:pPr>
        <w:ind w:left="720" w:hanging="720"/>
        <w:jc w:val="both"/>
      </w:pPr>
      <w:proofErr w:type="spellStart"/>
      <w:r w:rsidRPr="00BB2CFA">
        <w:t>Bogunjoko-Adukwu</w:t>
      </w:r>
      <w:proofErr w:type="spellEnd"/>
      <w:r w:rsidRPr="00BB2CFA">
        <w:t xml:space="preserve">, N.S. (2000). Women in </w:t>
      </w:r>
      <w:proofErr w:type="spellStart"/>
      <w:r w:rsidRPr="00BB2CFA">
        <w:t>organisational</w:t>
      </w:r>
      <w:proofErr w:type="spellEnd"/>
      <w:r w:rsidRPr="00BB2CFA">
        <w:t xml:space="preserve"> leadership in Nigeria: a study of selected </w:t>
      </w:r>
      <w:proofErr w:type="spellStart"/>
      <w:r w:rsidRPr="00BB2CFA">
        <w:t>organisations</w:t>
      </w:r>
      <w:proofErr w:type="spellEnd"/>
      <w:r w:rsidRPr="00BB2CFA">
        <w:t xml:space="preserve">.  </w:t>
      </w:r>
      <w:proofErr w:type="gramStart"/>
      <w:r w:rsidRPr="00BB2CFA">
        <w:t>PhD Sociology Thesis, University of Ibadan, Nigeria.</w:t>
      </w:r>
      <w:proofErr w:type="gramEnd"/>
    </w:p>
    <w:p w:rsidR="005E0B12" w:rsidRPr="00BB2CFA" w:rsidRDefault="005E0B12" w:rsidP="005E0B12">
      <w:pPr>
        <w:ind w:left="720" w:hanging="720"/>
        <w:jc w:val="both"/>
      </w:pPr>
    </w:p>
    <w:p w:rsidR="005E0B12" w:rsidRPr="00BB2CFA" w:rsidRDefault="005E0B12" w:rsidP="005E0B12">
      <w:pPr>
        <w:ind w:left="720" w:hanging="720"/>
        <w:jc w:val="both"/>
      </w:pPr>
      <w:proofErr w:type="gramStart"/>
      <w:r w:rsidRPr="00BB2CFA">
        <w:t>Bruce, J. and C. B. Lloyd (1991).</w:t>
      </w:r>
      <w:proofErr w:type="gramEnd"/>
      <w:r w:rsidRPr="00BB2CFA">
        <w:t xml:space="preserve"> </w:t>
      </w:r>
      <w:proofErr w:type="gramStart"/>
      <w:r w:rsidRPr="00BB2CFA">
        <w:t>Family research and policy issues for the 1990s.</w:t>
      </w:r>
      <w:proofErr w:type="gramEnd"/>
      <w:r w:rsidRPr="00BB2CFA">
        <w:t xml:space="preserve"> </w:t>
      </w:r>
      <w:r w:rsidRPr="00BB2CFA">
        <w:rPr>
          <w:i/>
        </w:rPr>
        <w:t>Understanding how Resources are allocated within households</w:t>
      </w:r>
      <w:r w:rsidRPr="00BB2CFA">
        <w:t xml:space="preserve">. International Food Policy Research Institute, </w:t>
      </w:r>
      <w:proofErr w:type="gramStart"/>
      <w:r w:rsidRPr="00BB2CFA">
        <w:t>The</w:t>
      </w:r>
      <w:proofErr w:type="gramEnd"/>
      <w:r w:rsidRPr="00BB2CFA">
        <w:t xml:space="preserve"> World Bank, Washington D. C. pp. 3-4.</w:t>
      </w:r>
    </w:p>
    <w:p w:rsidR="005E0B12" w:rsidRPr="00BB2CFA" w:rsidRDefault="005E0B12" w:rsidP="005E0B12">
      <w:pPr>
        <w:jc w:val="both"/>
      </w:pPr>
    </w:p>
    <w:p w:rsidR="005E0B12" w:rsidRPr="00BB2CFA" w:rsidRDefault="005E0B12" w:rsidP="005E0B12">
      <w:pPr>
        <w:ind w:left="720" w:hanging="720"/>
        <w:jc w:val="both"/>
      </w:pPr>
      <w:proofErr w:type="spellStart"/>
      <w:r w:rsidRPr="00BB2CFA">
        <w:t>Chiwawa</w:t>
      </w:r>
      <w:proofErr w:type="spellEnd"/>
      <w:r w:rsidRPr="00BB2CFA">
        <w:t xml:space="preserve">, H. (1995). </w:t>
      </w:r>
      <w:proofErr w:type="gramStart"/>
      <w:r w:rsidRPr="00BB2CFA">
        <w:t>Women on cooperative mines in Zimbabwe.</w:t>
      </w:r>
      <w:proofErr w:type="gramEnd"/>
      <w:r w:rsidRPr="00BB2CFA">
        <w:t xml:space="preserve"> In </w:t>
      </w:r>
      <w:proofErr w:type="spellStart"/>
      <w:r w:rsidRPr="00BB2CFA">
        <w:t>Sithole-Fundire</w:t>
      </w:r>
      <w:proofErr w:type="spellEnd"/>
      <w:r w:rsidRPr="00BB2CFA">
        <w:t xml:space="preserve">, S., A. Zhou and A. </w:t>
      </w:r>
      <w:proofErr w:type="spellStart"/>
      <w:r w:rsidRPr="00BB2CFA">
        <w:t>Schlyter</w:t>
      </w:r>
      <w:proofErr w:type="spellEnd"/>
      <w:r w:rsidRPr="00BB2CFA">
        <w:t xml:space="preserve"> (</w:t>
      </w:r>
      <w:proofErr w:type="spellStart"/>
      <w:proofErr w:type="gramStart"/>
      <w:r w:rsidRPr="00BB2CFA">
        <w:t>eds</w:t>
      </w:r>
      <w:proofErr w:type="spellEnd"/>
      <w:proofErr w:type="gramEnd"/>
      <w:r w:rsidRPr="00BB2CFA">
        <w:t xml:space="preserve">), </w:t>
      </w:r>
      <w:r w:rsidRPr="00BB2CFA">
        <w:rPr>
          <w:i/>
        </w:rPr>
        <w:t>Gender research on urbanization, planning, housing and everyday life</w:t>
      </w:r>
      <w:r w:rsidRPr="00BB2CFA">
        <w:t xml:space="preserve">. </w:t>
      </w:r>
      <w:proofErr w:type="gramStart"/>
      <w:r w:rsidRPr="00BB2CFA">
        <w:t>Zimbabwe Women’s Resources Centre &amp; Network (ZWRCN), Harare, pp. 92-114.</w:t>
      </w:r>
      <w:proofErr w:type="gramEnd"/>
    </w:p>
    <w:p w:rsidR="005E0B12" w:rsidRPr="00BB2CFA" w:rsidRDefault="005E0B12" w:rsidP="005E0B12">
      <w:pPr>
        <w:pStyle w:val="BodyTextIndent"/>
        <w:ind w:left="0"/>
        <w:jc w:val="both"/>
      </w:pPr>
    </w:p>
    <w:p w:rsidR="005E0B12" w:rsidRPr="00BB2CFA" w:rsidRDefault="005E0B12" w:rsidP="005E0B12">
      <w:pPr>
        <w:pStyle w:val="BodyTextIndent"/>
        <w:ind w:left="792" w:hanging="720"/>
        <w:jc w:val="both"/>
      </w:pPr>
      <w:proofErr w:type="gramStart"/>
      <w:r w:rsidRPr="00BB2CFA">
        <w:t>Desai, M. (1995).</w:t>
      </w:r>
      <w:proofErr w:type="gramEnd"/>
      <w:r w:rsidRPr="00BB2CFA">
        <w:t xml:space="preserve"> </w:t>
      </w:r>
      <w:proofErr w:type="gramStart"/>
      <w:r w:rsidRPr="00BB2CFA">
        <w:t>Empowering the family for girl child development.</w:t>
      </w:r>
      <w:proofErr w:type="gramEnd"/>
      <w:r w:rsidRPr="00BB2CFA">
        <w:t xml:space="preserve"> </w:t>
      </w:r>
      <w:r w:rsidRPr="00BB2CFA">
        <w:rPr>
          <w:i/>
        </w:rPr>
        <w:t>Social Change:  Issues and Perspectives</w:t>
      </w:r>
      <w:r w:rsidRPr="00BB2CFA">
        <w:rPr>
          <w:b/>
          <w:bCs/>
        </w:rPr>
        <w:t xml:space="preserve"> </w:t>
      </w:r>
      <w:r w:rsidRPr="00BB2CFA">
        <w:t>25 (2-3: 38-43.</w:t>
      </w:r>
    </w:p>
    <w:p w:rsidR="005E0B12" w:rsidRPr="00BB2CFA" w:rsidRDefault="005E0B12" w:rsidP="005E0B12">
      <w:pPr>
        <w:ind w:left="720" w:hanging="720"/>
        <w:jc w:val="both"/>
      </w:pPr>
    </w:p>
    <w:p w:rsidR="005E0B12" w:rsidRPr="00BB2CFA" w:rsidRDefault="005E0B12" w:rsidP="005E0B12">
      <w:pPr>
        <w:ind w:left="720" w:hanging="720"/>
        <w:jc w:val="both"/>
      </w:pPr>
      <w:r w:rsidRPr="00BB2CFA">
        <w:t xml:space="preserve">Dowling, C (1981). </w:t>
      </w:r>
      <w:r w:rsidRPr="00BB2CFA">
        <w:rPr>
          <w:i/>
        </w:rPr>
        <w:t xml:space="preserve">The </w:t>
      </w:r>
      <w:proofErr w:type="spellStart"/>
      <w:proofErr w:type="gramStart"/>
      <w:r w:rsidRPr="00BB2CFA">
        <w:rPr>
          <w:i/>
        </w:rPr>
        <w:t>cinderella</w:t>
      </w:r>
      <w:proofErr w:type="spellEnd"/>
      <w:proofErr w:type="gramEnd"/>
      <w:r w:rsidRPr="00BB2CFA">
        <w:rPr>
          <w:i/>
        </w:rPr>
        <w:t xml:space="preserve"> complex women’s hidden fear of dependence</w:t>
      </w:r>
      <w:r w:rsidRPr="00BB2CFA">
        <w:t>.    William Collin and Co. Ltd, Glasgow.</w:t>
      </w:r>
    </w:p>
    <w:p w:rsidR="005E0B12" w:rsidRPr="00BB2CFA" w:rsidRDefault="005E0B12" w:rsidP="005E0B12">
      <w:pPr>
        <w:ind w:left="720" w:hanging="720"/>
        <w:jc w:val="both"/>
      </w:pPr>
    </w:p>
    <w:p w:rsidR="005E0B12" w:rsidRPr="00BB2CFA" w:rsidRDefault="005E0B12" w:rsidP="005E0B12">
      <w:pPr>
        <w:jc w:val="both"/>
      </w:pPr>
    </w:p>
    <w:p w:rsidR="005E0B12" w:rsidRPr="00BB2CFA" w:rsidRDefault="005E0B12" w:rsidP="005E0B12">
      <w:pPr>
        <w:ind w:left="720" w:hanging="720"/>
        <w:jc w:val="both"/>
      </w:pPr>
      <w:proofErr w:type="spellStart"/>
      <w:proofErr w:type="gramStart"/>
      <w:r w:rsidRPr="00BB2CFA">
        <w:t>Gaddy</w:t>
      </w:r>
      <w:proofErr w:type="spellEnd"/>
      <w:r w:rsidRPr="00BB2CFA">
        <w:t>, W. and R. Hart (1993).</w:t>
      </w:r>
      <w:proofErr w:type="gramEnd"/>
      <w:r w:rsidRPr="00BB2CFA">
        <w:t xml:space="preserve"> </w:t>
      </w:r>
      <w:proofErr w:type="gramStart"/>
      <w:r w:rsidRPr="00BB2CFA">
        <w:rPr>
          <w:i/>
        </w:rPr>
        <w:t>Real estate fundamentals</w:t>
      </w:r>
      <w:r w:rsidRPr="00BB2CFA">
        <w:t>.</w:t>
      </w:r>
      <w:proofErr w:type="gramEnd"/>
      <w:r w:rsidRPr="00BB2CFA">
        <w:t xml:space="preserve"> Real Estate Education Company, USA.</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Gamu</w:t>
      </w:r>
      <w:proofErr w:type="spellEnd"/>
      <w:r w:rsidRPr="00BB2CFA">
        <w:t xml:space="preserve">, A. F. (2002). </w:t>
      </w:r>
      <w:proofErr w:type="gramStart"/>
      <w:r w:rsidRPr="00BB2CFA">
        <w:t>Land management as a veritable tool for sustainable development.</w:t>
      </w:r>
      <w:proofErr w:type="gramEnd"/>
      <w:r w:rsidRPr="00BB2CFA">
        <w:t xml:space="preserve"> </w:t>
      </w:r>
      <w:r w:rsidRPr="00BB2CFA">
        <w:rPr>
          <w:i/>
        </w:rPr>
        <w:t>Land Management &amp; Property Tax in Nigeria</w:t>
      </w:r>
      <w:r w:rsidRPr="00BB2CFA">
        <w:t>, op. cit., pp. 133-147.</w:t>
      </w:r>
    </w:p>
    <w:p w:rsidR="005E0B12" w:rsidRPr="00BB2CFA" w:rsidRDefault="005E0B12" w:rsidP="005E0B12">
      <w:pPr>
        <w:pStyle w:val="BodyTextIndent"/>
        <w:ind w:left="792" w:hanging="720"/>
        <w:jc w:val="both"/>
      </w:pPr>
    </w:p>
    <w:p w:rsidR="005E0B12" w:rsidRPr="00BB2CFA" w:rsidRDefault="005E0B12" w:rsidP="005E0B12">
      <w:pPr>
        <w:pStyle w:val="BodyTextIndent"/>
        <w:ind w:left="792" w:hanging="720"/>
        <w:jc w:val="both"/>
      </w:pPr>
      <w:proofErr w:type="spellStart"/>
      <w:proofErr w:type="gramStart"/>
      <w:r w:rsidRPr="00BB2CFA">
        <w:t>Ghosh</w:t>
      </w:r>
      <w:proofErr w:type="spellEnd"/>
      <w:r w:rsidRPr="00BB2CFA">
        <w:t>, S. (1992).</w:t>
      </w:r>
      <w:proofErr w:type="gramEnd"/>
      <w:r w:rsidRPr="00BB2CFA">
        <w:t xml:space="preserve">  It is time we thought of youth: Editorial. </w:t>
      </w:r>
      <w:r w:rsidRPr="00BB2CFA">
        <w:rPr>
          <w:i/>
          <w:iCs/>
        </w:rPr>
        <w:t>India Pediatrics</w:t>
      </w:r>
      <w:r w:rsidRPr="00BB2CFA">
        <w:t xml:space="preserve"> 29 (7): 821-3.</w:t>
      </w:r>
    </w:p>
    <w:p w:rsidR="005E0B12" w:rsidRPr="00BB2CFA" w:rsidRDefault="005E0B12" w:rsidP="005E0B12">
      <w:pPr>
        <w:ind w:left="720" w:hanging="720"/>
        <w:jc w:val="both"/>
      </w:pPr>
      <w:proofErr w:type="spellStart"/>
      <w:r w:rsidRPr="00BB2CFA">
        <w:t>Ibidapo-Obe</w:t>
      </w:r>
      <w:proofErr w:type="spellEnd"/>
      <w:r w:rsidRPr="00BB2CFA">
        <w:t xml:space="preserve">, O. (2003). </w:t>
      </w:r>
      <w:proofErr w:type="gramStart"/>
      <w:r w:rsidRPr="00BB2CFA">
        <w:t>Land, the substructure of human development.</w:t>
      </w:r>
      <w:proofErr w:type="gramEnd"/>
      <w:r w:rsidRPr="00BB2CFA">
        <w:t xml:space="preserve"> In: </w:t>
      </w:r>
      <w:r w:rsidRPr="00BB2CFA">
        <w:rPr>
          <w:i/>
        </w:rPr>
        <w:t>Land Management and Property Tax Reform in Nigeria</w:t>
      </w:r>
      <w:r w:rsidRPr="00BB2CFA">
        <w:t>, op. cit. pp. 7-9.</w:t>
      </w:r>
    </w:p>
    <w:p w:rsidR="005E0B12" w:rsidRPr="00BB2CFA" w:rsidRDefault="005E0B12" w:rsidP="005E0B12">
      <w:pPr>
        <w:jc w:val="both"/>
      </w:pPr>
    </w:p>
    <w:p w:rsidR="005E0B12" w:rsidRPr="00BB2CFA" w:rsidRDefault="005E0B12" w:rsidP="005E0B12">
      <w:pPr>
        <w:ind w:left="720" w:hanging="720"/>
        <w:jc w:val="both"/>
      </w:pPr>
      <w:proofErr w:type="spellStart"/>
      <w:proofErr w:type="gramStart"/>
      <w:r w:rsidRPr="00BB2CFA">
        <w:t>Kanshahu</w:t>
      </w:r>
      <w:proofErr w:type="spellEnd"/>
      <w:r w:rsidRPr="00BB2CFA">
        <w:t>, I. A. (2000).</w:t>
      </w:r>
      <w:proofErr w:type="gramEnd"/>
      <w:r w:rsidRPr="00BB2CFA">
        <w:t xml:space="preserve"> </w:t>
      </w:r>
      <w:proofErr w:type="gramStart"/>
      <w:r w:rsidRPr="00BB2CFA">
        <w:rPr>
          <w:i/>
        </w:rPr>
        <w:t xml:space="preserve">Planning </w:t>
      </w:r>
      <w:proofErr w:type="spellStart"/>
      <w:r w:rsidRPr="00BB2CFA">
        <w:rPr>
          <w:i/>
        </w:rPr>
        <w:t>andiImplementing</w:t>
      </w:r>
      <w:proofErr w:type="spellEnd"/>
      <w:r w:rsidRPr="00BB2CFA">
        <w:rPr>
          <w:i/>
        </w:rPr>
        <w:t xml:space="preserve"> sustainable projects in developing countries –theory, practice &amp; economics –Second, Revised &amp; Expanded Edition.</w:t>
      </w:r>
      <w:proofErr w:type="gramEnd"/>
      <w:r w:rsidRPr="00BB2CFA">
        <w:rPr>
          <w:i/>
        </w:rPr>
        <w:t xml:space="preserve"> </w:t>
      </w:r>
      <w:proofErr w:type="spellStart"/>
      <w:r w:rsidRPr="00BB2CFA">
        <w:t>AgBe</w:t>
      </w:r>
      <w:proofErr w:type="spellEnd"/>
      <w:r w:rsidRPr="00BB2CFA">
        <w:t xml:space="preserve"> Publishing, Hilversum. </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Kanter</w:t>
      </w:r>
      <w:proofErr w:type="spellEnd"/>
      <w:r w:rsidRPr="00BB2CFA">
        <w:t xml:space="preserve">, R. (1977).  </w:t>
      </w:r>
      <w:proofErr w:type="gramStart"/>
      <w:r w:rsidRPr="00BB2CFA">
        <w:rPr>
          <w:i/>
        </w:rPr>
        <w:t>Men and women of the corporation</w:t>
      </w:r>
      <w:r w:rsidRPr="00BB2CFA">
        <w:t>.</w:t>
      </w:r>
      <w:proofErr w:type="gramEnd"/>
      <w:r w:rsidRPr="00BB2CFA">
        <w:t xml:space="preserve"> Basic Books, Inc., New York.</w:t>
      </w:r>
    </w:p>
    <w:p w:rsidR="005E0B12" w:rsidRPr="00BB2CFA" w:rsidRDefault="005E0B12" w:rsidP="005E0B12">
      <w:pPr>
        <w:jc w:val="both"/>
      </w:pPr>
    </w:p>
    <w:p w:rsidR="005E0B12" w:rsidRPr="00BB2CFA" w:rsidRDefault="005E0B12" w:rsidP="005E0B12">
      <w:pPr>
        <w:ind w:left="720" w:hanging="720"/>
        <w:jc w:val="both"/>
      </w:pPr>
      <w:r w:rsidRPr="00BB2CFA">
        <w:t xml:space="preserve">Lee-Smith, D. (1996). Women’s and </w:t>
      </w:r>
      <w:proofErr w:type="gramStart"/>
      <w:r w:rsidRPr="00BB2CFA">
        <w:t>men’s</w:t>
      </w:r>
      <w:proofErr w:type="gramEnd"/>
      <w:r w:rsidRPr="00BB2CFA">
        <w:t xml:space="preserve"> right to land in Eastern Africa. In: </w:t>
      </w:r>
      <w:proofErr w:type="spellStart"/>
      <w:r w:rsidRPr="00BB2CFA">
        <w:t>Schlyter</w:t>
      </w:r>
      <w:proofErr w:type="spellEnd"/>
      <w:r w:rsidRPr="00BB2CFA">
        <w:t>, A. (</w:t>
      </w:r>
      <w:proofErr w:type="spellStart"/>
      <w:proofErr w:type="gramStart"/>
      <w:r w:rsidRPr="00BB2CFA">
        <w:t>ed</w:t>
      </w:r>
      <w:proofErr w:type="spellEnd"/>
      <w:proofErr w:type="gramEnd"/>
      <w:r w:rsidRPr="00BB2CFA">
        <w:t xml:space="preserve">), </w:t>
      </w:r>
      <w:r w:rsidRPr="00BB2CFA">
        <w:rPr>
          <w:i/>
        </w:rPr>
        <w:t>Place to Live: Gender Research on Housing in Africa</w:t>
      </w:r>
      <w:r w:rsidRPr="00BB2CFA">
        <w:t xml:space="preserve">. </w:t>
      </w:r>
      <w:proofErr w:type="spellStart"/>
      <w:r w:rsidRPr="00BB2CFA">
        <w:t>Nordiska</w:t>
      </w:r>
      <w:proofErr w:type="spellEnd"/>
      <w:r w:rsidRPr="00BB2CFA">
        <w:t xml:space="preserve"> African Institute, Uppsala.</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Macoloo</w:t>
      </w:r>
      <w:proofErr w:type="spellEnd"/>
      <w:r w:rsidRPr="00BB2CFA">
        <w:t xml:space="preserve">, G.C. (1990): Settlement policies and gender issues in less developed countries: an agenda for action.  </w:t>
      </w:r>
      <w:proofErr w:type="gramStart"/>
      <w:r w:rsidRPr="00BB2CFA">
        <w:t xml:space="preserve">In </w:t>
      </w:r>
      <w:proofErr w:type="spellStart"/>
      <w:r w:rsidRPr="00BB2CFA">
        <w:t>Schlyter</w:t>
      </w:r>
      <w:proofErr w:type="spellEnd"/>
      <w:r w:rsidRPr="00BB2CFA">
        <w:t xml:space="preserve">, A. and D. </w:t>
      </w:r>
      <w:proofErr w:type="spellStart"/>
      <w:r w:rsidRPr="00BB2CFA">
        <w:t>Johal</w:t>
      </w:r>
      <w:proofErr w:type="spellEnd"/>
      <w:r w:rsidRPr="00BB2CFA">
        <w:t xml:space="preserve"> editors, op.cit, pp. 310-313.</w:t>
      </w:r>
      <w:proofErr w:type="gramEnd"/>
    </w:p>
    <w:p w:rsidR="005E0B12" w:rsidRPr="00BB2CFA" w:rsidRDefault="005E0B12" w:rsidP="005E0B12">
      <w:pPr>
        <w:pStyle w:val="BodyTextIndent"/>
        <w:ind w:left="792" w:hanging="720"/>
        <w:jc w:val="both"/>
      </w:pPr>
    </w:p>
    <w:p w:rsidR="005E0B12" w:rsidRPr="00BB2CFA" w:rsidRDefault="005E0B12" w:rsidP="005E0B12">
      <w:pPr>
        <w:pStyle w:val="BodyTextIndent"/>
        <w:ind w:left="792" w:hanging="720"/>
        <w:jc w:val="both"/>
      </w:pPr>
      <w:proofErr w:type="spellStart"/>
      <w:r w:rsidRPr="00BB2CFA">
        <w:lastRenderedPageBreak/>
        <w:t>Makinwa</w:t>
      </w:r>
      <w:proofErr w:type="spellEnd"/>
      <w:r w:rsidRPr="00BB2CFA">
        <w:t xml:space="preserve"> - </w:t>
      </w:r>
      <w:proofErr w:type="spellStart"/>
      <w:r w:rsidRPr="00BB2CFA">
        <w:t>Adebusoye</w:t>
      </w:r>
      <w:proofErr w:type="spellEnd"/>
      <w:r w:rsidRPr="00BB2CFA">
        <w:t>, P. (1990).  Housing:  a critical need of Nigerian women.  In:</w:t>
      </w:r>
      <w:r w:rsidRPr="00BB2CFA">
        <w:rPr>
          <w:u w:val="single"/>
        </w:rPr>
        <w:t xml:space="preserve"> </w:t>
      </w:r>
      <w:r w:rsidRPr="00BB2CFA">
        <w:rPr>
          <w:i/>
        </w:rPr>
        <w:t>African Urban Quarterly</w:t>
      </w:r>
      <w:r w:rsidRPr="00BB2CFA">
        <w:t>, 15 (3 &amp; 4): 207 – 216.</w:t>
      </w:r>
    </w:p>
    <w:p w:rsidR="005E0B12" w:rsidRPr="00BB2CFA" w:rsidRDefault="005E0B12" w:rsidP="005E0B12">
      <w:pPr>
        <w:ind w:left="720" w:hanging="720"/>
        <w:jc w:val="both"/>
      </w:pPr>
      <w:proofErr w:type="spellStart"/>
      <w:r w:rsidRPr="00BB2CFA">
        <w:t>Milimo</w:t>
      </w:r>
      <w:proofErr w:type="spellEnd"/>
      <w:r w:rsidRPr="00BB2CFA">
        <w:t xml:space="preserve">, M.C. (1987). Women population and food in Africa: the Zambia case.  In: </w:t>
      </w:r>
      <w:r w:rsidRPr="00BB2CFA">
        <w:rPr>
          <w:i/>
        </w:rPr>
        <w:t>Development: Seeds of Change</w:t>
      </w:r>
      <w:r w:rsidRPr="00BB2CFA">
        <w:t>, 2(3):</w:t>
      </w:r>
    </w:p>
    <w:p w:rsidR="005E0B12" w:rsidRPr="00BB2CFA" w:rsidRDefault="005E0B12" w:rsidP="005E0B12">
      <w:pPr>
        <w:pStyle w:val="BodyTextIndent"/>
        <w:ind w:left="792" w:hanging="720"/>
        <w:jc w:val="both"/>
      </w:pPr>
    </w:p>
    <w:p w:rsidR="005E0B12" w:rsidRPr="00BB2CFA" w:rsidRDefault="005E0B12" w:rsidP="005E0B12">
      <w:pPr>
        <w:ind w:left="720" w:hanging="720"/>
        <w:jc w:val="both"/>
      </w:pPr>
      <w:r w:rsidRPr="00BB2CFA">
        <w:t xml:space="preserve">Moser, C. (1993). </w:t>
      </w:r>
      <w:r w:rsidRPr="00BB2CFA">
        <w:rPr>
          <w:i/>
        </w:rPr>
        <w:t xml:space="preserve">Gender Planning and Development: theory, practice and training. </w:t>
      </w:r>
      <w:proofErr w:type="spellStart"/>
      <w:r w:rsidRPr="00BB2CFA">
        <w:t>Routledge</w:t>
      </w:r>
      <w:proofErr w:type="spellEnd"/>
      <w:r w:rsidRPr="00BB2CFA">
        <w:t>, London.</w:t>
      </w:r>
    </w:p>
    <w:p w:rsidR="005E0B12" w:rsidRPr="00BB2CFA" w:rsidRDefault="005E0B12" w:rsidP="005E0B12">
      <w:pPr>
        <w:jc w:val="both"/>
      </w:pPr>
    </w:p>
    <w:p w:rsidR="005E0B12" w:rsidRDefault="005E0B12" w:rsidP="005E0B12">
      <w:pPr>
        <w:ind w:left="720" w:hanging="720"/>
        <w:jc w:val="both"/>
      </w:pPr>
      <w:proofErr w:type="spellStart"/>
      <w:r w:rsidRPr="00BB2CFA">
        <w:t>Obilade</w:t>
      </w:r>
      <w:proofErr w:type="spellEnd"/>
      <w:r w:rsidRPr="00BB2CFA">
        <w:t xml:space="preserve">, S. O. (1987). </w:t>
      </w:r>
      <w:proofErr w:type="gramStart"/>
      <w:r w:rsidRPr="00BB2CFA">
        <w:t>Women in leadership roles.</w:t>
      </w:r>
      <w:proofErr w:type="gramEnd"/>
      <w:r w:rsidRPr="00BB2CFA">
        <w:t xml:space="preserve"> In: </w:t>
      </w:r>
      <w:r w:rsidRPr="00BB2CFA">
        <w:rPr>
          <w:i/>
          <w:iCs/>
        </w:rPr>
        <w:t>A Seminar on Women Studies:  The State of the Art now in Nigeria,</w:t>
      </w:r>
      <w:r w:rsidRPr="00BB2CFA">
        <w:t xml:space="preserve"> 4-6 Nov.</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Olatubara</w:t>
      </w:r>
      <w:proofErr w:type="spellEnd"/>
      <w:r w:rsidRPr="00BB2CFA">
        <w:t xml:space="preserve">, C. O. (2003a).  </w:t>
      </w:r>
      <w:proofErr w:type="gramStart"/>
      <w:r w:rsidRPr="00BB2CFA">
        <w:t>The participation of women in residential location decision-making in Ibadan, Nigeria.</w:t>
      </w:r>
      <w:proofErr w:type="gramEnd"/>
      <w:r w:rsidRPr="00BB2CFA">
        <w:t xml:space="preserve">  </w:t>
      </w:r>
      <w:r w:rsidRPr="00BB2CFA">
        <w:rPr>
          <w:i/>
        </w:rPr>
        <w:t>Journal of the Nigerian Institute of Town Planners,</w:t>
      </w:r>
      <w:r w:rsidRPr="00BB2CFA">
        <w:t xml:space="preserve"> XVI (October): 19-34.</w:t>
      </w:r>
    </w:p>
    <w:p w:rsidR="005E0B12" w:rsidRPr="00BB2CFA" w:rsidRDefault="005E0B12" w:rsidP="005E0B12">
      <w:pPr>
        <w:pStyle w:val="BodyTextIndent"/>
        <w:spacing w:after="0"/>
        <w:ind w:left="0"/>
        <w:jc w:val="both"/>
      </w:pPr>
    </w:p>
    <w:p w:rsidR="005E0B12" w:rsidRPr="00BB2CFA" w:rsidRDefault="005E0B12" w:rsidP="005E0B12">
      <w:pPr>
        <w:pStyle w:val="BodyTextIndent"/>
        <w:ind w:left="792" w:hanging="720"/>
        <w:jc w:val="both"/>
      </w:pPr>
      <w:proofErr w:type="spellStart"/>
      <w:proofErr w:type="gramStart"/>
      <w:r w:rsidRPr="00BB2CFA">
        <w:t>Olunloyo</w:t>
      </w:r>
      <w:proofErr w:type="spellEnd"/>
      <w:r w:rsidRPr="00BB2CFA">
        <w:t>, S. (1993).</w:t>
      </w:r>
      <w:proofErr w:type="gramEnd"/>
      <w:r w:rsidRPr="00BB2CFA">
        <w:t xml:space="preserve">  The girl child:  a blessing or an abomination.  </w:t>
      </w:r>
      <w:r w:rsidRPr="00BB2CFA">
        <w:rPr>
          <w:i/>
        </w:rPr>
        <w:t>Nigeria’s Population</w:t>
      </w:r>
      <w:r w:rsidRPr="00BB2CFA">
        <w:t>.  1993 Oct – Dec., 41-2.</w:t>
      </w:r>
    </w:p>
    <w:p w:rsidR="005E0B12" w:rsidRPr="00BB2CFA" w:rsidRDefault="005E0B12" w:rsidP="005E0B12">
      <w:pPr>
        <w:pStyle w:val="BodyTextIndent"/>
        <w:spacing w:after="0"/>
        <w:ind w:left="792" w:hanging="720"/>
        <w:jc w:val="both"/>
      </w:pPr>
    </w:p>
    <w:p w:rsidR="005E0B12" w:rsidRPr="00BB2CFA" w:rsidRDefault="005E0B12" w:rsidP="005E0B12">
      <w:pPr>
        <w:ind w:left="720" w:hanging="720"/>
        <w:jc w:val="both"/>
      </w:pPr>
      <w:proofErr w:type="spellStart"/>
      <w:r w:rsidRPr="00BB2CFA">
        <w:t>Omirin</w:t>
      </w:r>
      <w:proofErr w:type="spellEnd"/>
      <w:r w:rsidRPr="00BB2CFA">
        <w:t xml:space="preserve">, M. M. (2003). </w:t>
      </w:r>
      <w:proofErr w:type="gramStart"/>
      <w:r w:rsidRPr="00BB2CFA">
        <w:t>Issues in land accessibility in Nigeria.</w:t>
      </w:r>
      <w:proofErr w:type="gramEnd"/>
      <w:r w:rsidRPr="00BB2CFA">
        <w:t xml:space="preserve"> </w:t>
      </w:r>
      <w:r w:rsidRPr="00BB2CFA">
        <w:rPr>
          <w:i/>
        </w:rPr>
        <w:t>Land Management and Property Tax Reform in Nigeria</w:t>
      </w:r>
      <w:r w:rsidRPr="00BB2CFA">
        <w:t>, op. cit., pp. 49 – 70.</w:t>
      </w:r>
    </w:p>
    <w:p w:rsidR="005E0B12" w:rsidRPr="00BB2CFA" w:rsidRDefault="005E0B12" w:rsidP="005E0B12">
      <w:pPr>
        <w:ind w:left="720" w:hanging="720"/>
        <w:jc w:val="both"/>
      </w:pP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Onyekpere</w:t>
      </w:r>
      <w:proofErr w:type="spellEnd"/>
      <w:r w:rsidRPr="00BB2CFA">
        <w:t>, E. (</w:t>
      </w:r>
      <w:proofErr w:type="spellStart"/>
      <w:proofErr w:type="gramStart"/>
      <w:r w:rsidRPr="00BB2CFA">
        <w:t>ed</w:t>
      </w:r>
      <w:proofErr w:type="spellEnd"/>
      <w:proofErr w:type="gramEnd"/>
      <w:r w:rsidRPr="00BB2CFA">
        <w:t xml:space="preserve">) (2000). </w:t>
      </w:r>
      <w:proofErr w:type="gramStart"/>
      <w:r w:rsidRPr="00BB2CFA">
        <w:rPr>
          <w:i/>
        </w:rPr>
        <w:t>Manual on Housing Rights Protection Strategies for Lower Court Judges</w:t>
      </w:r>
      <w:r w:rsidRPr="00BB2CFA">
        <w:t>.</w:t>
      </w:r>
      <w:proofErr w:type="gramEnd"/>
      <w:r w:rsidRPr="00BB2CFA">
        <w:t xml:space="preserve"> Shelter Rights Initiative, Lagos.</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Oyelaja</w:t>
      </w:r>
      <w:proofErr w:type="spellEnd"/>
      <w:r w:rsidRPr="00BB2CFA">
        <w:t xml:space="preserve">, F.O. (1992). Nigerian women in management: a comparative analysis of female managers in public and private </w:t>
      </w:r>
      <w:proofErr w:type="spellStart"/>
      <w:r w:rsidRPr="00BB2CFA">
        <w:t>organisations</w:t>
      </w:r>
      <w:proofErr w:type="spellEnd"/>
      <w:r w:rsidRPr="00BB2CFA">
        <w:t xml:space="preserve">. </w:t>
      </w:r>
      <w:proofErr w:type="gramStart"/>
      <w:r w:rsidRPr="00BB2CFA">
        <w:t>PhD Educational Management Thesis, University of Ibadan.</w:t>
      </w:r>
      <w:proofErr w:type="gramEnd"/>
    </w:p>
    <w:p w:rsidR="005E0B12" w:rsidRPr="00BB2CFA" w:rsidRDefault="005E0B12" w:rsidP="005E0B12">
      <w:pPr>
        <w:ind w:left="720" w:hanging="720"/>
        <w:jc w:val="both"/>
      </w:pPr>
    </w:p>
    <w:p w:rsidR="005E0B12" w:rsidRPr="00BB2CFA" w:rsidRDefault="005E0B12" w:rsidP="005E0B12">
      <w:pPr>
        <w:pStyle w:val="BodyTextIndent"/>
        <w:ind w:left="792" w:hanging="720"/>
        <w:jc w:val="both"/>
      </w:pPr>
      <w:proofErr w:type="spellStart"/>
      <w:r w:rsidRPr="00BB2CFA">
        <w:t>Pandey</w:t>
      </w:r>
      <w:proofErr w:type="spellEnd"/>
      <w:r w:rsidRPr="00BB2CFA">
        <w:t xml:space="preserve">, D. (1995).  </w:t>
      </w:r>
      <w:proofErr w:type="gramStart"/>
      <w:r w:rsidRPr="00BB2CFA">
        <w:t xml:space="preserve">Girl child and family in </w:t>
      </w:r>
      <w:proofErr w:type="spellStart"/>
      <w:r w:rsidRPr="00BB2CFA">
        <w:t>Maharashra</w:t>
      </w:r>
      <w:proofErr w:type="spellEnd"/>
      <w:r w:rsidRPr="00BB2CFA">
        <w:t>.</w:t>
      </w:r>
      <w:proofErr w:type="gramEnd"/>
      <w:r w:rsidRPr="00BB2CFA">
        <w:t xml:space="preserve">  </w:t>
      </w:r>
      <w:r w:rsidRPr="00BB2CFA">
        <w:rPr>
          <w:i/>
        </w:rPr>
        <w:t>Social Change:  Issues and Perspectives</w:t>
      </w:r>
      <w:r w:rsidRPr="00BB2CFA">
        <w:t>, 25 (2 – 3): 217-25.</w:t>
      </w:r>
    </w:p>
    <w:p w:rsidR="005E0B12" w:rsidRPr="00BB2CFA" w:rsidRDefault="005E0B12" w:rsidP="005E0B12">
      <w:pPr>
        <w:ind w:left="720" w:hanging="720"/>
        <w:jc w:val="both"/>
      </w:pPr>
      <w:proofErr w:type="gramStart"/>
      <w:r w:rsidRPr="00BB2CFA">
        <w:t>Seligman, M. (1975).</w:t>
      </w:r>
      <w:proofErr w:type="gramEnd"/>
      <w:r w:rsidRPr="00BB2CFA">
        <w:t xml:space="preserve"> </w:t>
      </w:r>
      <w:proofErr w:type="gramStart"/>
      <w:r w:rsidRPr="00BB2CFA">
        <w:rPr>
          <w:i/>
        </w:rPr>
        <w:t>Helplessness</w:t>
      </w:r>
      <w:r w:rsidRPr="00BB2CFA">
        <w:t>.</w:t>
      </w:r>
      <w:proofErr w:type="gramEnd"/>
      <w:r w:rsidRPr="00BB2CFA">
        <w:t xml:space="preserve"> </w:t>
      </w:r>
      <w:proofErr w:type="gramStart"/>
      <w:r w:rsidRPr="00BB2CFA">
        <w:t>W.H. Freeman and Co. San Francisco.</w:t>
      </w:r>
      <w:proofErr w:type="gramEnd"/>
      <w:r w:rsidRPr="00BB2CFA">
        <w:t xml:space="preserve"> </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Sen</w:t>
      </w:r>
      <w:proofErr w:type="spellEnd"/>
      <w:r w:rsidRPr="00BB2CFA">
        <w:t xml:space="preserve"> G. (1999). </w:t>
      </w:r>
      <w:proofErr w:type="gramStart"/>
      <w:r w:rsidRPr="00BB2CFA">
        <w:t>Engendering poverty alleviation: challenges and opportunities.</w:t>
      </w:r>
      <w:proofErr w:type="gramEnd"/>
      <w:r w:rsidRPr="00BB2CFA">
        <w:t xml:space="preserve"> </w:t>
      </w:r>
      <w:r w:rsidRPr="00BB2CFA">
        <w:rPr>
          <w:i/>
          <w:iCs/>
        </w:rPr>
        <w:t>Development and Change</w:t>
      </w:r>
      <w:r w:rsidRPr="00BB2CFA">
        <w:t>, 30(3): 685-695.</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Sheng</w:t>
      </w:r>
      <w:proofErr w:type="spellEnd"/>
      <w:r w:rsidRPr="00BB2CFA">
        <w:t xml:space="preserve">, Y. K. (2000). </w:t>
      </w:r>
      <w:proofErr w:type="gramStart"/>
      <w:r w:rsidRPr="00BB2CFA">
        <w:t>Sustainable strategies for the provision of low income housing in cities in developing countries.</w:t>
      </w:r>
      <w:proofErr w:type="gramEnd"/>
      <w:r w:rsidRPr="00BB2CFA">
        <w:t xml:space="preserve"> </w:t>
      </w:r>
      <w:proofErr w:type="gramStart"/>
      <w:r w:rsidRPr="00BB2CFA">
        <w:rPr>
          <w:i/>
        </w:rPr>
        <w:t>City Development Strategies Issue, No. 3, Second Quarter</w:t>
      </w:r>
      <w:r w:rsidRPr="00BB2CFA">
        <w:t>.</w:t>
      </w:r>
      <w:proofErr w:type="gramEnd"/>
      <w:r w:rsidRPr="00BB2CFA">
        <w:t xml:space="preserve"> City Development Strategies Initiative, London.</w:t>
      </w:r>
    </w:p>
    <w:p w:rsidR="005E0B12" w:rsidRPr="00BB2CFA" w:rsidRDefault="005E0B12" w:rsidP="005E0B12">
      <w:pPr>
        <w:pStyle w:val="BodyTextIndent"/>
        <w:ind w:left="792" w:hanging="720"/>
        <w:jc w:val="both"/>
      </w:pPr>
    </w:p>
    <w:p w:rsidR="005E0B12" w:rsidRPr="00BB2CFA" w:rsidRDefault="005E0B12" w:rsidP="005E0B12">
      <w:pPr>
        <w:pStyle w:val="BodyTextIndent"/>
        <w:ind w:left="792" w:hanging="720"/>
        <w:jc w:val="both"/>
      </w:pPr>
      <w:proofErr w:type="gramStart"/>
      <w:r w:rsidRPr="00BB2CFA">
        <w:t>Shiva, M. (1991).</w:t>
      </w:r>
      <w:proofErr w:type="gramEnd"/>
      <w:r w:rsidRPr="00BB2CFA">
        <w:t xml:space="preserve">  </w:t>
      </w:r>
      <w:proofErr w:type="gramStart"/>
      <w:r w:rsidRPr="00BB2CFA">
        <w:t>Of human rights and women’s health.</w:t>
      </w:r>
      <w:proofErr w:type="gramEnd"/>
      <w:r w:rsidRPr="00BB2CFA">
        <w:t xml:space="preserve">  </w:t>
      </w:r>
      <w:r w:rsidRPr="00BB2CFA">
        <w:rPr>
          <w:i/>
        </w:rPr>
        <w:t>Women’s Global Network for Reproductive Rights Newsletter</w:t>
      </w:r>
      <w:r w:rsidRPr="00BB2CFA">
        <w:t>, July – Sep. (36): 55-7.</w:t>
      </w:r>
    </w:p>
    <w:p w:rsidR="005E0B12" w:rsidRPr="00BB2CFA" w:rsidRDefault="005E0B12" w:rsidP="005E0B12">
      <w:pPr>
        <w:ind w:left="720" w:hanging="720"/>
        <w:jc w:val="both"/>
      </w:pPr>
    </w:p>
    <w:p w:rsidR="005E0B12" w:rsidRPr="00BB2CFA" w:rsidRDefault="005E0B12" w:rsidP="005E0B12">
      <w:pPr>
        <w:pStyle w:val="BodyTextIndent"/>
        <w:ind w:left="792" w:hanging="720"/>
        <w:jc w:val="both"/>
      </w:pPr>
    </w:p>
    <w:p w:rsidR="005E0B12" w:rsidRPr="00BB2CFA" w:rsidRDefault="005E0B12" w:rsidP="005E0B12">
      <w:pPr>
        <w:pStyle w:val="BodyTextIndent"/>
        <w:ind w:left="792" w:hanging="720"/>
        <w:jc w:val="both"/>
      </w:pPr>
      <w:proofErr w:type="spellStart"/>
      <w:proofErr w:type="gramStart"/>
      <w:r w:rsidRPr="00BB2CFA">
        <w:lastRenderedPageBreak/>
        <w:t>Sogunro</w:t>
      </w:r>
      <w:proofErr w:type="spellEnd"/>
      <w:r w:rsidRPr="00BB2CFA">
        <w:t>, R.C. Bailey and J. Howard (1994).</w:t>
      </w:r>
      <w:proofErr w:type="gramEnd"/>
      <w:r w:rsidRPr="00BB2CFA">
        <w:t xml:space="preserve">  The African girl:  what kind of life?’  Day of the African child: June 16 East Greenwich, Rhode Island, PLAN International, (4) p.</w:t>
      </w:r>
    </w:p>
    <w:p w:rsidR="005E0B12" w:rsidRPr="00BB2CFA" w:rsidRDefault="005E0B12" w:rsidP="005E0B12">
      <w:pPr>
        <w:ind w:left="720" w:hanging="720"/>
        <w:jc w:val="both"/>
      </w:pPr>
    </w:p>
    <w:p w:rsidR="005E0B12" w:rsidRPr="00BB2CFA" w:rsidRDefault="005E0B12" w:rsidP="005E0B12">
      <w:pPr>
        <w:ind w:left="720" w:hanging="720"/>
        <w:jc w:val="both"/>
      </w:pPr>
      <w:proofErr w:type="spellStart"/>
      <w:r w:rsidRPr="00BB2CFA">
        <w:t>Ugochukwu</w:t>
      </w:r>
      <w:proofErr w:type="spellEnd"/>
      <w:r w:rsidRPr="00BB2CFA">
        <w:t xml:space="preserve">, B. (2001). </w:t>
      </w:r>
      <w:proofErr w:type="gramStart"/>
      <w:r w:rsidRPr="00BB2CFA">
        <w:t>Legal security of tenure and community development.</w:t>
      </w:r>
      <w:proofErr w:type="gramEnd"/>
      <w:r w:rsidRPr="00BB2CFA">
        <w:t xml:space="preserve">  </w:t>
      </w:r>
      <w:r w:rsidRPr="00BB2CFA">
        <w:rPr>
          <w:i/>
        </w:rPr>
        <w:t>Special Publication of Shelter Rights Initiative on Human Rights and Community Development on Human Rights and Community Development</w:t>
      </w:r>
      <w:r w:rsidRPr="00BB2CFA">
        <w:t>, pp. 20-25.</w:t>
      </w:r>
    </w:p>
    <w:p w:rsidR="005E0B12" w:rsidRPr="00BB2CFA" w:rsidRDefault="005E0B12" w:rsidP="005E0B12">
      <w:pPr>
        <w:jc w:val="both"/>
      </w:pPr>
    </w:p>
    <w:p w:rsidR="005E0B12" w:rsidRPr="00BB2CFA" w:rsidRDefault="005E0B12" w:rsidP="005E0B12">
      <w:pPr>
        <w:ind w:left="720" w:hanging="720"/>
        <w:jc w:val="both"/>
      </w:pPr>
      <w:proofErr w:type="gramStart"/>
      <w:r w:rsidRPr="00BB2CFA">
        <w:t>UNCHS (1996).</w:t>
      </w:r>
      <w:proofErr w:type="gramEnd"/>
      <w:r w:rsidRPr="00BB2CFA">
        <w:t xml:space="preserve"> </w:t>
      </w:r>
      <w:r w:rsidRPr="00BB2CFA">
        <w:rPr>
          <w:i/>
        </w:rPr>
        <w:t>An urbanizing world: global report on human settlements 1996</w:t>
      </w:r>
      <w:r w:rsidRPr="00BB2CFA">
        <w:t>. Oxford University Press, Oxford.</w:t>
      </w:r>
    </w:p>
    <w:p w:rsidR="005E0B12" w:rsidRPr="00BB2CFA" w:rsidRDefault="005E0B12" w:rsidP="005E0B12">
      <w:pPr>
        <w:jc w:val="both"/>
      </w:pPr>
    </w:p>
    <w:p w:rsidR="005E0B12" w:rsidRPr="00BB2CFA" w:rsidRDefault="005E0B12" w:rsidP="005E0B12">
      <w:pPr>
        <w:ind w:left="720" w:hanging="720"/>
        <w:jc w:val="both"/>
      </w:pPr>
      <w:proofErr w:type="gramStart"/>
      <w:r w:rsidRPr="00BB2CFA">
        <w:t>UN-HABITAT (2003).</w:t>
      </w:r>
      <w:proofErr w:type="gramEnd"/>
      <w:r w:rsidRPr="00BB2CFA">
        <w:t xml:space="preserve"> </w:t>
      </w:r>
      <w:proofErr w:type="gramStart"/>
      <w:r w:rsidRPr="00BB2CFA">
        <w:t>Land in an urbanizing world.</w:t>
      </w:r>
      <w:proofErr w:type="gramEnd"/>
      <w:r w:rsidRPr="00BB2CFA">
        <w:t xml:space="preserve"> </w:t>
      </w:r>
      <w:r w:rsidRPr="00BB2CFA">
        <w:rPr>
          <w:i/>
        </w:rPr>
        <w:t>Habitat Debate</w:t>
      </w:r>
      <w:r w:rsidRPr="00BB2CFA">
        <w:t>, December, 2003.</w:t>
      </w:r>
    </w:p>
    <w:p w:rsidR="005E0B12" w:rsidRPr="00BB2CFA" w:rsidRDefault="005E0B12" w:rsidP="005E0B12">
      <w:pPr>
        <w:ind w:left="720" w:hanging="720"/>
        <w:jc w:val="both"/>
      </w:pPr>
      <w:r w:rsidRPr="00BB2CFA">
        <w:tab/>
      </w:r>
      <w:proofErr w:type="gramStart"/>
      <w:r w:rsidRPr="00BB2CFA">
        <w:t>United Nations 1992.</w:t>
      </w:r>
      <w:proofErr w:type="gramEnd"/>
      <w:r w:rsidRPr="00BB2CFA">
        <w:t xml:space="preserve"> </w:t>
      </w:r>
      <w:proofErr w:type="gramStart"/>
      <w:r w:rsidRPr="00BB2CFA">
        <w:t>UN Document E/1992/23.</w:t>
      </w:r>
      <w:proofErr w:type="gramEnd"/>
    </w:p>
    <w:p w:rsidR="005E0B12" w:rsidRPr="00BB2CFA" w:rsidRDefault="005E0B12" w:rsidP="005E0B12">
      <w:pPr>
        <w:ind w:left="720" w:hanging="720"/>
        <w:jc w:val="both"/>
      </w:pPr>
    </w:p>
    <w:p w:rsidR="005E0B12" w:rsidRPr="00BB2CFA" w:rsidRDefault="005E0B12" w:rsidP="005E0B12">
      <w:pPr>
        <w:ind w:left="720" w:hanging="720"/>
        <w:jc w:val="both"/>
      </w:pPr>
      <w:proofErr w:type="gramStart"/>
      <w:r w:rsidRPr="00BB2CFA">
        <w:t xml:space="preserve">United Nations Development </w:t>
      </w:r>
      <w:proofErr w:type="spellStart"/>
      <w:r w:rsidRPr="00BB2CFA">
        <w:t>Programme</w:t>
      </w:r>
      <w:proofErr w:type="spellEnd"/>
      <w:r w:rsidRPr="00BB2CFA">
        <w:t xml:space="preserve"> (1997).</w:t>
      </w:r>
      <w:proofErr w:type="gramEnd"/>
      <w:r w:rsidRPr="00BB2CFA">
        <w:t xml:space="preserve"> </w:t>
      </w:r>
      <w:proofErr w:type="spellStart"/>
      <w:proofErr w:type="gramStart"/>
      <w:r w:rsidRPr="00BB2CFA">
        <w:rPr>
          <w:i/>
        </w:rPr>
        <w:t>Reconceptualizing</w:t>
      </w:r>
      <w:proofErr w:type="spellEnd"/>
      <w:r w:rsidRPr="00BB2CFA">
        <w:rPr>
          <w:i/>
        </w:rPr>
        <w:t xml:space="preserve"> governance discussion paper 2</w:t>
      </w:r>
      <w:r w:rsidRPr="00BB2CFA">
        <w:t>.</w:t>
      </w:r>
      <w:proofErr w:type="gramEnd"/>
      <w:r w:rsidRPr="00BB2CFA">
        <w:t xml:space="preserve"> </w:t>
      </w:r>
      <w:proofErr w:type="gramStart"/>
      <w:r w:rsidRPr="00BB2CFA">
        <w:t xml:space="preserve">Management Development and Governance Division, Bureau for Policy and </w:t>
      </w:r>
      <w:proofErr w:type="spellStart"/>
      <w:r w:rsidRPr="00BB2CFA">
        <w:t>Programme</w:t>
      </w:r>
      <w:proofErr w:type="spellEnd"/>
      <w:r w:rsidRPr="00BB2CFA">
        <w:t xml:space="preserve"> Support, United Nations Development </w:t>
      </w:r>
      <w:proofErr w:type="spellStart"/>
      <w:r w:rsidRPr="00BB2CFA">
        <w:t>Programme</w:t>
      </w:r>
      <w:proofErr w:type="spellEnd"/>
      <w:r w:rsidRPr="00BB2CFA">
        <w:t>, New York.</w:t>
      </w:r>
      <w:proofErr w:type="gramEnd"/>
    </w:p>
    <w:p w:rsidR="00977FC5" w:rsidRDefault="00977FC5"/>
    <w:sectPr w:rsidR="00977FC5" w:rsidSect="00977F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2343E1"/>
    <w:multiLevelType w:val="multilevel"/>
    <w:tmpl w:val="98907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5E0B12"/>
    <w:rsid w:val="0016646D"/>
    <w:rsid w:val="0025128E"/>
    <w:rsid w:val="00331CD0"/>
    <w:rsid w:val="003560C9"/>
    <w:rsid w:val="003A7994"/>
    <w:rsid w:val="0044723A"/>
    <w:rsid w:val="00550A79"/>
    <w:rsid w:val="005E0B12"/>
    <w:rsid w:val="00795E02"/>
    <w:rsid w:val="00977FC5"/>
    <w:rsid w:val="00985367"/>
    <w:rsid w:val="00C17600"/>
    <w:rsid w:val="00E14130"/>
    <w:rsid w:val="00E22F0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0B1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E0B12"/>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5E0B12"/>
    <w:rPr>
      <w:rFonts w:ascii="Calibri" w:eastAsia="Times New Roman" w:hAnsi="Calibri" w:cs="Times New Roman"/>
    </w:rPr>
  </w:style>
  <w:style w:type="paragraph" w:styleId="BodyTextIndent">
    <w:name w:val="Body Text Indent"/>
    <w:basedOn w:val="Normal"/>
    <w:link w:val="BodyTextIndentChar"/>
    <w:unhideWhenUsed/>
    <w:rsid w:val="005E0B12"/>
    <w:pPr>
      <w:spacing w:after="120"/>
      <w:ind w:left="283"/>
    </w:pPr>
  </w:style>
  <w:style w:type="character" w:customStyle="1" w:styleId="BodyTextIndentChar">
    <w:name w:val="Body Text Indent Char"/>
    <w:basedOn w:val="DefaultParagraphFont"/>
    <w:link w:val="BodyTextIndent"/>
    <w:rsid w:val="005E0B12"/>
    <w:rPr>
      <w:rFonts w:ascii="Times New Roman" w:eastAsia="Times New Roman" w:hAnsi="Times New Roman" w:cs="Times New Roman"/>
      <w:sz w:val="24"/>
      <w:szCs w:val="24"/>
    </w:rPr>
  </w:style>
  <w:style w:type="paragraph" w:styleId="NormalWeb">
    <w:name w:val="Normal (Web)"/>
    <w:basedOn w:val="Normal"/>
    <w:uiPriority w:val="99"/>
    <w:unhideWhenUsed/>
    <w:rsid w:val="005E0B12"/>
    <w:pPr>
      <w:spacing w:before="100" w:beforeAutospacing="1" w:after="100" w:afterAutospacing="1"/>
    </w:pPr>
  </w:style>
  <w:style w:type="character" w:customStyle="1" w:styleId="caps">
    <w:name w:val="caps"/>
    <w:basedOn w:val="DefaultParagraphFont"/>
    <w:rsid w:val="005E0B1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5541</Words>
  <Characters>31590</Characters>
  <Application>Microsoft Office Word</Application>
  <DocSecurity>0</DocSecurity>
  <Lines>263</Lines>
  <Paragraphs>74</Paragraphs>
  <ScaleCrop>false</ScaleCrop>
  <Company>Hewlett-Packard</Company>
  <LinksUpToDate>false</LinksUpToDate>
  <CharactersWithSpaces>37057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Alabi</dc:creator>
  <cp:lastModifiedBy>DR. BAKO</cp:lastModifiedBy>
  <cp:revision>2</cp:revision>
  <dcterms:created xsi:type="dcterms:W3CDTF">2014-12-14T12:43:00Z</dcterms:created>
  <dcterms:modified xsi:type="dcterms:W3CDTF">2014-12-14T12:43:00Z</dcterms:modified>
</cp:coreProperties>
</file>