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7505" w:rsidRPr="004D0A4E" w:rsidRDefault="00B9668E" w:rsidP="00B9668E">
      <w:pPr>
        <w:rPr>
          <w:rStyle w:val="Hyperlink"/>
          <w:rFonts w:ascii="Times New Roman" w:hAnsi="Times New Roman" w:cs="Times New Roman"/>
          <w:bCs/>
          <w:color w:val="auto"/>
          <w:sz w:val="24"/>
          <w:szCs w:val="24"/>
        </w:rPr>
      </w:pPr>
      <w:bookmarkStart w:id="0" w:name="_GoBack"/>
      <w:bookmarkEnd w:id="0"/>
      <w:r w:rsidRPr="004D0A4E">
        <w:rPr>
          <w:rFonts w:ascii="Times New Roman" w:eastAsia="Times New Roman" w:hAnsi="Times New Roman" w:cs="Times New Roman"/>
          <w:sz w:val="24"/>
          <w:szCs w:val="24"/>
        </w:rPr>
        <w:t xml:space="preserve">25. </w:t>
      </w:r>
      <w:proofErr w:type="spellStart"/>
      <w:r w:rsidRPr="004D0A4E">
        <w:rPr>
          <w:rFonts w:ascii="Times New Roman" w:eastAsia="Times New Roman" w:hAnsi="Times New Roman" w:cs="Times New Roman"/>
          <w:b/>
          <w:sz w:val="24"/>
          <w:szCs w:val="24"/>
        </w:rPr>
        <w:t>Afolayan</w:t>
      </w:r>
      <w:proofErr w:type="spellEnd"/>
      <w:r w:rsidRPr="004D0A4E">
        <w:rPr>
          <w:rFonts w:ascii="Times New Roman" w:eastAsia="Times New Roman" w:hAnsi="Times New Roman" w:cs="Times New Roman"/>
          <w:b/>
          <w:sz w:val="24"/>
          <w:szCs w:val="24"/>
        </w:rPr>
        <w:t>, K.N</w:t>
      </w:r>
      <w:r w:rsidRPr="004D0A4E">
        <w:rPr>
          <w:rFonts w:ascii="Times New Roman" w:eastAsia="Times New Roman" w:hAnsi="Times New Roman" w:cs="Times New Roman"/>
          <w:sz w:val="24"/>
          <w:szCs w:val="24"/>
        </w:rPr>
        <w:t xml:space="preserve">; &amp; </w:t>
      </w:r>
      <w:proofErr w:type="spellStart"/>
      <w:r w:rsidRPr="004D0A4E">
        <w:rPr>
          <w:rFonts w:ascii="Times New Roman" w:eastAsia="Times New Roman" w:hAnsi="Times New Roman" w:cs="Times New Roman"/>
          <w:sz w:val="24"/>
          <w:szCs w:val="24"/>
        </w:rPr>
        <w:t>Oluwatoyin</w:t>
      </w:r>
      <w:proofErr w:type="spellEnd"/>
      <w:r w:rsidRPr="004D0A4E">
        <w:rPr>
          <w:rFonts w:ascii="Times New Roman" w:eastAsia="Times New Roman" w:hAnsi="Times New Roman" w:cs="Times New Roman"/>
          <w:sz w:val="24"/>
          <w:szCs w:val="24"/>
        </w:rPr>
        <w:t xml:space="preserve"> Adam </w:t>
      </w:r>
      <w:proofErr w:type="spellStart"/>
      <w:r w:rsidRPr="004D0A4E">
        <w:rPr>
          <w:rFonts w:ascii="Times New Roman" w:eastAsia="Times New Roman" w:hAnsi="Times New Roman" w:cs="Times New Roman"/>
          <w:sz w:val="24"/>
          <w:szCs w:val="24"/>
        </w:rPr>
        <w:t>Olalekan</w:t>
      </w:r>
      <w:proofErr w:type="spellEnd"/>
      <w:r w:rsidRPr="004D0A4E">
        <w:rPr>
          <w:rFonts w:ascii="Times New Roman" w:eastAsia="Times New Roman" w:hAnsi="Times New Roman" w:cs="Times New Roman"/>
          <w:b/>
          <w:sz w:val="24"/>
          <w:szCs w:val="24"/>
        </w:rPr>
        <w:t xml:space="preserve">. (2026). </w:t>
      </w:r>
      <w:r w:rsidRPr="004D0A4E">
        <w:rPr>
          <w:rFonts w:ascii="Times New Roman" w:eastAsia="Times New Roman" w:hAnsi="Times New Roman" w:cs="Times New Roman"/>
          <w:sz w:val="24"/>
          <w:szCs w:val="24"/>
        </w:rPr>
        <w:t xml:space="preserve">Space and the Buffers of Gender Freedom in Selected Novels of Nigerian Female Novelists. </w:t>
      </w:r>
      <w:proofErr w:type="spellStart"/>
      <w:r w:rsidRPr="004D0A4E">
        <w:rPr>
          <w:rFonts w:ascii="Times New Roman" w:hAnsi="Times New Roman" w:cs="Times New Roman"/>
          <w:b/>
          <w:bCs/>
          <w:sz w:val="24"/>
          <w:szCs w:val="24"/>
        </w:rPr>
        <w:t>Tasambo</w:t>
      </w:r>
      <w:proofErr w:type="spellEnd"/>
      <w:r w:rsidRPr="004D0A4E">
        <w:rPr>
          <w:rFonts w:ascii="Times New Roman" w:hAnsi="Times New Roman" w:cs="Times New Roman"/>
          <w:b/>
          <w:bCs/>
          <w:sz w:val="24"/>
          <w:szCs w:val="24"/>
        </w:rPr>
        <w:t xml:space="preserve"> Journal of Language, Literature and Cultures</w:t>
      </w:r>
      <w:r w:rsidRPr="004D0A4E">
        <w:rPr>
          <w:rFonts w:ascii="Times New Roman" w:hAnsi="Times New Roman" w:cs="Times New Roman"/>
          <w:bCs/>
          <w:sz w:val="24"/>
          <w:szCs w:val="24"/>
        </w:rPr>
        <w:t xml:space="preserve">, 5 (1), 190-199. Published by the Department of Languages and Cultures, Federal University </w:t>
      </w:r>
      <w:proofErr w:type="spellStart"/>
      <w:r w:rsidRPr="004D0A4E">
        <w:rPr>
          <w:rFonts w:ascii="Times New Roman" w:hAnsi="Times New Roman" w:cs="Times New Roman"/>
          <w:bCs/>
          <w:sz w:val="24"/>
          <w:szCs w:val="24"/>
        </w:rPr>
        <w:t>Gusau</w:t>
      </w:r>
      <w:proofErr w:type="spellEnd"/>
      <w:r w:rsidRPr="004D0A4E">
        <w:rPr>
          <w:rFonts w:ascii="Times New Roman" w:hAnsi="Times New Roman" w:cs="Times New Roman"/>
          <w:bCs/>
          <w:sz w:val="24"/>
          <w:szCs w:val="24"/>
        </w:rPr>
        <w:t xml:space="preserve">, </w:t>
      </w:r>
      <w:proofErr w:type="spellStart"/>
      <w:r w:rsidRPr="004D0A4E">
        <w:rPr>
          <w:rFonts w:ascii="Times New Roman" w:hAnsi="Times New Roman" w:cs="Times New Roman"/>
          <w:bCs/>
          <w:sz w:val="24"/>
          <w:szCs w:val="24"/>
        </w:rPr>
        <w:t>Zamfara</w:t>
      </w:r>
      <w:proofErr w:type="spellEnd"/>
      <w:r w:rsidRPr="004D0A4E">
        <w:rPr>
          <w:rFonts w:ascii="Times New Roman" w:hAnsi="Times New Roman" w:cs="Times New Roman"/>
          <w:bCs/>
          <w:sz w:val="24"/>
          <w:szCs w:val="24"/>
        </w:rPr>
        <w:t xml:space="preserve"> State. URL:  </w:t>
      </w:r>
      <w:hyperlink r:id="rId4" w:history="1">
        <w:r w:rsidRPr="004D0A4E">
          <w:rPr>
            <w:rStyle w:val="Hyperlink"/>
            <w:rFonts w:ascii="Times New Roman" w:hAnsi="Times New Roman" w:cs="Times New Roman"/>
            <w:bCs/>
            <w:sz w:val="24"/>
            <w:szCs w:val="24"/>
          </w:rPr>
          <w:t>http://www.doi.org/10.36349/tjllc.2026.v05i01.019</w:t>
        </w:r>
      </w:hyperlink>
    </w:p>
    <w:p w:rsidR="00B9668E" w:rsidRPr="004D0A4E" w:rsidRDefault="00B9668E" w:rsidP="00B9668E">
      <w:pPr>
        <w:rPr>
          <w:rStyle w:val="Hyperlink"/>
          <w:rFonts w:ascii="Times New Roman" w:hAnsi="Times New Roman" w:cs="Times New Roman"/>
          <w:bCs/>
          <w:color w:val="auto"/>
          <w:sz w:val="24"/>
          <w:szCs w:val="24"/>
        </w:rPr>
      </w:pPr>
    </w:p>
    <w:p w:rsidR="004D0A4E" w:rsidRPr="004D0A4E" w:rsidRDefault="00B9668E" w:rsidP="004D0A4E">
      <w:pPr>
        <w:jc w:val="both"/>
        <w:rPr>
          <w:rFonts w:ascii="Times New Roman" w:hAnsi="Times New Roman" w:cs="Times New Roman"/>
          <w:sz w:val="24"/>
          <w:szCs w:val="24"/>
        </w:rPr>
      </w:pPr>
      <w:r w:rsidRPr="004D0A4E">
        <w:rPr>
          <w:rFonts w:ascii="Times New Roman" w:hAnsi="Times New Roman" w:cs="Times New Roman"/>
          <w:sz w:val="24"/>
          <w:szCs w:val="24"/>
        </w:rPr>
        <w:t xml:space="preserve">Over the years, feminist writers have achieved a convergence that identifies the typologies of oppression against women. The contexts of such deprivations have narrowed down to the domestic space and the diaspora, with the scale of success in </w:t>
      </w:r>
      <w:proofErr w:type="spellStart"/>
      <w:r w:rsidRPr="004D0A4E">
        <w:rPr>
          <w:rFonts w:ascii="Times New Roman" w:hAnsi="Times New Roman" w:cs="Times New Roman"/>
          <w:sz w:val="24"/>
          <w:szCs w:val="24"/>
        </w:rPr>
        <w:t>favour</w:t>
      </w:r>
      <w:proofErr w:type="spellEnd"/>
      <w:r w:rsidRPr="004D0A4E">
        <w:rPr>
          <w:rFonts w:ascii="Times New Roman" w:hAnsi="Times New Roman" w:cs="Times New Roman"/>
          <w:sz w:val="24"/>
          <w:szCs w:val="24"/>
        </w:rPr>
        <w:t xml:space="preserve"> of novels set in diaspora spaces. This article examines the intersection between space, gender oppression, and institutional mediation in selected novels by Nigerian female novelists. Although few novelists, such as </w:t>
      </w:r>
      <w:proofErr w:type="spellStart"/>
      <w:r w:rsidRPr="004D0A4E">
        <w:rPr>
          <w:rFonts w:ascii="Times New Roman" w:hAnsi="Times New Roman" w:cs="Times New Roman"/>
          <w:sz w:val="24"/>
          <w:szCs w:val="24"/>
        </w:rPr>
        <w:t>Akachi</w:t>
      </w:r>
      <w:proofErr w:type="spellEnd"/>
      <w:r w:rsidRPr="004D0A4E">
        <w:rPr>
          <w:rFonts w:ascii="Times New Roman" w:hAnsi="Times New Roman" w:cs="Times New Roman"/>
          <w:sz w:val="24"/>
          <w:szCs w:val="24"/>
        </w:rPr>
        <w:t xml:space="preserve"> </w:t>
      </w:r>
      <w:proofErr w:type="spellStart"/>
      <w:r w:rsidRPr="004D0A4E">
        <w:rPr>
          <w:rFonts w:ascii="Times New Roman" w:hAnsi="Times New Roman" w:cs="Times New Roman"/>
          <w:sz w:val="24"/>
          <w:szCs w:val="24"/>
        </w:rPr>
        <w:t>Adimora-Ezeigbo</w:t>
      </w:r>
      <w:proofErr w:type="spellEnd"/>
      <w:r w:rsidRPr="004D0A4E">
        <w:rPr>
          <w:rFonts w:ascii="Times New Roman" w:hAnsi="Times New Roman" w:cs="Times New Roman"/>
          <w:sz w:val="24"/>
          <w:szCs w:val="24"/>
        </w:rPr>
        <w:t xml:space="preserve"> in Children of the Eagle (2002), achieved a relative success in their </w:t>
      </w:r>
      <w:proofErr w:type="spellStart"/>
      <w:r w:rsidRPr="004D0A4E">
        <w:rPr>
          <w:rFonts w:ascii="Times New Roman" w:hAnsi="Times New Roman" w:cs="Times New Roman"/>
          <w:sz w:val="24"/>
          <w:szCs w:val="24"/>
        </w:rPr>
        <w:t>contextualisation</w:t>
      </w:r>
      <w:proofErr w:type="spellEnd"/>
      <w:r w:rsidRPr="004D0A4E">
        <w:rPr>
          <w:rFonts w:ascii="Times New Roman" w:hAnsi="Times New Roman" w:cs="Times New Roman"/>
          <w:sz w:val="24"/>
          <w:szCs w:val="24"/>
        </w:rPr>
        <w:t xml:space="preserve"> of women’s struggles within the domestic space, many writers, such as </w:t>
      </w:r>
      <w:proofErr w:type="spellStart"/>
      <w:r w:rsidRPr="004D0A4E">
        <w:rPr>
          <w:rFonts w:ascii="Times New Roman" w:hAnsi="Times New Roman" w:cs="Times New Roman"/>
          <w:sz w:val="24"/>
          <w:szCs w:val="24"/>
        </w:rPr>
        <w:t>Buchi</w:t>
      </w:r>
      <w:proofErr w:type="spellEnd"/>
      <w:r w:rsidRPr="004D0A4E">
        <w:rPr>
          <w:rFonts w:ascii="Times New Roman" w:hAnsi="Times New Roman" w:cs="Times New Roman"/>
          <w:sz w:val="24"/>
          <w:szCs w:val="24"/>
        </w:rPr>
        <w:t xml:space="preserve"> </w:t>
      </w:r>
      <w:proofErr w:type="spellStart"/>
      <w:r w:rsidRPr="004D0A4E">
        <w:rPr>
          <w:rFonts w:ascii="Times New Roman" w:hAnsi="Times New Roman" w:cs="Times New Roman"/>
          <w:sz w:val="24"/>
          <w:szCs w:val="24"/>
        </w:rPr>
        <w:t>Emecheta</w:t>
      </w:r>
      <w:proofErr w:type="spellEnd"/>
      <w:r w:rsidRPr="004D0A4E">
        <w:rPr>
          <w:rFonts w:ascii="Times New Roman" w:hAnsi="Times New Roman" w:cs="Times New Roman"/>
          <w:sz w:val="24"/>
          <w:szCs w:val="24"/>
        </w:rPr>
        <w:t xml:space="preserve"> in Second Class Citizens (1974) and </w:t>
      </w:r>
      <w:proofErr w:type="spellStart"/>
      <w:r w:rsidRPr="004D0A4E">
        <w:rPr>
          <w:rFonts w:ascii="Times New Roman" w:hAnsi="Times New Roman" w:cs="Times New Roman"/>
          <w:sz w:val="24"/>
          <w:szCs w:val="24"/>
        </w:rPr>
        <w:t>Yejide</w:t>
      </w:r>
      <w:proofErr w:type="spellEnd"/>
      <w:r w:rsidRPr="004D0A4E">
        <w:rPr>
          <w:rFonts w:ascii="Times New Roman" w:hAnsi="Times New Roman" w:cs="Times New Roman"/>
          <w:sz w:val="24"/>
          <w:szCs w:val="24"/>
        </w:rPr>
        <w:t xml:space="preserve"> </w:t>
      </w:r>
      <w:proofErr w:type="spellStart"/>
      <w:r w:rsidRPr="004D0A4E">
        <w:rPr>
          <w:rFonts w:ascii="Times New Roman" w:hAnsi="Times New Roman" w:cs="Times New Roman"/>
          <w:sz w:val="24"/>
          <w:szCs w:val="24"/>
        </w:rPr>
        <w:t>Kilanko</w:t>
      </w:r>
      <w:proofErr w:type="spellEnd"/>
      <w:r w:rsidRPr="004D0A4E">
        <w:rPr>
          <w:rFonts w:ascii="Times New Roman" w:hAnsi="Times New Roman" w:cs="Times New Roman"/>
          <w:sz w:val="24"/>
          <w:szCs w:val="24"/>
        </w:rPr>
        <w:t xml:space="preserve"> in Chasing Butterflies (2018) and A Good Name (2021), have situated the ordeal of the African women within the diaspora landscape. The article is a qualitative study that draws on Alice Walker’s Womanist theory to inform its conversation on the prevalence of gender deprivations in selected Nigerian novels. After chronicling the typologies of gender novels in Nigeria and the identification of the marriage context as the habitat for gender deprivations, the article submits that most novels that use the domestic setting rarely succeed in their commitment due to entrenched patriarchy. This is in sharp contrast to novels that use diaspora settings where women can overcome similar crises on account of identified resources. The conclusion of the article is a call that awakens the consciousness, in the homeland, to the urgent need of establishing and activating the institutions that are sensitive to women’s rights and freedom. The article contributes to feminist literary scholarship by foregrounding space as a critical determinant in narratives of gender freedom and by highlighting the urgent need for responsive institutions within traditional societies. </w:t>
      </w:r>
    </w:p>
    <w:p w:rsidR="00B9668E" w:rsidRPr="004D0A4E" w:rsidRDefault="00B9668E" w:rsidP="004D0A4E">
      <w:pPr>
        <w:jc w:val="both"/>
        <w:rPr>
          <w:rFonts w:ascii="Times New Roman" w:hAnsi="Times New Roman" w:cs="Times New Roman"/>
          <w:sz w:val="24"/>
          <w:szCs w:val="24"/>
        </w:rPr>
      </w:pPr>
      <w:r w:rsidRPr="004D0A4E">
        <w:rPr>
          <w:rFonts w:ascii="Times New Roman" w:hAnsi="Times New Roman" w:cs="Times New Roman"/>
          <w:sz w:val="24"/>
          <w:szCs w:val="24"/>
        </w:rPr>
        <w:t>Keywords: diaspora, gender, oppression, radical, resistance, traditiona</w:t>
      </w:r>
      <w:r w:rsidR="004D0A4E" w:rsidRPr="004D0A4E">
        <w:rPr>
          <w:rFonts w:ascii="Times New Roman" w:hAnsi="Times New Roman" w:cs="Times New Roman"/>
          <w:sz w:val="24"/>
          <w:szCs w:val="24"/>
        </w:rPr>
        <w:t>l</w:t>
      </w:r>
    </w:p>
    <w:sectPr w:rsidR="00B9668E" w:rsidRPr="004D0A4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668E"/>
    <w:rsid w:val="00180353"/>
    <w:rsid w:val="004D0A4E"/>
    <w:rsid w:val="00957505"/>
    <w:rsid w:val="00B966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CA58DC-5E60-449A-AC0F-C8F10FE39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66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9668E"/>
    <w:rPr>
      <w:color w:val="0563C1" w:themeColor="hyperlink"/>
      <w:u w:val="single"/>
    </w:rPr>
  </w:style>
  <w:style w:type="paragraph" w:customStyle="1" w:styleId="Default">
    <w:name w:val="Default"/>
    <w:rsid w:val="00B9668E"/>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doi.org/10.36349/tjllc.2026.v05i01.0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355</Words>
  <Characters>2030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YINKA AFOLAYAN</dc:creator>
  <cp:keywords/>
  <dc:description/>
  <cp:lastModifiedBy>DR YINKA AFOLAYAN</cp:lastModifiedBy>
  <cp:revision>1</cp:revision>
  <dcterms:created xsi:type="dcterms:W3CDTF">2026-02-25T12:41:00Z</dcterms:created>
  <dcterms:modified xsi:type="dcterms:W3CDTF">2026-02-25T13:04:00Z</dcterms:modified>
</cp:coreProperties>
</file>