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AD914DF">
      <w:pPr>
        <w:spacing w:before="0" w:beforeAutospacing="0" w:line="240" w:lineRule="auto"/>
        <w:jc w:val="center"/>
        <w:rPr>
          <w:rStyle w:val="11"/>
          <w:rFonts w:ascii="Times New Roman" w:hAnsi="Times New Roman" w:eastAsia="Calibri" w:cs="Times New Roman"/>
          <w:sz w:val="24"/>
          <w:szCs w:val="24"/>
        </w:rPr>
      </w:pPr>
      <w:bookmarkStart w:id="0" w:name="_GoBack"/>
      <w:bookmarkEnd w:id="0"/>
      <w:r>
        <w:rPr>
          <w:rStyle w:val="11"/>
          <w:rFonts w:ascii="Times New Roman" w:hAnsi="Times New Roman" w:eastAsia="Calibri" w:cs="Times New Roman"/>
          <w:sz w:val="24"/>
          <w:szCs w:val="24"/>
        </w:rPr>
        <w:t>Mutual Responsibility in Rom. 15:1 and its Relevance to the Economic Development of Christian Home</w:t>
      </w:r>
    </w:p>
    <w:p w14:paraId="55028D58">
      <w:pPr>
        <w:spacing w:before="0" w:beforeAutospacing="0" w:line="240" w:lineRule="auto"/>
        <w:jc w:val="center"/>
        <w:rPr>
          <w:rFonts w:ascii="Times New Roman" w:hAnsi="Times New Roman" w:eastAsia="Calibri"/>
          <w:sz w:val="24"/>
          <w:szCs w:val="24"/>
        </w:rPr>
      </w:pPr>
      <w:r>
        <w:rPr>
          <w:rFonts w:ascii="Times New Roman" w:hAnsi="Times New Roman" w:eastAsia="Calibri"/>
          <w:sz w:val="24"/>
          <w:szCs w:val="24"/>
        </w:rPr>
        <w:t>By</w:t>
      </w:r>
    </w:p>
    <w:p w14:paraId="5DF55D1B">
      <w:pPr>
        <w:spacing w:before="0" w:beforeAutospacing="0" w:line="240" w:lineRule="auto"/>
        <w:jc w:val="center"/>
        <w:rPr>
          <w:rFonts w:eastAsia="Calibri"/>
          <w:b/>
          <w:sz w:val="24"/>
          <w:szCs w:val="24"/>
        </w:rPr>
      </w:pPr>
      <w:r>
        <w:rPr>
          <w:rFonts w:ascii="Times New Roman" w:hAnsi="Times New Roman" w:eastAsia="Calibri"/>
          <w:b/>
          <w:sz w:val="24"/>
          <w:szCs w:val="24"/>
        </w:rPr>
        <w:t>OYEBOWALE MICHAEL OYETADE Ph.D.</w:t>
      </w:r>
    </w:p>
    <w:p w14:paraId="2901C37B">
      <w:pPr>
        <w:spacing w:before="0" w:beforeAutospacing="0" w:line="240" w:lineRule="auto"/>
        <w:jc w:val="center"/>
        <w:rPr>
          <w:rFonts w:ascii="Times New Roman" w:hAnsi="Times New Roman" w:eastAsia="Calibri"/>
          <w:sz w:val="24"/>
          <w:szCs w:val="24"/>
        </w:rPr>
      </w:pPr>
      <w:r>
        <w:rPr>
          <w:rFonts w:ascii="Times New Roman" w:hAnsi="Times New Roman" w:eastAsia="Calibri"/>
          <w:sz w:val="24"/>
          <w:szCs w:val="24"/>
        </w:rPr>
        <w:t xml:space="preserve"> Department of Religions, </w:t>
      </w:r>
    </w:p>
    <w:p w14:paraId="43B50406">
      <w:pPr>
        <w:spacing w:before="0" w:beforeAutospacing="0" w:line="240" w:lineRule="auto"/>
        <w:jc w:val="center"/>
        <w:rPr>
          <w:rFonts w:ascii="Times New Roman" w:hAnsi="Times New Roman" w:eastAsia="Calibri"/>
          <w:sz w:val="24"/>
          <w:szCs w:val="24"/>
        </w:rPr>
      </w:pPr>
      <w:r>
        <w:rPr>
          <w:rFonts w:ascii="Times New Roman" w:hAnsi="Times New Roman" w:eastAsia="Calibri"/>
          <w:sz w:val="24"/>
          <w:szCs w:val="24"/>
        </w:rPr>
        <w:t>University of Ilorin, Ilorin, Nigeria</w:t>
      </w:r>
    </w:p>
    <w:p w14:paraId="126838D1">
      <w:pPr>
        <w:spacing w:before="0" w:beforeAutospacing="0" w:line="240" w:lineRule="auto"/>
        <w:ind w:left="2880" w:firstLine="720"/>
        <w:rPr>
          <w:rStyle w:val="11"/>
          <w:rFonts w:ascii="Times New Roman" w:hAnsi="Times New Roman" w:eastAsia="Calibri" w:cs="Times New Roman"/>
          <w:sz w:val="24"/>
          <w:szCs w:val="24"/>
        </w:rPr>
      </w:pPr>
      <w:r>
        <w:fldChar w:fldCharType="begin"/>
      </w:r>
      <w:r>
        <w:instrText xml:space="preserve"> HYPERLINK "mailto:oyetade.mo@unilorin.edu.ng" </w:instrText>
      </w:r>
      <w:r>
        <w:fldChar w:fldCharType="separate"/>
      </w:r>
      <w:r>
        <w:rPr>
          <w:rStyle w:val="10"/>
          <w:rFonts w:ascii="Times New Roman" w:hAnsi="Times New Roman" w:eastAsia="Calibri" w:cs="Times New Roman"/>
          <w:sz w:val="24"/>
          <w:szCs w:val="24"/>
        </w:rPr>
        <w:t>oyetade.mo@unilorin.edu.ng</w:t>
      </w:r>
      <w:r>
        <w:rPr>
          <w:rStyle w:val="10"/>
          <w:rFonts w:ascii="Times New Roman" w:hAnsi="Times New Roman" w:eastAsia="Calibri" w:cs="Times New Roman"/>
          <w:sz w:val="24"/>
          <w:szCs w:val="24"/>
        </w:rPr>
        <w:fldChar w:fldCharType="end"/>
      </w:r>
      <w:r>
        <w:rPr>
          <w:rStyle w:val="12"/>
          <w:rFonts w:ascii="Times New Roman" w:hAnsi="Times New Roman" w:eastAsia="Calibri" w:cs="Times New Roman"/>
          <w:sz w:val="24"/>
          <w:szCs w:val="24"/>
        </w:rPr>
        <w:t xml:space="preserve"> </w:t>
      </w:r>
    </w:p>
    <w:p w14:paraId="43586D36">
      <w:pPr>
        <w:spacing w:before="0" w:beforeAutospacing="0" w:line="240" w:lineRule="auto"/>
        <w:jc w:val="both"/>
        <w:rPr>
          <w:sz w:val="24"/>
          <w:szCs w:val="24"/>
        </w:rPr>
      </w:pPr>
      <w:r>
        <w:rPr>
          <w:sz w:val="24"/>
          <w:szCs w:val="24"/>
        </w:rPr>
        <w:t xml:space="preserve">                                                                      &amp;</w:t>
      </w:r>
    </w:p>
    <w:p w14:paraId="32628ECE">
      <w:pPr>
        <w:spacing w:before="0" w:beforeAutospacing="0" w:line="240" w:lineRule="auto"/>
        <w:jc w:val="center"/>
        <w:rPr>
          <w:b/>
          <w:sz w:val="24"/>
          <w:szCs w:val="24"/>
        </w:rPr>
      </w:pPr>
      <w:r>
        <w:rPr>
          <w:b/>
          <w:sz w:val="24"/>
          <w:szCs w:val="24"/>
        </w:rPr>
        <w:t>ADEOLA ESTHER FEMI-OLUBIYI Ph.D.</w:t>
      </w:r>
    </w:p>
    <w:p w14:paraId="0A0D34AE">
      <w:pPr>
        <w:spacing w:before="0" w:beforeAutospacing="0" w:line="240" w:lineRule="auto"/>
        <w:jc w:val="center"/>
        <w:rPr>
          <w:rFonts w:ascii="Times New Roman" w:hAnsi="Times New Roman" w:eastAsia="Calibri"/>
          <w:sz w:val="24"/>
          <w:szCs w:val="24"/>
        </w:rPr>
      </w:pPr>
      <w:r>
        <w:rPr>
          <w:rFonts w:ascii="Times New Roman" w:hAnsi="Times New Roman" w:eastAsia="Calibri"/>
          <w:sz w:val="24"/>
          <w:szCs w:val="24"/>
        </w:rPr>
        <w:t xml:space="preserve">i/c M.O. Oyetade, Department of Religions, </w:t>
      </w:r>
    </w:p>
    <w:p w14:paraId="37AAA165">
      <w:pPr>
        <w:spacing w:before="0" w:beforeAutospacing="0" w:line="240" w:lineRule="auto"/>
        <w:jc w:val="center"/>
        <w:rPr>
          <w:rFonts w:ascii="Times New Roman" w:hAnsi="Times New Roman" w:eastAsia="Calibri"/>
          <w:sz w:val="24"/>
          <w:szCs w:val="24"/>
        </w:rPr>
      </w:pPr>
      <w:r>
        <w:rPr>
          <w:rFonts w:ascii="Times New Roman" w:hAnsi="Times New Roman" w:eastAsia="Calibri"/>
          <w:sz w:val="24"/>
          <w:szCs w:val="24"/>
        </w:rPr>
        <w:t>University of Ilorin, Ilorin, Nigeria</w:t>
      </w:r>
    </w:p>
    <w:p w14:paraId="27FE83A6">
      <w:pPr>
        <w:spacing w:before="0" w:beforeAutospacing="0" w:line="240" w:lineRule="auto"/>
        <w:jc w:val="center"/>
        <w:rPr>
          <w:rFonts w:ascii="Times New Roman" w:hAnsi="Times New Roman"/>
          <w:sz w:val="24"/>
          <w:szCs w:val="24"/>
        </w:rPr>
      </w:pPr>
      <w:r>
        <w:fldChar w:fldCharType="begin"/>
      </w:r>
      <w:r>
        <w:instrText xml:space="preserve"> HYPERLINK "mailto:thecrownedqueen247@gmail.com" </w:instrText>
      </w:r>
      <w:r>
        <w:fldChar w:fldCharType="separate"/>
      </w:r>
      <w:r>
        <w:rPr>
          <w:rStyle w:val="10"/>
          <w:rFonts w:ascii="Times New Roman" w:hAnsi="Times New Roman"/>
          <w:sz w:val="24"/>
          <w:szCs w:val="24"/>
        </w:rPr>
        <w:t>thecrownedqueen247@gmail.com</w:t>
      </w:r>
      <w:r>
        <w:rPr>
          <w:rStyle w:val="10"/>
          <w:rFonts w:ascii="Times New Roman" w:hAnsi="Times New Roman"/>
          <w:sz w:val="24"/>
          <w:szCs w:val="24"/>
        </w:rPr>
        <w:fldChar w:fldCharType="end"/>
      </w:r>
    </w:p>
    <w:p w14:paraId="6A0D369E">
      <w:pPr>
        <w:spacing w:before="0" w:beforeAutospacing="0" w:line="240" w:lineRule="auto"/>
        <w:jc w:val="center"/>
        <w:rPr>
          <w:rFonts w:ascii="Times New Roman" w:hAnsi="Times New Roman" w:eastAsia="Calibri"/>
          <w:sz w:val="24"/>
          <w:szCs w:val="24"/>
        </w:rPr>
      </w:pPr>
    </w:p>
    <w:p w14:paraId="17F537E6">
      <w:pPr>
        <w:spacing w:before="0" w:beforeAutospacing="0" w:line="240" w:lineRule="auto"/>
        <w:jc w:val="both"/>
        <w:rPr>
          <w:sz w:val="24"/>
          <w:szCs w:val="24"/>
        </w:rPr>
      </w:pPr>
    </w:p>
    <w:p w14:paraId="356E26A1">
      <w:pPr>
        <w:spacing w:before="0" w:beforeAutospacing="0" w:line="240" w:lineRule="auto"/>
        <w:jc w:val="both"/>
        <w:rPr>
          <w:sz w:val="24"/>
          <w:szCs w:val="24"/>
        </w:rPr>
      </w:pPr>
    </w:p>
    <w:p w14:paraId="5DCCD18B">
      <w:pPr>
        <w:spacing w:before="0" w:beforeAutospacing="0" w:line="240" w:lineRule="auto"/>
        <w:jc w:val="both"/>
        <w:rPr>
          <w:rStyle w:val="11"/>
          <w:rFonts w:ascii="Times New Roman" w:hAnsi="Times New Roman" w:eastAsia="Calibri" w:cs="Times New Roman"/>
          <w:sz w:val="24"/>
          <w:szCs w:val="24"/>
        </w:rPr>
      </w:pPr>
      <w:r>
        <w:rPr>
          <w:rStyle w:val="11"/>
          <w:rFonts w:ascii="Times New Roman" w:hAnsi="Times New Roman" w:eastAsia="Calibri" w:cs="Times New Roman"/>
          <w:sz w:val="24"/>
          <w:szCs w:val="24"/>
        </w:rPr>
        <w:t xml:space="preserve">Abstract </w:t>
      </w:r>
    </w:p>
    <w:p w14:paraId="158FA049">
      <w:pPr>
        <w:spacing w:before="0" w:beforeAutospacing="0" w:line="240" w:lineRule="auto"/>
        <w:jc w:val="both"/>
        <w:rPr>
          <w:rStyle w:val="11"/>
          <w:rFonts w:ascii="Times New Roman" w:hAnsi="Times New Roman" w:eastAsia="Calibri" w:cs="Times New Roman"/>
          <w:b w:val="0"/>
          <w:sz w:val="24"/>
          <w:szCs w:val="24"/>
        </w:rPr>
      </w:pPr>
      <w:r>
        <w:rPr>
          <w:rStyle w:val="11"/>
          <w:rFonts w:ascii="Times New Roman" w:hAnsi="Times New Roman" w:eastAsia="Calibri" w:cs="Times New Roman"/>
          <w:b w:val="0"/>
          <w:sz w:val="24"/>
          <w:szCs w:val="24"/>
        </w:rPr>
        <w:t xml:space="preserve">The idea of bearing one another’s burden is not merely an abstract principle, but a practical ethic intended to guide relationships within the body of Christ. The principle of mutual responsibility is a core tenet of Christian ethics, and nowhere is it more poignantly articulated than in Romans 15:1, “we who are strong ought to bear with the failing of the weak and not to please ourselves”. This verse encapsulates the apostolic vision of a community built on compassion, humility, and selflessness. This alone is a pedestal for the economic development of any society. The objective of the paper is to strengthen unity, tolerance, and spiritual maturity that prioritizes communal well-being over personal liberty, which enhances economic development.  The author adopts qualitative method and both historical and exegetical approaches also used. The researcher adopts Social Exchange Theory (SET) as a theoretical framework. The research finds out that, in an age marked by individualism, emotional isolation and relational breakdowns, even within professing Christian families, the call to bear with one another’s weaknesses is both countercultural and urgently needed. The paper concludes that: Christian homes are meant to reflect the love, endurance, and mutual submission modelled in Christ, yet they increasingly mirror the fractured dynamics of the broader society </w:t>
      </w:r>
    </w:p>
    <w:p w14:paraId="4204BB61">
      <w:pPr>
        <w:spacing w:before="0" w:beforeAutospacing="0" w:line="240" w:lineRule="auto"/>
        <w:jc w:val="both"/>
        <w:rPr>
          <w:rFonts w:ascii="Tahoma" w:hAnsi="Tahoma" w:eastAsia="Calibri"/>
          <w:color w:val="000000"/>
          <w:sz w:val="24"/>
          <w:szCs w:val="24"/>
        </w:rPr>
      </w:pPr>
      <w:r>
        <w:rPr>
          <w:rStyle w:val="11"/>
          <w:rFonts w:ascii="Times New Roman" w:hAnsi="Times New Roman" w:eastAsia="Calibri" w:cs="Times New Roman"/>
          <w:sz w:val="24"/>
          <w:szCs w:val="24"/>
        </w:rPr>
        <w:t xml:space="preserve">Keywords: Mutual, Responsibility, Christian, Home, Economic Development     </w:t>
      </w:r>
    </w:p>
    <w:p w14:paraId="4A954E2E">
      <w:pPr>
        <w:autoSpaceDE w:val="0"/>
        <w:autoSpaceDN w:val="0"/>
        <w:adjustRightInd w:val="0"/>
        <w:spacing w:before="0" w:beforeAutospacing="0" w:line="240" w:lineRule="auto"/>
        <w:ind w:left="57" w:hanging="360"/>
        <w:jc w:val="center"/>
        <w:rPr>
          <w:rFonts w:ascii="Times New Roman" w:hAnsi="Times New Roman" w:cs="Times New Roman"/>
          <w:b/>
          <w:sz w:val="24"/>
          <w:szCs w:val="24"/>
        </w:rPr>
      </w:pPr>
    </w:p>
    <w:p w14:paraId="5CE521A9">
      <w:pPr>
        <w:autoSpaceDE w:val="0"/>
        <w:autoSpaceDN w:val="0"/>
        <w:adjustRightInd w:val="0"/>
        <w:spacing w:before="0" w:beforeAutospacing="0" w:line="240" w:lineRule="auto"/>
        <w:rPr>
          <w:rFonts w:ascii="Georgia" w:hAnsi="Georgia" w:eastAsia="TITUS Cyberbit Basic" w:cs="Georgia"/>
          <w:sz w:val="24"/>
          <w:szCs w:val="24"/>
        </w:rPr>
      </w:pPr>
      <w:r>
        <w:rPr>
          <w:rFonts w:ascii="Times New Roman" w:hAnsi="Times New Roman" w:cs="Times New Roman"/>
          <w:b/>
          <w:sz w:val="24"/>
          <w:szCs w:val="24"/>
        </w:rPr>
        <w:t>Introduction</w:t>
      </w:r>
    </w:p>
    <w:p w14:paraId="5D494043">
      <w:pPr>
        <w:spacing w:before="0" w:beforeAutospacing="0" w:line="240" w:lineRule="auto"/>
        <w:ind w:left="57" w:firstLine="720"/>
        <w:jc w:val="both"/>
        <w:rPr>
          <w:rFonts w:ascii="Times New Roman" w:hAnsi="Times New Roman" w:cs="Times New Roman"/>
          <w:sz w:val="24"/>
          <w:szCs w:val="24"/>
        </w:rPr>
      </w:pPr>
      <w:r>
        <w:rPr>
          <w:rFonts w:ascii="Times New Roman" w:hAnsi="Times New Roman" w:cs="Times New Roman"/>
          <w:sz w:val="24"/>
          <w:szCs w:val="24"/>
        </w:rPr>
        <w:t>The principle of mutual responsibility is a core tenet of Christian ethics, and nowhere is it more poignantly articulated than in Romans 15:1 “We who are strong ought to bear with the failings of the weak and not to please ourselves.” This verse encapsulates the apostolic vision of a community built on compassion, humility, and selflessness. In the Pauline epistles, the idea of bearing one another’s burdens is not merely an abstract theological principle but a practical ethic intended to guide relationships within the body of Christ. Paul’s exhortation in Romans 15:1 is a continuation of his broader appeal in Romans 14 concerning unity, tolerance, and the spiritual maturity that prioritizes communal well-being over personal liberty.</w:t>
      </w:r>
    </w:p>
    <w:p w14:paraId="5E332B72">
      <w:pPr>
        <w:spacing w:before="0" w:beforeAutospacing="0" w:line="240" w:lineRule="auto"/>
        <w:ind w:firstLine="720"/>
        <w:jc w:val="both"/>
        <w:rPr>
          <w:rFonts w:ascii="Times New Roman" w:hAnsi="Times New Roman" w:cs="Times New Roman"/>
          <w:b/>
          <w:sz w:val="24"/>
          <w:szCs w:val="24"/>
        </w:rPr>
      </w:pPr>
      <w:r>
        <w:rPr>
          <w:rFonts w:ascii="Times New Roman" w:hAnsi="Times New Roman" w:cs="Times New Roman"/>
          <w:sz w:val="24"/>
          <w:szCs w:val="24"/>
        </w:rPr>
        <w:t>Within the contemporary Christian home, where diverse personalities, generational gaps, and conflicting values often intersect, the relevance of this Pauline instruction cannot be overstated. In an age marked by individualism, emotional isolation, and relational breakdowns, even within professing Christian families, the call to bear with one another’s weaknesses is both countercultural and urgently needed. Christian homes are meant to reflect the love, endurance, and mutual submission modeled in Christ, yet they increasingly mirror the fractured dynamics of the broader society.</w:t>
      </w:r>
    </w:p>
    <w:p w14:paraId="6C169DD6">
      <w:pPr>
        <w:spacing w:before="0" w:beforeAutospacing="0" w:line="240" w:lineRule="auto"/>
        <w:jc w:val="both"/>
        <w:rPr>
          <w:rFonts w:ascii="Times New Roman" w:hAnsi="Times New Roman" w:cs="Times New Roman"/>
          <w:b/>
          <w:sz w:val="24"/>
          <w:szCs w:val="24"/>
        </w:rPr>
      </w:pPr>
    </w:p>
    <w:p w14:paraId="3AB20A63">
      <w:pPr>
        <w:spacing w:before="0" w:beforeAutospacing="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Occasion for Writing the Epistle to the Romans </w:t>
      </w:r>
    </w:p>
    <w:p w14:paraId="5B454451">
      <w:pPr>
        <w:spacing w:before="0" w:beforeAutospacing="0"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 Unlike many of Paul’s other letters, Romans was not written to address immediate crises or controversies within the church. Instead, it was written with a multi-faceted purpose, shaped by both missioned intention and pastoral concern. According to Moo, the Roman church was originally Jewish-Christian, but by the time of Paul’s writing, it had a substantial and probably majority Gentile component.</w:t>
      </w:r>
      <w:r>
        <w:rPr>
          <w:rFonts w:ascii="Times New Roman" w:hAnsi="Times New Roman" w:cs="Times New Roman"/>
          <w:sz w:val="24"/>
          <w:szCs w:val="24"/>
          <w:vertAlign w:val="superscript"/>
        </w:rPr>
        <w:t>1</w:t>
      </w:r>
      <w:r>
        <w:rPr>
          <w:rFonts w:ascii="Times New Roman" w:hAnsi="Times New Roman" w:cs="Times New Roman"/>
          <w:sz w:val="24"/>
          <w:szCs w:val="24"/>
        </w:rPr>
        <w:t xml:space="preserve"> Likewise, Dunn states that Paul’s pastoral concern is evident as he writes to a divided church, Jewish and Gentile believers needing theological reconciliation.</w:t>
      </w:r>
      <w:r>
        <w:rPr>
          <w:rFonts w:ascii="Times New Roman" w:hAnsi="Times New Roman" w:cs="Times New Roman"/>
          <w:sz w:val="24"/>
          <w:szCs w:val="24"/>
          <w:vertAlign w:val="superscript"/>
        </w:rPr>
        <w:t xml:space="preserve">2 </w:t>
      </w:r>
      <w:r>
        <w:rPr>
          <w:rFonts w:ascii="Times New Roman" w:hAnsi="Times New Roman" w:cs="Times New Roman"/>
          <w:sz w:val="24"/>
          <w:szCs w:val="24"/>
        </w:rPr>
        <w:t>Although the New Testament does not record the founding of the Roman church, early church tradition suggests that it was not founded directly by any apostle but likely emerged from Jews and proselytes who were present at Pentecost (Acts 2:10) and later returned to Rome.    Paul wrote Romans from Corinth, during his third missionary journey (around A.D. 56–57), as he prepared to deliver the collection for the poor saints in Jerusalem (Romans 15:25–26). One major reason for writing was to prepare for his proposed missionary journey to Spain (Romans 15:24, 28). Paul desired to use the Roman church as a base of operations for western expansion of the gospel. As such, Romans serves as a theological introduction of Paul’s gospel to a community he had not personally founded or visited.</w:t>
      </w:r>
    </w:p>
    <w:p w14:paraId="0B5AB4CA">
      <w:pPr>
        <w:spacing w:before="0" w:beforeAutospacing="0"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 According to Moo, Paul wrote Romans as a means of support-raising and as a theological explanation of his gospel for a church he hoped would support his mission to Spain.</w:t>
      </w:r>
      <w:r>
        <w:rPr>
          <w:rFonts w:ascii="Times New Roman" w:hAnsi="Times New Roman" w:cs="Times New Roman"/>
          <w:sz w:val="24"/>
          <w:szCs w:val="24"/>
          <w:vertAlign w:val="superscript"/>
        </w:rPr>
        <w:t>3</w:t>
      </w:r>
      <w:r>
        <w:rPr>
          <w:rFonts w:ascii="Times New Roman" w:hAnsi="Times New Roman" w:cs="Times New Roman"/>
          <w:sz w:val="24"/>
          <w:szCs w:val="24"/>
        </w:rPr>
        <w:t xml:space="preserve"> This missioned agenda prompted Paul to expound on themes such as justification by faith, the universality of sin, the role of the law, and the inclusion of Gentiles in God’s redemptive plan. In addition, there was an underlying pastoral occasion. The Roman church, originally Jewish in character, had seen a demographic shift after Emperor Claudius expelled the Jews from Rome in A.D. 49 (cf. Acts 18:2). When the Jewish believers returned, tensions emerged between the returning Jewish Christians and the now predominantly Gentile congregation. Paul’s teaching on Jew-Gentile unity in Christ (especially in chapters 9–11 and 14–15) suggests a desire to reconcile ethnic divisions within the church.</w:t>
      </w:r>
    </w:p>
    <w:p w14:paraId="31D6694C">
      <w:pPr>
        <w:spacing w:before="0" w:beforeAutospacing="0"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 Dunn confirms this, stating, Paul’s concern was to establish a common theological foundation for both Jewish and Gentile Christians, ensuring unity and mutual acceptance within the Roman community.</w:t>
      </w:r>
      <w:r>
        <w:rPr>
          <w:rFonts w:ascii="Times New Roman" w:hAnsi="Times New Roman" w:cs="Times New Roman"/>
          <w:sz w:val="24"/>
          <w:szCs w:val="24"/>
          <w:vertAlign w:val="superscript"/>
        </w:rPr>
        <w:t>4</w:t>
      </w:r>
      <w:r>
        <w:rPr>
          <w:rFonts w:ascii="Times New Roman" w:hAnsi="Times New Roman" w:cs="Times New Roman"/>
          <w:sz w:val="24"/>
          <w:szCs w:val="24"/>
        </w:rPr>
        <w:t xml:space="preserve"> In sum, the occasion for writing Romans was both strategic and pastoral, Paul sought to secure support for future missions while simultaneously addressing underlying communal tensions in the Roman church through a thorough exposition of the gospel.</w:t>
      </w:r>
    </w:p>
    <w:p w14:paraId="09926021">
      <w:pPr>
        <w:spacing w:before="0" w:beforeAutospacing="0" w:line="240" w:lineRule="auto"/>
        <w:jc w:val="both"/>
        <w:rPr>
          <w:rFonts w:ascii="Times New Roman" w:hAnsi="Times New Roman" w:cs="Times New Roman"/>
          <w:b/>
          <w:sz w:val="24"/>
          <w:szCs w:val="24"/>
        </w:rPr>
      </w:pPr>
    </w:p>
    <w:p w14:paraId="4F7E8B75">
      <w:pPr>
        <w:spacing w:before="0" w:beforeAutospacing="0" w:line="240" w:lineRule="auto"/>
        <w:jc w:val="both"/>
        <w:rPr>
          <w:rFonts w:ascii="Times New Roman" w:hAnsi="Times New Roman" w:cs="Times New Roman"/>
          <w:b/>
          <w:sz w:val="24"/>
          <w:szCs w:val="24"/>
        </w:rPr>
      </w:pPr>
      <w:r>
        <w:rPr>
          <w:rFonts w:ascii="Times New Roman" w:hAnsi="Times New Roman" w:cs="Times New Roman"/>
          <w:b/>
          <w:sz w:val="24"/>
          <w:szCs w:val="24"/>
        </w:rPr>
        <w:t>Exegesis of Romans 15:1</w:t>
      </w:r>
    </w:p>
    <w:p w14:paraId="44B8ED8E">
      <w:pPr>
        <w:spacing w:before="0" w:beforeAutospacing="0" w:line="240" w:lineRule="auto"/>
        <w:jc w:val="both"/>
        <w:rPr>
          <w:rFonts w:ascii="Times New Roman" w:hAnsi="Times New Roman" w:cs="Times New Roman"/>
          <w:sz w:val="24"/>
          <w:szCs w:val="24"/>
        </w:rPr>
      </w:pPr>
      <w:r>
        <w:rPr>
          <w:rFonts w:ascii="Times New Roman" w:hAnsi="Times New Roman" w:cs="Times New Roman"/>
          <w:sz w:val="24"/>
          <w:szCs w:val="24"/>
        </w:rPr>
        <w:t>Passage in Greek:</w:t>
      </w:r>
    </w:p>
    <w:p w14:paraId="057E4990">
      <w:pPr>
        <w:spacing w:before="0" w:beforeAutospacing="0" w:line="240" w:lineRule="auto"/>
        <w:jc w:val="both"/>
        <w:rPr>
          <w:rFonts w:ascii="Times New Roman" w:hAnsi="Times New Roman" w:cs="Times New Roman"/>
          <w:sz w:val="24"/>
          <w:szCs w:val="24"/>
        </w:rPr>
      </w:pPr>
      <w:r>
        <w:rPr>
          <w:rFonts w:ascii="Times New Roman" w:hAnsi="Times New Roman" w:cs="Times New Roman"/>
          <w:sz w:val="24"/>
          <w:szCs w:val="24"/>
        </w:rPr>
        <w:t>Ὀφείλομεν δὲ ἡμεῖς οἱ δυνατοὶ τὰ ἀσθενήματα τῶν ἀδυνάτων βαστάζειν, καὶ μὴ ἑαυτοῖς ἀρέσκειν</w:t>
      </w:r>
      <w:r>
        <w:rPr>
          <w:rFonts w:ascii="Times New Roman" w:hAnsi="Times New Roman" w:cs="Times New Roman"/>
          <w:sz w:val="24"/>
          <w:szCs w:val="24"/>
          <w:vertAlign w:val="superscript"/>
        </w:rPr>
        <w:t>5</w:t>
      </w:r>
      <w:r>
        <w:rPr>
          <w:rFonts w:ascii="Times New Roman" w:hAnsi="Times New Roman" w:cs="Times New Roman"/>
          <w:sz w:val="24"/>
          <w:szCs w:val="24"/>
        </w:rPr>
        <w:t xml:space="preserve"> </w:t>
      </w:r>
    </w:p>
    <w:p w14:paraId="58D8DF25">
      <w:pPr>
        <w:spacing w:before="0" w:beforeAutospacing="0" w:line="240" w:lineRule="auto"/>
        <w:jc w:val="both"/>
        <w:rPr>
          <w:rFonts w:ascii="Times New Roman" w:hAnsi="Times New Roman" w:cs="Times New Roman"/>
          <w:sz w:val="24"/>
          <w:szCs w:val="24"/>
        </w:rPr>
      </w:pPr>
      <w:r>
        <w:rPr>
          <w:rFonts w:ascii="Times New Roman" w:hAnsi="Times New Roman" w:cs="Times New Roman"/>
          <w:sz w:val="24"/>
          <w:szCs w:val="24"/>
        </w:rPr>
        <w:t>Passage in English: We who are strong ought to bear with the failings of the weak and not to please ourselves. (NIV)</w:t>
      </w:r>
    </w:p>
    <w:p w14:paraId="12F5735F">
      <w:pPr>
        <w:spacing w:before="0" w:beforeAutospacing="0" w:line="240" w:lineRule="auto"/>
        <w:jc w:val="both"/>
        <w:rPr>
          <w:rFonts w:ascii="Times New Roman" w:hAnsi="Times New Roman" w:cs="Times New Roman"/>
          <w:sz w:val="24"/>
          <w:szCs w:val="24"/>
        </w:rPr>
      </w:pPr>
      <w:r>
        <w:rPr>
          <w:rFonts w:ascii="Times New Roman" w:hAnsi="Times New Roman" w:cs="Times New Roman"/>
          <w:sz w:val="24"/>
          <w:szCs w:val="24"/>
        </w:rPr>
        <w:t xml:space="preserve">Keywords Studies: </w:t>
      </w:r>
    </w:p>
    <w:p w14:paraId="6D57D0AF">
      <w:pPr>
        <w:spacing w:before="0" w:beforeAutospacing="0" w:line="240" w:lineRule="auto"/>
        <w:jc w:val="both"/>
        <w:rPr>
          <w:rFonts w:ascii="Times New Roman" w:hAnsi="Times New Roman" w:cs="Times New Roman"/>
          <w:b/>
          <w:bCs/>
          <w:sz w:val="24"/>
          <w:szCs w:val="24"/>
        </w:rPr>
      </w:pPr>
      <w:r>
        <w:rPr>
          <w:rFonts w:ascii="Times New Roman" w:hAnsi="Times New Roman" w:cs="Times New Roman"/>
          <w:b/>
          <w:bCs/>
          <w:sz w:val="24"/>
          <w:szCs w:val="24"/>
        </w:rPr>
        <w:t>Ὀφείλομεν (opheilomen) – "we ought"</w:t>
      </w:r>
    </w:p>
    <w:p w14:paraId="5CEDCD39">
      <w:pPr>
        <w:spacing w:before="0" w:beforeAutospacing="0"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 The Greek term Ὀφείλομεν</w:t>
      </w:r>
      <w:r>
        <w:rPr>
          <w:rFonts w:ascii="PCSB Greek" w:hAnsi="PCSB Greek"/>
          <w:color w:val="000000"/>
          <w:sz w:val="24"/>
          <w:szCs w:val="24"/>
        </w:rPr>
        <w:t xml:space="preserve"> </w:t>
      </w:r>
      <w:r>
        <w:rPr>
          <w:rFonts w:ascii="Times New Roman" w:hAnsi="Times New Roman" w:cs="Times New Roman"/>
          <w:sz w:val="24"/>
          <w:szCs w:val="24"/>
        </w:rPr>
        <w:t>(opheilomen) is a verb, first person plural, present active indicative of oφείλω, the present tense indicative here emphasizes a continual obligation, rather than a one-time requirement.</w:t>
      </w:r>
      <w:r>
        <w:rPr>
          <w:rFonts w:ascii="Times New Roman" w:hAnsi="Times New Roman" w:cs="Times New Roman"/>
          <w:sz w:val="24"/>
          <w:szCs w:val="24"/>
          <w:vertAlign w:val="superscript"/>
        </w:rPr>
        <w:t>6</w:t>
      </w:r>
      <w:r>
        <w:rPr>
          <w:rFonts w:ascii="Times New Roman" w:hAnsi="Times New Roman" w:cs="Times New Roman"/>
          <w:sz w:val="24"/>
          <w:szCs w:val="24"/>
        </w:rPr>
        <w:t xml:space="preserve"> The word oφείλω</w:t>
      </w:r>
      <w:r>
        <w:rPr>
          <w:rFonts w:ascii="PCSB Greek" w:hAnsi="PCSB Greek"/>
          <w:b/>
          <w:color w:val="004066"/>
          <w:sz w:val="24"/>
          <w:szCs w:val="24"/>
        </w:rPr>
        <w:t xml:space="preserve"> </w:t>
      </w:r>
      <w:r>
        <w:rPr>
          <w:rFonts w:ascii="Times New Roman" w:hAnsi="Times New Roman" w:cs="Times New Roman"/>
          <w:sz w:val="24"/>
          <w:szCs w:val="24"/>
        </w:rPr>
        <w:t>denotes the concept of owing something to someone, whether as a debt, duty, or moral responsibility. According to Bauer, Danker, Arndt, and Gingrich, the verb means to be under obligation to meet certain social or moral expectations, ought, must, be obligated.</w:t>
      </w:r>
      <w:r>
        <w:rPr>
          <w:rFonts w:ascii="Times New Roman" w:hAnsi="Times New Roman" w:cs="Times New Roman"/>
          <w:sz w:val="24"/>
          <w:szCs w:val="24"/>
          <w:vertAlign w:val="superscript"/>
        </w:rPr>
        <w:t>7</w:t>
      </w:r>
      <w:r>
        <w:rPr>
          <w:rFonts w:ascii="Times New Roman" w:hAnsi="Times New Roman" w:cs="Times New Roman"/>
          <w:sz w:val="24"/>
          <w:szCs w:val="24"/>
        </w:rPr>
        <w:t xml:space="preserve"> Ὀφείλομεν serves as a key ethical term in Paul’s epistles. It reflects his deep concern for communal ethics, particularly the responsibilities that arise from Christian liberty and maturity. In Romans 15:1, this verb connects back to earlier arguments in Romans 14, where Paul discusses the relationship between the strong and the weak in faith. The strong are not merely permitted to act in freedom but are morally bound to bear with the scruples and weaknesses of others.</w:t>
      </w:r>
    </w:p>
    <w:p w14:paraId="29E6E318">
      <w:pPr>
        <w:spacing w:before="0" w:beforeAutospacing="0" w:line="240" w:lineRule="auto"/>
        <w:ind w:firstLine="720"/>
        <w:jc w:val="both"/>
        <w:rPr>
          <w:rFonts w:ascii="Times New Roman" w:hAnsi="Times New Roman" w:cs="Times New Roman"/>
          <w:sz w:val="24"/>
          <w:szCs w:val="24"/>
        </w:rPr>
      </w:pPr>
      <w:r>
        <w:rPr>
          <w:rFonts w:ascii="Times New Roman" w:hAnsi="Times New Roman" w:cs="Times New Roman"/>
          <w:sz w:val="24"/>
          <w:szCs w:val="24"/>
        </w:rPr>
        <w:t>Moo highlights the weight of this obligation, explaining that Ὀφείλομεν</w:t>
      </w:r>
      <w:r>
        <w:rPr>
          <w:rFonts w:ascii="PCSB Greek" w:hAnsi="PCSB Greek"/>
          <w:color w:val="000000"/>
          <w:sz w:val="24"/>
          <w:szCs w:val="24"/>
        </w:rPr>
        <w:t xml:space="preserve"> </w:t>
      </w:r>
      <w:r>
        <w:rPr>
          <w:rFonts w:ascii="Times New Roman" w:hAnsi="Times New Roman" w:cs="Times New Roman"/>
          <w:sz w:val="24"/>
          <w:szCs w:val="24"/>
        </w:rPr>
        <w:t>is “not a suggestion, but a moral requirement grounded in Christian love and modeled after the example of Christ.</w:t>
      </w:r>
      <w:r>
        <w:rPr>
          <w:rFonts w:ascii="Times New Roman" w:hAnsi="Times New Roman" w:cs="Times New Roman"/>
          <w:sz w:val="24"/>
          <w:szCs w:val="24"/>
          <w:vertAlign w:val="superscript"/>
        </w:rPr>
        <w:t>8</w:t>
      </w:r>
      <w:r>
        <w:rPr>
          <w:rFonts w:ascii="Times New Roman" w:hAnsi="Times New Roman" w:cs="Times New Roman"/>
          <w:sz w:val="24"/>
          <w:szCs w:val="24"/>
        </w:rPr>
        <w:t xml:space="preserve"> Moo asserts that this is not about tolerating the weak, but about actively bearing their burdens, emotionally, spiritually, and relationally. Similarly, Dunn notes that the verb is used by Paul to express the believer's indebtedness, not to the law or flesh, but to one another in Christ.</w:t>
      </w:r>
      <w:r>
        <w:rPr>
          <w:rFonts w:ascii="Times New Roman" w:hAnsi="Times New Roman" w:cs="Times New Roman"/>
          <w:sz w:val="24"/>
          <w:szCs w:val="24"/>
          <w:vertAlign w:val="superscript"/>
        </w:rPr>
        <w:t>9</w:t>
      </w:r>
      <w:r>
        <w:rPr>
          <w:rFonts w:ascii="Times New Roman" w:hAnsi="Times New Roman" w:cs="Times New Roman"/>
          <w:sz w:val="24"/>
          <w:szCs w:val="24"/>
        </w:rPr>
        <w:t xml:space="preserve"> This reinforces the communal and sacrificial dimension of Christian ethics that Paul promotes throughout his writings.</w:t>
      </w:r>
    </w:p>
    <w:p w14:paraId="19A2CBF7">
      <w:pPr>
        <w:spacing w:before="0" w:beforeAutospacing="0" w:line="240" w:lineRule="auto"/>
        <w:ind w:firstLine="720"/>
        <w:jc w:val="both"/>
        <w:rPr>
          <w:rFonts w:ascii="Times New Roman" w:hAnsi="Times New Roman" w:cs="Times New Roman"/>
          <w:sz w:val="24"/>
          <w:szCs w:val="24"/>
        </w:rPr>
      </w:pPr>
      <w:r>
        <w:rPr>
          <w:rFonts w:ascii="Times New Roman" w:hAnsi="Times New Roman" w:cs="Times New Roman"/>
          <w:sz w:val="24"/>
          <w:szCs w:val="24"/>
        </w:rPr>
        <w:t>Furthermore, Murray offers a theological reflection by stating that Ὀφείλομεν</w:t>
      </w:r>
      <w:r>
        <w:rPr>
          <w:rFonts w:ascii="PCSB Greek" w:hAnsi="PCSB Greek"/>
          <w:color w:val="000000"/>
          <w:sz w:val="24"/>
          <w:szCs w:val="24"/>
        </w:rPr>
        <w:t xml:space="preserve"> </w:t>
      </w:r>
      <w:r>
        <w:rPr>
          <w:rFonts w:ascii="Times New Roman" w:hAnsi="Times New Roman" w:cs="Times New Roman"/>
          <w:sz w:val="24"/>
          <w:szCs w:val="24"/>
        </w:rPr>
        <w:t>implies a continuing debt of love, which fulfills the law and reflects Christ’s own bearing of others’ failings.</w:t>
      </w:r>
      <w:r>
        <w:rPr>
          <w:rFonts w:ascii="Times New Roman" w:hAnsi="Times New Roman" w:cs="Times New Roman"/>
          <w:sz w:val="24"/>
          <w:szCs w:val="24"/>
          <w:vertAlign w:val="superscript"/>
        </w:rPr>
        <w:t>10</w:t>
      </w:r>
      <w:r>
        <w:rPr>
          <w:rFonts w:ascii="Times New Roman" w:hAnsi="Times New Roman" w:cs="Times New Roman"/>
          <w:sz w:val="24"/>
          <w:szCs w:val="24"/>
        </w:rPr>
        <w:t xml:space="preserve"> Thus, the use of this verb in Romans 15:1 not only signals obligation but frames the ethos of Christian fellowship, self-giving love rooted in mutual responsibility.</w:t>
      </w:r>
    </w:p>
    <w:p w14:paraId="157777B5">
      <w:pPr>
        <w:spacing w:before="0" w:beforeAutospacing="0" w:line="240" w:lineRule="auto"/>
        <w:jc w:val="both"/>
        <w:rPr>
          <w:rFonts w:ascii="Times New Roman" w:hAnsi="Times New Roman" w:cs="Times New Roman"/>
          <w:b/>
          <w:sz w:val="24"/>
          <w:szCs w:val="24"/>
        </w:rPr>
      </w:pPr>
      <w:r>
        <w:rPr>
          <w:rFonts w:ascii="Times New Roman" w:hAnsi="Times New Roman" w:cs="Times New Roman"/>
          <w:sz w:val="24"/>
          <w:szCs w:val="24"/>
        </w:rPr>
        <w:t xml:space="preserve">δυνατοὶ </w:t>
      </w:r>
      <w:r>
        <w:rPr>
          <w:rFonts w:ascii="PCSB Greek" w:hAnsi="PCSB Greek"/>
          <w:color w:val="000000"/>
          <w:sz w:val="24"/>
          <w:szCs w:val="24"/>
        </w:rPr>
        <w:t xml:space="preserve"> </w:t>
      </w:r>
      <w:r>
        <w:rPr>
          <w:rFonts w:ascii="Times New Roman" w:hAnsi="Times New Roman" w:cs="Times New Roman"/>
          <w:sz w:val="24"/>
          <w:szCs w:val="24"/>
        </w:rPr>
        <w:t>(dunatoi) – "The strong</w:t>
      </w:r>
      <w:r>
        <w:rPr>
          <w:rFonts w:ascii="Times New Roman" w:hAnsi="Times New Roman" w:cs="Times New Roman"/>
          <w:b/>
          <w:sz w:val="24"/>
          <w:szCs w:val="24"/>
        </w:rPr>
        <w:t>"</w:t>
      </w:r>
    </w:p>
    <w:p w14:paraId="23381E57">
      <w:pPr>
        <w:spacing w:before="0" w:beforeAutospacing="0"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 The word δυνατοὶ </w:t>
      </w:r>
      <w:r>
        <w:rPr>
          <w:rFonts w:ascii="PCSB Greek" w:hAnsi="PCSB Greek"/>
          <w:color w:val="000000"/>
          <w:sz w:val="24"/>
          <w:szCs w:val="24"/>
        </w:rPr>
        <w:t xml:space="preserve"> </w:t>
      </w:r>
      <w:r>
        <w:rPr>
          <w:rFonts w:ascii="Times New Roman" w:hAnsi="Times New Roman" w:cs="Times New Roman"/>
          <w:sz w:val="24"/>
          <w:szCs w:val="24"/>
        </w:rPr>
        <w:t>is parsed as a nominative plural masculine of the adjective δυνατο</w:t>
      </w:r>
      <w:r>
        <w:rPr>
          <w:rFonts w:ascii="PCSB Greek" w:hAnsi="PCSB Greek"/>
          <w:color w:val="000000"/>
          <w:sz w:val="24"/>
          <w:szCs w:val="24"/>
        </w:rPr>
        <w:t xml:space="preserve">=$. </w:t>
      </w:r>
      <w:r>
        <w:rPr>
          <w:rFonts w:ascii="Times New Roman" w:hAnsi="Times New Roman" w:cs="Times New Roman"/>
          <w:sz w:val="24"/>
          <w:szCs w:val="24"/>
        </w:rPr>
        <w:t xml:space="preserve">The nominative plural form δυνατοὶ </w:t>
      </w:r>
      <w:r>
        <w:rPr>
          <w:rFonts w:ascii="PCSB Greek" w:hAnsi="PCSB Greek"/>
          <w:color w:val="000000"/>
          <w:sz w:val="24"/>
          <w:szCs w:val="24"/>
        </w:rPr>
        <w:t xml:space="preserve"> </w:t>
      </w:r>
      <w:r>
        <w:rPr>
          <w:rFonts w:ascii="Times New Roman" w:hAnsi="Times New Roman" w:cs="Times New Roman"/>
          <w:sz w:val="24"/>
          <w:szCs w:val="24"/>
        </w:rPr>
        <w:t>functions here as a substantival adjective, meaning it acts like a noun, those who are strong. The masculine gender is generic, applying to both men and women in the group being addressed.</w:t>
      </w:r>
      <w:r>
        <w:rPr>
          <w:rFonts w:ascii="Times New Roman" w:hAnsi="Times New Roman" w:cs="Times New Roman"/>
          <w:sz w:val="24"/>
          <w:szCs w:val="24"/>
          <w:vertAlign w:val="superscript"/>
        </w:rPr>
        <w:t>11</w:t>
      </w:r>
      <w:r>
        <w:rPr>
          <w:rFonts w:ascii="Times New Roman" w:hAnsi="Times New Roman" w:cs="Times New Roman"/>
          <w:sz w:val="24"/>
          <w:szCs w:val="24"/>
        </w:rPr>
        <w:t xml:space="preserve"> Lexically, δυνατο</w:t>
      </w:r>
      <w:r>
        <w:rPr>
          <w:rFonts w:ascii="PCSB Greek" w:hAnsi="PCSB Greek"/>
          <w:color w:val="000000"/>
          <w:sz w:val="24"/>
          <w:szCs w:val="24"/>
        </w:rPr>
        <w:t xml:space="preserve">=$ </w:t>
      </w:r>
      <w:r>
        <w:rPr>
          <w:rFonts w:ascii="Times New Roman" w:hAnsi="Times New Roman" w:cs="Times New Roman"/>
          <w:sz w:val="24"/>
          <w:szCs w:val="24"/>
        </w:rPr>
        <w:t>derives from the root δυναμαὶ, meaning “to be able” or “to have power/ability.” Bauer-Danker-Arndt-Gingrich, defined δυνατο</w:t>
      </w:r>
      <w:r>
        <w:rPr>
          <w:rFonts w:ascii="PCSB Greek" w:hAnsi="PCSB Greek"/>
          <w:color w:val="000000"/>
          <w:sz w:val="24"/>
          <w:szCs w:val="24"/>
        </w:rPr>
        <w:t xml:space="preserve">=$ </w:t>
      </w:r>
      <w:r>
        <w:rPr>
          <w:rFonts w:ascii="Times New Roman" w:hAnsi="Times New Roman" w:cs="Times New Roman"/>
          <w:sz w:val="24"/>
          <w:szCs w:val="24"/>
        </w:rPr>
        <w:t>as someone who is strong, powerful, capable, or competent.</w:t>
      </w:r>
      <w:r>
        <w:rPr>
          <w:rFonts w:ascii="Times New Roman" w:hAnsi="Times New Roman" w:cs="Times New Roman"/>
          <w:sz w:val="24"/>
          <w:szCs w:val="24"/>
          <w:vertAlign w:val="superscript"/>
        </w:rPr>
        <w:t>12</w:t>
      </w:r>
      <w:r>
        <w:rPr>
          <w:rFonts w:ascii="Times New Roman" w:hAnsi="Times New Roman" w:cs="Times New Roman"/>
          <w:sz w:val="24"/>
          <w:szCs w:val="24"/>
        </w:rPr>
        <w:t xml:space="preserve"> The adjective denotes spiritual strength or maturity, the capacity to act in freedom without causing others to stumble.</w:t>
      </w:r>
    </w:p>
    <w:p w14:paraId="3AF0C34D">
      <w:pPr>
        <w:spacing w:before="0" w:beforeAutospacing="0"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 The designation "the strong" is not a praise of physical might or theological arrogance but an ethical and pastoral classification. Moo, in his commentary on Romans, states that the δυνατοὶ </w:t>
      </w:r>
      <w:r>
        <w:rPr>
          <w:rFonts w:ascii="PCSB Greek" w:hAnsi="PCSB Greek"/>
          <w:color w:val="000000"/>
          <w:sz w:val="24"/>
          <w:szCs w:val="24"/>
        </w:rPr>
        <w:t xml:space="preserve"> </w:t>
      </w:r>
      <w:r>
        <w:rPr>
          <w:rFonts w:ascii="Times New Roman" w:hAnsi="Times New Roman" w:cs="Times New Roman"/>
          <w:sz w:val="24"/>
          <w:szCs w:val="24"/>
        </w:rPr>
        <w:t>are those whose conscience is not bound by scruples over food and days (cf. Rom. 14:1–6), and who understand the implications of Christian liberty in Christ.</w:t>
      </w:r>
      <w:r>
        <w:rPr>
          <w:rFonts w:ascii="Times New Roman" w:hAnsi="Times New Roman" w:cs="Times New Roman"/>
          <w:sz w:val="24"/>
          <w:szCs w:val="24"/>
          <w:vertAlign w:val="superscript"/>
        </w:rPr>
        <w:t>13</w:t>
      </w:r>
      <w:r>
        <w:rPr>
          <w:rFonts w:ascii="Times New Roman" w:hAnsi="Times New Roman" w:cs="Times New Roman"/>
          <w:sz w:val="24"/>
          <w:szCs w:val="24"/>
        </w:rPr>
        <w:t xml:space="preserve"> This liberty, however, is not for self-serving purposes but is to be tempered by love and consideration for others. Dunn also support it earlier view, he explains that Paul’s use of δυνατοὶ </w:t>
      </w:r>
      <w:r>
        <w:rPr>
          <w:rFonts w:ascii="PCSB Greek" w:hAnsi="PCSB Greek"/>
          <w:color w:val="000000"/>
          <w:sz w:val="24"/>
          <w:szCs w:val="24"/>
        </w:rPr>
        <w:t xml:space="preserve"> </w:t>
      </w:r>
      <w:r>
        <w:rPr>
          <w:rFonts w:ascii="Times New Roman" w:hAnsi="Times New Roman" w:cs="Times New Roman"/>
          <w:sz w:val="24"/>
          <w:szCs w:val="24"/>
        </w:rPr>
        <w:t>in Romans 15:1 is framed within a pastoral concern for unity, where the strong are urged not to dominate the weak but to bear their weaknesses.</w:t>
      </w:r>
      <w:r>
        <w:rPr>
          <w:rFonts w:ascii="Times New Roman" w:hAnsi="Times New Roman" w:cs="Times New Roman"/>
          <w:sz w:val="24"/>
          <w:szCs w:val="24"/>
          <w:vertAlign w:val="superscript"/>
        </w:rPr>
        <w:t>14</w:t>
      </w:r>
      <w:r>
        <w:rPr>
          <w:rFonts w:ascii="Times New Roman" w:hAnsi="Times New Roman" w:cs="Times New Roman"/>
          <w:sz w:val="24"/>
          <w:szCs w:val="24"/>
        </w:rPr>
        <w:t xml:space="preserve"> Dunn notes that strength, in Paul’s usage, includes the responsibility to limit one's own freedom for the sake of community edification.</w:t>
      </w:r>
    </w:p>
    <w:p w14:paraId="418136B1">
      <w:pPr>
        <w:spacing w:before="0" w:beforeAutospacing="0"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 Murray adds that Paul speaks to the δυνατοὶ </w:t>
      </w:r>
      <w:r>
        <w:rPr>
          <w:rFonts w:ascii="PCSB Greek" w:hAnsi="PCSB Greek"/>
          <w:color w:val="000000"/>
          <w:sz w:val="24"/>
          <w:szCs w:val="24"/>
        </w:rPr>
        <w:t xml:space="preserve"> </w:t>
      </w:r>
      <w:r>
        <w:rPr>
          <w:rFonts w:ascii="Times New Roman" w:hAnsi="Times New Roman" w:cs="Times New Roman"/>
          <w:sz w:val="24"/>
          <w:szCs w:val="24"/>
        </w:rPr>
        <w:t>not to promote superiority, but to emphasize that strength must express itself in bearing, not in despising the infirmities of the weak.</w:t>
      </w:r>
      <w:r>
        <w:rPr>
          <w:rFonts w:ascii="Times New Roman" w:hAnsi="Times New Roman" w:cs="Times New Roman"/>
          <w:sz w:val="24"/>
          <w:szCs w:val="24"/>
          <w:vertAlign w:val="superscript"/>
        </w:rPr>
        <w:t>15</w:t>
      </w:r>
      <w:r>
        <w:rPr>
          <w:rFonts w:ascii="Times New Roman" w:hAnsi="Times New Roman" w:cs="Times New Roman"/>
          <w:sz w:val="24"/>
          <w:szCs w:val="24"/>
        </w:rPr>
        <w:t xml:space="preserve"> Thus, the term δυνατοὶ </w:t>
      </w:r>
      <w:r>
        <w:rPr>
          <w:rFonts w:ascii="PCSB Greek" w:hAnsi="PCSB Greek"/>
          <w:color w:val="000000"/>
          <w:sz w:val="24"/>
          <w:szCs w:val="24"/>
        </w:rPr>
        <w:t xml:space="preserve"> </w:t>
      </w:r>
      <w:r>
        <w:rPr>
          <w:rFonts w:ascii="Times New Roman" w:hAnsi="Times New Roman" w:cs="Times New Roman"/>
          <w:sz w:val="24"/>
          <w:szCs w:val="24"/>
        </w:rPr>
        <w:t>is inherently relational, it gains its full meaning only in contrast to the ἀσθεῖς</w:t>
      </w:r>
      <w:r>
        <w:rPr>
          <w:rFonts w:ascii="PCSB Greek" w:hAnsi="PCSB Greek"/>
          <w:color w:val="000000"/>
          <w:sz w:val="24"/>
          <w:szCs w:val="24"/>
        </w:rPr>
        <w:t xml:space="preserve"> </w:t>
      </w:r>
      <w:r>
        <w:rPr>
          <w:rFonts w:ascii="Times New Roman" w:hAnsi="Times New Roman" w:cs="Times New Roman"/>
          <w:sz w:val="24"/>
          <w:szCs w:val="24"/>
        </w:rPr>
        <w:t xml:space="preserve">  (“the weak”) and is directed toward fostering mutual forbearance and unity within the body of Christ. The term δυνατοὶ </w:t>
      </w:r>
      <w:r>
        <w:rPr>
          <w:rFonts w:ascii="PCSB Greek" w:hAnsi="PCSB Greek"/>
          <w:color w:val="000000"/>
          <w:sz w:val="24"/>
          <w:szCs w:val="24"/>
        </w:rPr>
        <w:t xml:space="preserve"> </w:t>
      </w:r>
      <w:r>
        <w:rPr>
          <w:rFonts w:ascii="Times New Roman" w:hAnsi="Times New Roman" w:cs="Times New Roman"/>
          <w:sz w:val="24"/>
          <w:szCs w:val="24"/>
        </w:rPr>
        <w:t>in Romans 15:1 is a profound designation that underscores the moral and spiritual maturity of a believer. Far from being a badge of superiority, it serves as a call to selfless service, rooted in the gospel example of Christ.</w:t>
      </w:r>
    </w:p>
    <w:p w14:paraId="151BF65A">
      <w:pPr>
        <w:spacing w:before="0" w:beforeAutospacing="0" w:line="240" w:lineRule="auto"/>
        <w:jc w:val="both"/>
        <w:rPr>
          <w:rFonts w:ascii="Times New Roman" w:hAnsi="Times New Roman" w:cs="Times New Roman"/>
          <w:b/>
          <w:bCs/>
          <w:sz w:val="24"/>
          <w:szCs w:val="24"/>
        </w:rPr>
      </w:pPr>
      <w:r>
        <w:rPr>
          <w:rFonts w:ascii="Times New Roman" w:hAnsi="Times New Roman" w:cs="Times New Roman"/>
          <w:b/>
          <w:bCs/>
          <w:sz w:val="24"/>
          <w:szCs w:val="24"/>
        </w:rPr>
        <w:t xml:space="preserve">ἀσθενήματα </w:t>
      </w:r>
      <w:r>
        <w:rPr>
          <w:rFonts w:ascii="PCSB Greek" w:hAnsi="PCSB Greek"/>
          <w:b/>
          <w:bCs/>
          <w:color w:val="000000"/>
          <w:sz w:val="24"/>
          <w:szCs w:val="24"/>
        </w:rPr>
        <w:t xml:space="preserve"> </w:t>
      </w:r>
      <w:r>
        <w:rPr>
          <w:rFonts w:ascii="Times New Roman" w:hAnsi="Times New Roman" w:cs="Times New Roman"/>
          <w:b/>
          <w:bCs/>
          <w:sz w:val="24"/>
          <w:szCs w:val="24"/>
        </w:rPr>
        <w:t>(asthenēmata) – "Weaknesses"</w:t>
      </w:r>
    </w:p>
    <w:p w14:paraId="6CC68A33">
      <w:pPr>
        <w:spacing w:before="0" w:beforeAutospacing="0" w:line="240" w:lineRule="auto"/>
        <w:ind w:firstLine="720"/>
        <w:jc w:val="both"/>
        <w:rPr>
          <w:rFonts w:ascii="Times New Roman" w:hAnsi="Times New Roman" w:cs="Times New Roman"/>
          <w:sz w:val="24"/>
          <w:szCs w:val="24"/>
          <w:vertAlign w:val="superscript"/>
        </w:rPr>
      </w:pPr>
      <w:r>
        <w:rPr>
          <w:rFonts w:ascii="Times New Roman" w:hAnsi="Times New Roman" w:cs="Times New Roman"/>
          <w:sz w:val="24"/>
          <w:szCs w:val="24"/>
        </w:rPr>
        <w:t>ἀσθενήματα is the accusative plural neuter of the noun ἀσθενήμα. The term is a substantive noun formed from the root verb ἀσθενεω.</w:t>
      </w:r>
      <w:r>
        <w:rPr>
          <w:rFonts w:ascii="Times New Roman" w:hAnsi="Times New Roman" w:cs="Times New Roman"/>
          <w:sz w:val="24"/>
          <w:szCs w:val="24"/>
          <w:vertAlign w:val="superscript"/>
        </w:rPr>
        <w:t>16</w:t>
      </w:r>
      <w:r>
        <w:rPr>
          <w:rFonts w:ascii="Times New Roman" w:hAnsi="Times New Roman" w:cs="Times New Roman"/>
          <w:sz w:val="24"/>
          <w:szCs w:val="24"/>
        </w:rPr>
        <w:t xml:space="preserve"> According to Bauer-Danker-Arndt-Gingrich, ἀσθενήματα </w:t>
      </w:r>
      <w:r>
        <w:rPr>
          <w:rFonts w:ascii="PCSB Greek" w:hAnsi="PCSB Greek"/>
          <w:color w:val="000000"/>
          <w:sz w:val="24"/>
          <w:szCs w:val="24"/>
        </w:rPr>
        <w:t xml:space="preserve"> </w:t>
      </w:r>
      <w:r>
        <w:rPr>
          <w:rFonts w:ascii="Times New Roman" w:hAnsi="Times New Roman" w:cs="Times New Roman"/>
          <w:sz w:val="24"/>
          <w:szCs w:val="24"/>
        </w:rPr>
        <w:t>is defined as a weakness, lack of strength, or frailty, especially in regard to the limitations or scruples of the conscience. The term does not connote sin per se, but rather the infirmities associated with moral or doctrinal uncertainty.</w:t>
      </w:r>
      <w:r>
        <w:rPr>
          <w:rFonts w:ascii="Times New Roman" w:hAnsi="Times New Roman" w:cs="Times New Roman"/>
          <w:sz w:val="24"/>
          <w:szCs w:val="24"/>
          <w:vertAlign w:val="superscript"/>
        </w:rPr>
        <w:t>17</w:t>
      </w:r>
      <w:r>
        <w:rPr>
          <w:rFonts w:ascii="Times New Roman" w:hAnsi="Times New Roman" w:cs="Times New Roman"/>
          <w:sz w:val="24"/>
          <w:szCs w:val="24"/>
        </w:rPr>
        <w:t xml:space="preserve"> The Liddell and Scott Greek Lexicon similarly defines ἀσθενήματα</w:t>
      </w:r>
      <w:r>
        <w:rPr>
          <w:rFonts w:ascii="PCSB Greek" w:hAnsi="PCSB Greek"/>
          <w:color w:val="000000"/>
          <w:sz w:val="24"/>
          <w:szCs w:val="24"/>
        </w:rPr>
        <w:t xml:space="preserve"> </w:t>
      </w:r>
      <w:r>
        <w:rPr>
          <w:rFonts w:ascii="Times New Roman" w:hAnsi="Times New Roman" w:cs="Times New Roman"/>
          <w:sz w:val="24"/>
          <w:szCs w:val="24"/>
        </w:rPr>
        <w:t>as “a debility, feebleness,” noting that it was used in classical Greek for both physical and moral weakness.</w:t>
      </w:r>
      <w:r>
        <w:rPr>
          <w:rFonts w:ascii="Times New Roman" w:hAnsi="Times New Roman" w:cs="Times New Roman"/>
          <w:sz w:val="24"/>
          <w:szCs w:val="24"/>
          <w:vertAlign w:val="superscript"/>
        </w:rPr>
        <w:t>18</w:t>
      </w:r>
    </w:p>
    <w:p w14:paraId="17B0A683">
      <w:pPr>
        <w:spacing w:before="0" w:beforeAutospacing="0"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 Dunn explains that ἀσθενήματα</w:t>
      </w:r>
      <w:r>
        <w:rPr>
          <w:rFonts w:ascii="PCSB Greek" w:hAnsi="PCSB Greek"/>
          <w:color w:val="000000"/>
          <w:sz w:val="24"/>
          <w:szCs w:val="24"/>
        </w:rPr>
        <w:t xml:space="preserve"> </w:t>
      </w:r>
      <w:r>
        <w:rPr>
          <w:rFonts w:ascii="Times New Roman" w:hAnsi="Times New Roman" w:cs="Times New Roman"/>
          <w:sz w:val="24"/>
          <w:szCs w:val="24"/>
        </w:rPr>
        <w:t xml:space="preserve"> refers to scruples or inhibitions related to Jewish law, for example, dietary restrictions and observance of holy days (cf. Romans 14:2–5). These are not weaknesses in faith per se, but in assurance or liberty. He clarifies that Paul is not calling the weak unspiritual, but rather encouraging the strong to avoid despising or dominating them.</w:t>
      </w:r>
      <w:r>
        <w:rPr>
          <w:rFonts w:ascii="Times New Roman" w:hAnsi="Times New Roman" w:cs="Times New Roman"/>
          <w:sz w:val="24"/>
          <w:szCs w:val="24"/>
          <w:vertAlign w:val="superscript"/>
        </w:rPr>
        <w:t xml:space="preserve">19 </w:t>
      </w:r>
      <w:r>
        <w:rPr>
          <w:rFonts w:ascii="Times New Roman" w:hAnsi="Times New Roman" w:cs="Times New Roman"/>
          <w:sz w:val="24"/>
          <w:szCs w:val="24"/>
        </w:rPr>
        <w:t>Moo describes ἀσθενήματα</w:t>
      </w:r>
      <w:r>
        <w:rPr>
          <w:rFonts w:ascii="PCSB Greek" w:hAnsi="PCSB Greek"/>
          <w:color w:val="000000"/>
          <w:sz w:val="24"/>
          <w:szCs w:val="24"/>
        </w:rPr>
        <w:t xml:space="preserve"> </w:t>
      </w:r>
      <w:r>
        <w:rPr>
          <w:rFonts w:ascii="Times New Roman" w:hAnsi="Times New Roman" w:cs="Times New Roman"/>
          <w:sz w:val="24"/>
          <w:szCs w:val="24"/>
        </w:rPr>
        <w:t xml:space="preserve"> as the tender conscience or spiritual incapacity that inhibits full enjoyment of Christian liberty. He stresses that Paul’s intent is not to ridicule the weak but to protect their conscience, urging the strong to act in love, not in pride.</w:t>
      </w:r>
      <w:r>
        <w:rPr>
          <w:rFonts w:ascii="Times New Roman" w:hAnsi="Times New Roman" w:cs="Times New Roman"/>
          <w:sz w:val="24"/>
          <w:szCs w:val="24"/>
          <w:vertAlign w:val="superscript"/>
        </w:rPr>
        <w:t xml:space="preserve">20 </w:t>
      </w:r>
      <w:r>
        <w:rPr>
          <w:rFonts w:ascii="Times New Roman" w:hAnsi="Times New Roman" w:cs="Times New Roman"/>
          <w:sz w:val="24"/>
          <w:szCs w:val="24"/>
        </w:rPr>
        <w:t>Stott asserts that ἀσθενήματα</w:t>
      </w:r>
      <w:r>
        <w:rPr>
          <w:rFonts w:ascii="PCSB Greek" w:hAnsi="PCSB Greek"/>
          <w:color w:val="000000"/>
          <w:sz w:val="24"/>
          <w:szCs w:val="24"/>
        </w:rPr>
        <w:t xml:space="preserve"> </w:t>
      </w:r>
      <w:r>
        <w:rPr>
          <w:rFonts w:ascii="Times New Roman" w:hAnsi="Times New Roman" w:cs="Times New Roman"/>
          <w:sz w:val="24"/>
          <w:szCs w:val="24"/>
        </w:rPr>
        <w:t xml:space="preserve"> are not to be equated with sin or false teaching, but rather immature convictions. These may arise from cultural background, religious upbringing, or lack of instruction. He affirms that bearing with these weaknesses is part of living out the gospel ethic of grace and patience in community.</w:t>
      </w:r>
      <w:r>
        <w:rPr>
          <w:rFonts w:ascii="Times New Roman" w:hAnsi="Times New Roman" w:cs="Times New Roman"/>
          <w:sz w:val="24"/>
          <w:szCs w:val="24"/>
          <w:vertAlign w:val="superscript"/>
        </w:rPr>
        <w:t xml:space="preserve">21 </w:t>
      </w:r>
      <w:r>
        <w:rPr>
          <w:rFonts w:ascii="Times New Roman" w:hAnsi="Times New Roman" w:cs="Times New Roman"/>
          <w:sz w:val="24"/>
          <w:szCs w:val="24"/>
        </w:rPr>
        <w:t>Schreiner adds that ἀσθενήματα</w:t>
      </w:r>
      <w:r>
        <w:rPr>
          <w:rFonts w:ascii="PCSB Greek" w:hAnsi="PCSB Greek"/>
          <w:color w:val="000000"/>
          <w:sz w:val="24"/>
          <w:szCs w:val="24"/>
        </w:rPr>
        <w:t xml:space="preserve"> </w:t>
      </w:r>
      <w:r>
        <w:rPr>
          <w:rFonts w:ascii="Times New Roman" w:hAnsi="Times New Roman" w:cs="Times New Roman"/>
          <w:sz w:val="24"/>
          <w:szCs w:val="24"/>
        </w:rPr>
        <w:t>designate moral weaknesses in regard to disputable matters, such as food or Sabbath observance.</w:t>
      </w:r>
      <w:r>
        <w:rPr>
          <w:rFonts w:ascii="Times New Roman" w:hAnsi="Times New Roman" w:cs="Times New Roman"/>
          <w:sz w:val="24"/>
          <w:szCs w:val="24"/>
          <w:vertAlign w:val="superscript"/>
        </w:rPr>
        <w:t>22</w:t>
      </w:r>
      <w:r>
        <w:rPr>
          <w:rFonts w:ascii="Times New Roman" w:hAnsi="Times New Roman" w:cs="Times New Roman"/>
          <w:sz w:val="24"/>
          <w:szCs w:val="24"/>
        </w:rPr>
        <w:t xml:space="preserve"> The strong are not to compel the weak to adopt their position but are to support them as they grow in grace.</w:t>
      </w:r>
    </w:p>
    <w:p w14:paraId="6EF0BD4A">
      <w:pPr>
        <w:spacing w:before="0" w:beforeAutospacing="0" w:line="240" w:lineRule="auto"/>
        <w:jc w:val="both"/>
        <w:rPr>
          <w:rFonts w:ascii="Times New Roman" w:hAnsi="Times New Roman" w:cs="Times New Roman"/>
          <w:b/>
          <w:bCs/>
          <w:sz w:val="24"/>
          <w:szCs w:val="24"/>
        </w:rPr>
      </w:pPr>
      <w:r>
        <w:rPr>
          <w:rFonts w:ascii="Times New Roman" w:hAnsi="Times New Roman" w:cs="Times New Roman"/>
          <w:b/>
          <w:bCs/>
          <w:sz w:val="24"/>
          <w:szCs w:val="24"/>
        </w:rPr>
        <w:t>βαστάζειν</w:t>
      </w:r>
      <w:r>
        <w:rPr>
          <w:rFonts w:ascii="PCSB Greek" w:hAnsi="PCSB Greek"/>
          <w:b/>
          <w:bCs/>
          <w:color w:val="000000"/>
          <w:sz w:val="24"/>
          <w:szCs w:val="24"/>
        </w:rPr>
        <w:t xml:space="preserve"> </w:t>
      </w:r>
      <w:r>
        <w:rPr>
          <w:rFonts w:ascii="Times New Roman" w:hAnsi="Times New Roman" w:cs="Times New Roman"/>
          <w:b/>
          <w:bCs/>
          <w:sz w:val="24"/>
          <w:szCs w:val="24"/>
        </w:rPr>
        <w:t>(bastazein) – "To bear"</w:t>
      </w:r>
    </w:p>
    <w:p w14:paraId="249AA796">
      <w:pPr>
        <w:spacing w:before="0" w:beforeAutospacing="0" w:line="240" w:lineRule="auto"/>
        <w:ind w:firstLine="720"/>
        <w:jc w:val="both"/>
        <w:rPr>
          <w:rFonts w:ascii="Times New Roman" w:hAnsi="Times New Roman" w:cs="Times New Roman"/>
          <w:sz w:val="24"/>
          <w:szCs w:val="24"/>
          <w:vertAlign w:val="superscript"/>
        </w:rPr>
      </w:pPr>
      <w:r>
        <w:rPr>
          <w:rFonts w:ascii="Times New Roman" w:hAnsi="Times New Roman" w:cs="Times New Roman"/>
          <w:sz w:val="24"/>
          <w:szCs w:val="24"/>
        </w:rPr>
        <w:t xml:space="preserve"> βαστάζειν</w:t>
      </w:r>
      <w:r>
        <w:rPr>
          <w:rFonts w:ascii="PCSB Greek" w:hAnsi="PCSB Greek"/>
          <w:color w:val="000000"/>
          <w:sz w:val="24"/>
          <w:szCs w:val="24"/>
        </w:rPr>
        <w:t xml:space="preserve"> </w:t>
      </w:r>
      <w:r>
        <w:rPr>
          <w:rFonts w:ascii="Times New Roman" w:hAnsi="Times New Roman" w:cs="Times New Roman"/>
          <w:sz w:val="24"/>
          <w:szCs w:val="24"/>
        </w:rPr>
        <w:t xml:space="preserve"> is the present active infinitive of the verb βαστάζω. The present tense conveys continuous or habitual action, indicating that bearing with the failings of others is not a one-time gesture but a lifelong Christian posture.</w:t>
      </w:r>
      <w:r>
        <w:rPr>
          <w:rFonts w:ascii="Times New Roman" w:hAnsi="Times New Roman" w:cs="Times New Roman"/>
          <w:sz w:val="24"/>
          <w:szCs w:val="24"/>
          <w:vertAlign w:val="superscript"/>
        </w:rPr>
        <w:t>23</w:t>
      </w:r>
      <w:r>
        <w:rPr>
          <w:rFonts w:ascii="Times New Roman" w:hAnsi="Times New Roman" w:cs="Times New Roman"/>
          <w:sz w:val="24"/>
          <w:szCs w:val="24"/>
        </w:rPr>
        <w:t xml:space="preserve"> According to Bauer-Danker-Arndt-Gingrich, βαστάζω means to bear, to carry, often with a focus on endurance or responsibility. It is used both literally (e.g., carrying physical burdens) and metaphorically for bearing emotional, moral, or spiritual burdens.</w:t>
      </w:r>
      <w:r>
        <w:rPr>
          <w:rFonts w:ascii="Times New Roman" w:hAnsi="Times New Roman" w:cs="Times New Roman"/>
          <w:sz w:val="24"/>
          <w:szCs w:val="24"/>
          <w:vertAlign w:val="superscript"/>
        </w:rPr>
        <w:t>24</w:t>
      </w:r>
      <w:r>
        <w:rPr>
          <w:rFonts w:ascii="Times New Roman" w:hAnsi="Times New Roman" w:cs="Times New Roman"/>
          <w:sz w:val="24"/>
          <w:szCs w:val="24"/>
        </w:rPr>
        <w:t xml:space="preserve"> The Liddell-Scott-Jones expands the semantic range by noting its classical usage in bearing loads, enduring difficulties, or supporting the weight of another’s weakness.</w:t>
      </w:r>
      <w:r>
        <w:rPr>
          <w:rFonts w:ascii="Times New Roman" w:hAnsi="Times New Roman" w:cs="Times New Roman"/>
          <w:sz w:val="24"/>
          <w:szCs w:val="24"/>
          <w:vertAlign w:val="superscript"/>
        </w:rPr>
        <w:t>25</w:t>
      </w:r>
    </w:p>
    <w:p w14:paraId="5C1BE7F4">
      <w:pPr>
        <w:spacing w:before="0" w:beforeAutospacing="0" w:line="240" w:lineRule="auto"/>
        <w:jc w:val="both"/>
        <w:rPr>
          <w:rFonts w:ascii="Times New Roman" w:hAnsi="Times New Roman" w:cs="Times New Roman"/>
          <w:sz w:val="24"/>
          <w:szCs w:val="24"/>
          <w:vertAlign w:val="superscript"/>
        </w:rPr>
      </w:pPr>
      <w:r>
        <w:rPr>
          <w:rFonts w:ascii="Times New Roman" w:hAnsi="Times New Roman" w:cs="Times New Roman"/>
          <w:sz w:val="24"/>
          <w:szCs w:val="24"/>
        </w:rPr>
        <w:t>Moo affirms that βαστάζειν</w:t>
      </w:r>
      <w:r>
        <w:rPr>
          <w:rFonts w:ascii="PCSB Greek" w:hAnsi="PCSB Greek"/>
          <w:color w:val="000000"/>
          <w:sz w:val="24"/>
          <w:szCs w:val="24"/>
        </w:rPr>
        <w:t xml:space="preserve"> </w:t>
      </w:r>
      <w:r>
        <w:rPr>
          <w:rFonts w:ascii="Times New Roman" w:hAnsi="Times New Roman" w:cs="Times New Roman"/>
          <w:sz w:val="24"/>
          <w:szCs w:val="24"/>
        </w:rPr>
        <w:t>indicates a moral obligation of the strong to carry the burden of the weak by refraining from judgment or disdain. It requires active engagement and support, not passive indifference.</w:t>
      </w:r>
      <w:r>
        <w:rPr>
          <w:rFonts w:ascii="Times New Roman" w:hAnsi="Times New Roman" w:cs="Times New Roman"/>
          <w:sz w:val="24"/>
          <w:szCs w:val="24"/>
          <w:vertAlign w:val="superscript"/>
        </w:rPr>
        <w:t>26</w:t>
      </w:r>
      <w:r>
        <w:rPr>
          <w:rFonts w:ascii="Times New Roman" w:hAnsi="Times New Roman" w:cs="Times New Roman"/>
          <w:sz w:val="24"/>
          <w:szCs w:val="24"/>
        </w:rPr>
        <w:t xml:space="preserve"> Dunn underscores the ethical reciprocity suggested by βαστάζειν, connecting it with the Christological model of Romans 15:3 where Christ is said to have borne our reproaches. This parallel underlines that the Christian's burden-bearing mirrors Christ’s redemptive humility.</w:t>
      </w:r>
      <w:r>
        <w:rPr>
          <w:rFonts w:ascii="Times New Roman" w:hAnsi="Times New Roman" w:cs="Times New Roman"/>
          <w:sz w:val="24"/>
          <w:szCs w:val="24"/>
          <w:vertAlign w:val="superscript"/>
        </w:rPr>
        <w:t xml:space="preserve">27 </w:t>
      </w:r>
      <w:r>
        <w:rPr>
          <w:rFonts w:ascii="Times New Roman" w:hAnsi="Times New Roman" w:cs="Times New Roman"/>
          <w:sz w:val="24"/>
          <w:szCs w:val="24"/>
        </w:rPr>
        <w:t>Schreiner stresses the communal function of βαστάζειν</w:t>
      </w:r>
      <w:r>
        <w:rPr>
          <w:rFonts w:ascii="PCSB Greek" w:hAnsi="PCSB Greek"/>
          <w:color w:val="000000"/>
          <w:sz w:val="24"/>
          <w:szCs w:val="24"/>
        </w:rPr>
        <w:t xml:space="preserve"> </w:t>
      </w:r>
      <w:r>
        <w:rPr>
          <w:rFonts w:ascii="Times New Roman" w:hAnsi="Times New Roman" w:cs="Times New Roman"/>
          <w:sz w:val="24"/>
          <w:szCs w:val="24"/>
        </w:rPr>
        <w:t>: it is not merely tolerance but active assistance aimed at edifying and encouraging those still struggling in faith. It is a discipleship-oriented action, not a mere act of charity.</w:t>
      </w:r>
      <w:r>
        <w:rPr>
          <w:rFonts w:ascii="Times New Roman" w:hAnsi="Times New Roman" w:cs="Times New Roman"/>
          <w:sz w:val="24"/>
          <w:szCs w:val="24"/>
          <w:vertAlign w:val="superscript"/>
        </w:rPr>
        <w:t>28</w:t>
      </w:r>
      <w:r>
        <w:rPr>
          <w:rFonts w:ascii="Times New Roman" w:hAnsi="Times New Roman" w:cs="Times New Roman"/>
          <w:sz w:val="24"/>
          <w:szCs w:val="24"/>
        </w:rPr>
        <w:t xml:space="preserve"> Stott notes that βαστάζειν</w:t>
      </w:r>
      <w:r>
        <w:rPr>
          <w:rFonts w:ascii="PCSB Greek" w:hAnsi="PCSB Greek"/>
          <w:color w:val="000000"/>
          <w:sz w:val="24"/>
          <w:szCs w:val="24"/>
        </w:rPr>
        <w:t xml:space="preserve"> </w:t>
      </w:r>
      <w:r>
        <w:rPr>
          <w:rFonts w:ascii="Times New Roman" w:hAnsi="Times New Roman" w:cs="Times New Roman"/>
          <w:sz w:val="24"/>
          <w:szCs w:val="24"/>
        </w:rPr>
        <w:t>suggests sympathetic identification with the weak, pointing out that Paul does not advocate that the strong should condescend to the weak but should walk with them in patience and compassion, just as Christ did.</w:t>
      </w:r>
      <w:r>
        <w:rPr>
          <w:rFonts w:ascii="Times New Roman" w:hAnsi="Times New Roman" w:cs="Times New Roman"/>
          <w:sz w:val="24"/>
          <w:szCs w:val="24"/>
          <w:vertAlign w:val="superscript"/>
        </w:rPr>
        <w:t>29</w:t>
      </w:r>
    </w:p>
    <w:p w14:paraId="359E59E7">
      <w:pPr>
        <w:spacing w:before="0" w:beforeAutospacing="0" w:line="240" w:lineRule="auto"/>
        <w:jc w:val="both"/>
        <w:rPr>
          <w:rFonts w:ascii="Times New Roman" w:hAnsi="Times New Roman" w:cs="Times New Roman"/>
          <w:b/>
          <w:bCs/>
          <w:sz w:val="24"/>
          <w:szCs w:val="24"/>
        </w:rPr>
      </w:pPr>
      <w:r>
        <w:rPr>
          <w:rFonts w:ascii="Times New Roman" w:hAnsi="Times New Roman" w:cs="Times New Roman"/>
          <w:b/>
          <w:bCs/>
          <w:sz w:val="24"/>
          <w:szCs w:val="24"/>
        </w:rPr>
        <w:t>ἀρέσκειν</w:t>
      </w:r>
      <w:r>
        <w:rPr>
          <w:rFonts w:ascii="PCSB Greek" w:hAnsi="PCSB Greek"/>
          <w:b/>
          <w:bCs/>
          <w:color w:val="000000"/>
          <w:sz w:val="24"/>
          <w:szCs w:val="24"/>
        </w:rPr>
        <w:t xml:space="preserve"> </w:t>
      </w:r>
      <w:r>
        <w:rPr>
          <w:rFonts w:ascii="Times New Roman" w:hAnsi="Times New Roman" w:cs="Times New Roman"/>
          <w:b/>
          <w:bCs/>
          <w:sz w:val="24"/>
          <w:szCs w:val="24"/>
        </w:rPr>
        <w:t>(areskein) – "To please"</w:t>
      </w:r>
    </w:p>
    <w:p w14:paraId="16EBB9BA">
      <w:pPr>
        <w:spacing w:before="0" w:beforeAutospacing="0" w:line="240" w:lineRule="auto"/>
        <w:ind w:firstLine="720"/>
        <w:jc w:val="both"/>
        <w:rPr>
          <w:rFonts w:ascii="Times New Roman" w:hAnsi="Times New Roman" w:cs="Times New Roman"/>
          <w:sz w:val="24"/>
          <w:szCs w:val="24"/>
          <w:vertAlign w:val="superscript"/>
        </w:rPr>
      </w:pPr>
      <w:r>
        <w:rPr>
          <w:rFonts w:ascii="Times New Roman" w:hAnsi="Times New Roman" w:cs="Times New Roman"/>
          <w:sz w:val="24"/>
          <w:szCs w:val="24"/>
        </w:rPr>
        <w:t xml:space="preserve"> ἀρέσκειν</w:t>
      </w:r>
      <w:r>
        <w:rPr>
          <w:rFonts w:ascii="PCSB Greek" w:hAnsi="PCSB Greek"/>
          <w:color w:val="000000"/>
          <w:sz w:val="24"/>
          <w:szCs w:val="24"/>
        </w:rPr>
        <w:t xml:space="preserve"> </w:t>
      </w:r>
      <w:r>
        <w:rPr>
          <w:rFonts w:ascii="Times New Roman" w:hAnsi="Times New Roman" w:cs="Times New Roman"/>
          <w:sz w:val="24"/>
          <w:szCs w:val="24"/>
        </w:rPr>
        <w:t>is the present active infinitive of the verb ἀρέσκω. As a present infinitive, it conveys continuous or habitual action.</w:t>
      </w:r>
      <w:r>
        <w:rPr>
          <w:rFonts w:ascii="Times New Roman" w:hAnsi="Times New Roman" w:cs="Times New Roman"/>
          <w:sz w:val="24"/>
          <w:szCs w:val="24"/>
          <w:vertAlign w:val="superscript"/>
        </w:rPr>
        <w:t>29</w:t>
      </w:r>
      <w:r>
        <w:rPr>
          <w:rFonts w:ascii="Times New Roman" w:hAnsi="Times New Roman" w:cs="Times New Roman"/>
          <w:sz w:val="24"/>
          <w:szCs w:val="24"/>
        </w:rPr>
        <w:t xml:space="preserve"> According to Bauer-Danker-Arndt-Gingrich, ἀρέσκω</w:t>
      </w:r>
      <w:r>
        <w:rPr>
          <w:rFonts w:ascii="PCSB Greek" w:hAnsi="PCSB Greek"/>
          <w:color w:val="000000"/>
          <w:sz w:val="24"/>
          <w:szCs w:val="24"/>
        </w:rPr>
        <w:t xml:space="preserve"> </w:t>
      </w:r>
      <w:r>
        <w:rPr>
          <w:rFonts w:ascii="Times New Roman" w:hAnsi="Times New Roman" w:cs="Times New Roman"/>
          <w:sz w:val="24"/>
          <w:szCs w:val="24"/>
        </w:rPr>
        <w:t>means to strive to please, accommodate oneself to the opinions, desires, and interests of others, especially in ways that seek their good and promote harmony.</w:t>
      </w:r>
      <w:r>
        <w:rPr>
          <w:rFonts w:ascii="Times New Roman" w:hAnsi="Times New Roman" w:cs="Times New Roman"/>
          <w:sz w:val="24"/>
          <w:szCs w:val="24"/>
          <w:vertAlign w:val="superscript"/>
        </w:rPr>
        <w:t>30</w:t>
      </w:r>
      <w:r>
        <w:rPr>
          <w:rFonts w:ascii="Times New Roman" w:hAnsi="Times New Roman" w:cs="Times New Roman"/>
          <w:sz w:val="24"/>
          <w:szCs w:val="24"/>
        </w:rPr>
        <w:t xml:space="preserve"> In the Liddell-Scott-Jones, ἀρέσκω</w:t>
      </w:r>
      <w:r>
        <w:rPr>
          <w:rFonts w:ascii="PCSB Greek" w:hAnsi="PCSB Greek"/>
          <w:color w:val="000000"/>
          <w:sz w:val="24"/>
          <w:szCs w:val="24"/>
        </w:rPr>
        <w:t xml:space="preserve"> </w:t>
      </w:r>
      <w:r>
        <w:rPr>
          <w:rFonts w:ascii="Times New Roman" w:hAnsi="Times New Roman" w:cs="Times New Roman"/>
          <w:sz w:val="24"/>
          <w:szCs w:val="24"/>
        </w:rPr>
        <w:t>carries the sense of “to make oneself agreeable, to win favor,” but often with an ethical or communal motive in Hellenistic and biblical usage.</w:t>
      </w:r>
      <w:r>
        <w:rPr>
          <w:rFonts w:ascii="Times New Roman" w:hAnsi="Times New Roman" w:cs="Times New Roman"/>
          <w:sz w:val="24"/>
          <w:szCs w:val="24"/>
          <w:vertAlign w:val="superscript"/>
        </w:rPr>
        <w:t>31</w:t>
      </w:r>
    </w:p>
    <w:p w14:paraId="6C40E0FF">
      <w:pPr>
        <w:spacing w:before="0" w:beforeAutospacing="0" w:line="240" w:lineRule="auto"/>
        <w:ind w:firstLine="720"/>
        <w:jc w:val="both"/>
        <w:rPr>
          <w:rFonts w:ascii="Times New Roman" w:hAnsi="Times New Roman" w:cs="Times New Roman"/>
          <w:sz w:val="24"/>
          <w:szCs w:val="24"/>
          <w:vertAlign w:val="superscript"/>
        </w:rPr>
      </w:pPr>
      <w:r>
        <w:rPr>
          <w:rFonts w:ascii="Times New Roman" w:hAnsi="Times New Roman" w:cs="Times New Roman"/>
          <w:sz w:val="24"/>
          <w:szCs w:val="24"/>
        </w:rPr>
        <w:t xml:space="preserve"> Moo comments that ἀρέσκειν</w:t>
      </w:r>
      <w:r>
        <w:rPr>
          <w:rFonts w:ascii="PCSB Greek" w:hAnsi="PCSB Greek"/>
          <w:color w:val="000000"/>
          <w:sz w:val="24"/>
          <w:szCs w:val="24"/>
        </w:rPr>
        <w:t xml:space="preserve"> </w:t>
      </w:r>
      <w:r>
        <w:rPr>
          <w:rFonts w:ascii="Times New Roman" w:hAnsi="Times New Roman" w:cs="Times New Roman"/>
          <w:sz w:val="24"/>
          <w:szCs w:val="24"/>
        </w:rPr>
        <w:t>in this passage implies a “voluntary and habitual concern for the spiritual benefit of others”, which aligns with Christ’s self-giving example in v.3. It is not an encouragement to servility, but to intentional ministry.</w:t>
      </w:r>
      <w:r>
        <w:rPr>
          <w:rFonts w:ascii="Times New Roman" w:hAnsi="Times New Roman" w:cs="Times New Roman"/>
          <w:sz w:val="24"/>
          <w:szCs w:val="24"/>
          <w:vertAlign w:val="superscript"/>
        </w:rPr>
        <w:t>32</w:t>
      </w:r>
      <w:r>
        <w:rPr>
          <w:rFonts w:ascii="Times New Roman" w:hAnsi="Times New Roman" w:cs="Times New Roman"/>
          <w:sz w:val="24"/>
          <w:szCs w:val="24"/>
        </w:rPr>
        <w:t xml:space="preserve"> Dunn notes that Paul is redefining social dynamics among believers. In Roman society, pleasing others could imply currying favor or political alliance. But here, Paul radicalizes the term, aligning it with self-denial for the sake of communal growth.</w:t>
      </w:r>
      <w:r>
        <w:rPr>
          <w:rFonts w:ascii="Times New Roman" w:hAnsi="Times New Roman" w:cs="Times New Roman"/>
          <w:sz w:val="24"/>
          <w:szCs w:val="24"/>
          <w:vertAlign w:val="superscript"/>
        </w:rPr>
        <w:t>33</w:t>
      </w:r>
    </w:p>
    <w:p w14:paraId="10047AF8">
      <w:pPr>
        <w:spacing w:before="0" w:beforeAutospacing="0" w:line="240" w:lineRule="auto"/>
        <w:ind w:firstLine="720"/>
        <w:jc w:val="both"/>
        <w:rPr>
          <w:rFonts w:ascii="Times New Roman" w:hAnsi="Times New Roman" w:cs="Times New Roman"/>
          <w:sz w:val="24"/>
          <w:szCs w:val="24"/>
          <w:vertAlign w:val="superscript"/>
        </w:rPr>
      </w:pPr>
      <w:r>
        <w:rPr>
          <w:rFonts w:ascii="Times New Roman" w:hAnsi="Times New Roman" w:cs="Times New Roman"/>
          <w:sz w:val="24"/>
          <w:szCs w:val="24"/>
        </w:rPr>
        <w:t xml:space="preserve"> Schreiner emphasizes that ἀρέσκειν</w:t>
      </w:r>
      <w:r>
        <w:rPr>
          <w:rFonts w:ascii="PCSB Greek" w:hAnsi="PCSB Greek"/>
          <w:color w:val="000000"/>
          <w:sz w:val="24"/>
          <w:szCs w:val="24"/>
        </w:rPr>
        <w:t xml:space="preserve"> </w:t>
      </w:r>
      <w:r>
        <w:rPr>
          <w:rFonts w:ascii="Times New Roman" w:hAnsi="Times New Roman" w:cs="Times New Roman"/>
          <w:sz w:val="24"/>
          <w:szCs w:val="24"/>
        </w:rPr>
        <w:t>calls the believer to imitate Christ’s sacrificial model (v.3). He writes, this pleasing is not about popularity, but about aiding the spiritual development of the neighbor.</w:t>
      </w:r>
      <w:r>
        <w:rPr>
          <w:rFonts w:ascii="Times New Roman" w:hAnsi="Times New Roman" w:cs="Times New Roman"/>
          <w:sz w:val="24"/>
          <w:szCs w:val="24"/>
          <w:vertAlign w:val="superscript"/>
        </w:rPr>
        <w:t>46</w:t>
      </w:r>
      <w:r>
        <w:rPr>
          <w:rFonts w:ascii="Times New Roman" w:hAnsi="Times New Roman" w:cs="Times New Roman"/>
          <w:sz w:val="24"/>
          <w:szCs w:val="24"/>
        </w:rPr>
        <w:t xml:space="preserve"> John Stott observes that ἀρέσκειν in this text is part of Paul’s broader vision of mutuality in the church. Pleasing others here means setting aside one’s own rights or freedoms for the benefit of others, a theme that resonates deeply with Romans 14–15.</w:t>
      </w:r>
      <w:r>
        <w:rPr>
          <w:rFonts w:ascii="Times New Roman" w:hAnsi="Times New Roman" w:cs="Times New Roman"/>
          <w:sz w:val="24"/>
          <w:szCs w:val="24"/>
          <w:vertAlign w:val="superscript"/>
        </w:rPr>
        <w:t>34</w:t>
      </w:r>
    </w:p>
    <w:p w14:paraId="16EE37F7">
      <w:pPr>
        <w:spacing w:before="0" w:beforeAutospacing="0" w:line="240" w:lineRule="auto"/>
        <w:jc w:val="both"/>
        <w:rPr>
          <w:rFonts w:ascii="Times New Roman" w:hAnsi="Times New Roman" w:cs="Times New Roman"/>
          <w:b/>
          <w:sz w:val="24"/>
          <w:szCs w:val="24"/>
        </w:rPr>
      </w:pPr>
    </w:p>
    <w:p w14:paraId="4BE5B73A">
      <w:pPr>
        <w:spacing w:before="0" w:beforeAutospacing="0" w:line="240" w:lineRule="auto"/>
        <w:jc w:val="both"/>
        <w:rPr>
          <w:rFonts w:ascii="Times New Roman" w:hAnsi="Times New Roman" w:cs="Times New Roman"/>
          <w:b/>
          <w:sz w:val="24"/>
          <w:szCs w:val="24"/>
        </w:rPr>
      </w:pPr>
      <w:r>
        <w:rPr>
          <w:rFonts w:ascii="Times New Roman" w:hAnsi="Times New Roman" w:cs="Times New Roman"/>
          <w:b/>
          <w:sz w:val="24"/>
          <w:szCs w:val="24"/>
        </w:rPr>
        <w:t>Evaluation</w:t>
      </w:r>
    </w:p>
    <w:p w14:paraId="46B30443">
      <w:pPr>
        <w:spacing w:before="0" w:beforeAutospacing="0"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 Paul opens Romans 15 with a powerful ethical imperative through the verb Ὀφείλομεν, the present active indicative of Ὀφείλω, indicating a continuous sense of moral obligation or indebtedness. Bauer-Danker-Arndt-Gingrich defines it as to be under obligation, be bound, or be indebted morally</w:t>
      </w:r>
      <w:r>
        <w:rPr>
          <w:rFonts w:ascii="Times New Roman" w:hAnsi="Times New Roman" w:cs="Times New Roman"/>
          <w:sz w:val="24"/>
          <w:szCs w:val="24"/>
          <w:vertAlign w:val="superscript"/>
        </w:rPr>
        <w:t>35</w:t>
      </w:r>
      <w:r>
        <w:rPr>
          <w:rFonts w:ascii="Times New Roman" w:hAnsi="Times New Roman" w:cs="Times New Roman"/>
          <w:sz w:val="24"/>
          <w:szCs w:val="24"/>
        </w:rPr>
        <w:t xml:space="preserve"> The word is often used to indicate divine or ethical responsibility in the New Testament (cf. Rom. 13:8). Moo rightly asserts that Paul is establishing a non-negotiable duty for the strong, not a suggestion or counsel.</w:t>
      </w:r>
      <w:r>
        <w:rPr>
          <w:rFonts w:ascii="Times New Roman" w:hAnsi="Times New Roman" w:cs="Times New Roman"/>
          <w:sz w:val="24"/>
          <w:szCs w:val="24"/>
          <w:vertAlign w:val="superscript"/>
        </w:rPr>
        <w:t>36</w:t>
      </w:r>
      <w:r>
        <w:rPr>
          <w:rFonts w:ascii="Times New Roman" w:hAnsi="Times New Roman" w:cs="Times New Roman"/>
          <w:sz w:val="24"/>
          <w:szCs w:val="24"/>
        </w:rPr>
        <w:t xml:space="preserve"> Schreiner concurs, noting that “Paul does not appeal to generosity, but to obligation, rooted in the gospel.</w:t>
      </w:r>
      <w:r>
        <w:rPr>
          <w:rFonts w:ascii="Times New Roman" w:hAnsi="Times New Roman" w:cs="Times New Roman"/>
          <w:sz w:val="24"/>
          <w:szCs w:val="24"/>
          <w:vertAlign w:val="superscript"/>
        </w:rPr>
        <w:t>37</w:t>
      </w:r>
      <w:r>
        <w:rPr>
          <w:rFonts w:ascii="Times New Roman" w:hAnsi="Times New Roman" w:cs="Times New Roman"/>
          <w:sz w:val="24"/>
          <w:szCs w:val="24"/>
        </w:rPr>
        <w:t xml:space="preserve"> The adjective δυνατοί, meaning "the strong" or "the powerful," stands in nominative plural masculine, identifying those in the Roman church who have spiritual or theological maturity. Liddell-Scott-Jones renders it capable, powerful, or competent.</w:t>
      </w:r>
      <w:r>
        <w:rPr>
          <w:rFonts w:ascii="Times New Roman" w:hAnsi="Times New Roman" w:cs="Times New Roman"/>
          <w:sz w:val="24"/>
          <w:szCs w:val="24"/>
          <w:vertAlign w:val="superscript"/>
        </w:rPr>
        <w:t>38</w:t>
      </w:r>
      <w:r>
        <w:rPr>
          <w:rFonts w:ascii="Times New Roman" w:hAnsi="Times New Roman" w:cs="Times New Roman"/>
          <w:sz w:val="24"/>
          <w:szCs w:val="24"/>
        </w:rPr>
        <w:t xml:space="preserve"> Dunn highlights that Paul here does not praise the strong per se, but rather calls them to humility.</w:t>
      </w:r>
      <w:r>
        <w:rPr>
          <w:rFonts w:ascii="Times New Roman" w:hAnsi="Times New Roman" w:cs="Times New Roman"/>
          <w:sz w:val="24"/>
          <w:szCs w:val="24"/>
          <w:vertAlign w:val="superscript"/>
        </w:rPr>
        <w:t>39</w:t>
      </w:r>
      <w:r>
        <w:rPr>
          <w:rFonts w:ascii="Times New Roman" w:hAnsi="Times New Roman" w:cs="Times New Roman"/>
          <w:sz w:val="24"/>
          <w:szCs w:val="24"/>
        </w:rPr>
        <w:t xml:space="preserve"> Their strength becomes valuable only when used in service to others.</w:t>
      </w:r>
    </w:p>
    <w:p w14:paraId="5CB75029">
      <w:pPr>
        <w:spacing w:line="240" w:lineRule="auto"/>
        <w:jc w:val="both"/>
        <w:rPr>
          <w:rFonts w:ascii="Times New Roman" w:hAnsi="Times New Roman" w:cs="Times New Roman"/>
        </w:rPr>
      </w:pPr>
      <w:r>
        <w:rPr>
          <w:rFonts w:ascii="Times New Roman" w:hAnsi="Times New Roman" w:cs="Times New Roman"/>
          <w:sz w:val="24"/>
          <w:szCs w:val="24"/>
        </w:rPr>
        <w:t xml:space="preserve"> ἀσθενήματα (asthenēmata), this accusative plural neuter of ἀσθενήμα refers not merely to physical weakness but spiritual frailty. Bauer-Danker-Arndt-Gingrich defines it as a state of incapacity or limitation.</w:t>
      </w:r>
      <w:r>
        <w:rPr>
          <w:rFonts w:ascii="Times New Roman" w:hAnsi="Times New Roman" w:cs="Times New Roman"/>
          <w:sz w:val="24"/>
          <w:szCs w:val="24"/>
          <w:vertAlign w:val="superscript"/>
        </w:rPr>
        <w:t>40</w:t>
      </w:r>
      <w:r>
        <w:rPr>
          <w:rFonts w:ascii="Times New Roman" w:hAnsi="Times New Roman" w:cs="Times New Roman"/>
          <w:sz w:val="24"/>
          <w:szCs w:val="24"/>
        </w:rPr>
        <w:t xml:space="preserve"> According to Stott, Paul uses this term to describe scruples or oversensitive consciences.</w:t>
      </w:r>
      <w:r>
        <w:rPr>
          <w:rFonts w:ascii="Times New Roman" w:hAnsi="Times New Roman" w:cs="Times New Roman"/>
          <w:sz w:val="24"/>
          <w:szCs w:val="24"/>
          <w:vertAlign w:val="superscript"/>
        </w:rPr>
        <w:t>41</w:t>
      </w:r>
      <w:r>
        <w:rPr>
          <w:rFonts w:ascii="Times New Roman" w:hAnsi="Times New Roman" w:cs="Times New Roman"/>
          <w:sz w:val="24"/>
          <w:szCs w:val="24"/>
        </w:rPr>
        <w:t xml:space="preserve"> Thus, the strong are not to scorn these weaknesses but to bear them compassionately. As previously examined, ἀρέσκειν</w:t>
      </w:r>
      <w:r>
        <w:rPr>
          <w:rFonts w:ascii="PCSB Greek" w:hAnsi="PCSB Greek"/>
          <w:color w:val="000000"/>
          <w:sz w:val="24"/>
          <w:szCs w:val="24"/>
        </w:rPr>
        <w:t xml:space="preserve"> </w:t>
      </w:r>
      <w:r>
        <w:rPr>
          <w:rFonts w:ascii="Times New Roman" w:hAnsi="Times New Roman" w:cs="Times New Roman"/>
          <w:sz w:val="24"/>
          <w:szCs w:val="24"/>
        </w:rPr>
        <w:t>(present active infinitive), to act in a way that brings benefit to others, not flattery or appeasement. Bauer-Danker-Arndt-Gingrich places emphasis on the benevolent intention of this pleasing.</w:t>
      </w:r>
      <w:r>
        <w:rPr>
          <w:rFonts w:ascii="Times New Roman" w:hAnsi="Times New Roman" w:cs="Times New Roman"/>
          <w:sz w:val="24"/>
          <w:szCs w:val="24"/>
          <w:vertAlign w:val="superscript"/>
        </w:rPr>
        <w:t>42</w:t>
      </w:r>
      <w:r>
        <w:rPr>
          <w:rFonts w:ascii="Times New Roman" w:hAnsi="Times New Roman" w:cs="Times New Roman"/>
          <w:sz w:val="24"/>
          <w:szCs w:val="24"/>
        </w:rPr>
        <w:t xml:space="preserve"> Fee emphasizes that Paul calls for a Christ-centered redefinition of pleasing others, one that aims at edification, not people-pleasing for approval.</w:t>
      </w:r>
      <w:r>
        <w:rPr>
          <w:rFonts w:ascii="Times New Roman" w:hAnsi="Times New Roman" w:cs="Times New Roman"/>
          <w:sz w:val="24"/>
          <w:szCs w:val="24"/>
          <w:vertAlign w:val="superscript"/>
        </w:rPr>
        <w:t>43</w:t>
      </w:r>
      <w:r>
        <w:rPr>
          <w:rFonts w:ascii="Times New Roman" w:hAnsi="Times New Roman" w:cs="Times New Roman"/>
          <w:sz w:val="24"/>
          <w:szCs w:val="24"/>
        </w:rPr>
        <w:t xml:space="preserve"> Schreiner also stresses that this pleasing is goal-oriented, εις</w:t>
      </w:r>
      <w:r>
        <w:rPr>
          <w:rFonts w:ascii="PCSB Greek" w:hAnsi="PCSB Greek"/>
          <w:color w:val="000000"/>
          <w:sz w:val="24"/>
          <w:szCs w:val="24"/>
        </w:rPr>
        <w:t xml:space="preserve"> </w:t>
      </w:r>
      <w:r>
        <w:rPr>
          <w:rFonts w:ascii="Times New Roman" w:hAnsi="Times New Roman" w:cs="Times New Roman"/>
          <w:sz w:val="24"/>
          <w:szCs w:val="24"/>
        </w:rPr>
        <w:t>το ἀ</w:t>
      </w:r>
      <w:r>
        <w:rPr>
          <w:rFonts w:ascii="Times New Roman" w:hAnsi="Times New Roman" w:cs="Times New Roman"/>
        </w:rPr>
        <w:t>γ</w:t>
      </w:r>
      <w:r>
        <w:rPr>
          <w:rFonts w:ascii="Times New Roman" w:hAnsi="Times New Roman" w:cs="Times New Roman"/>
          <w:sz w:val="24"/>
          <w:szCs w:val="24"/>
        </w:rPr>
        <w:t>αθον</w:t>
      </w:r>
      <w:r>
        <w:t xml:space="preserve"> </w:t>
      </w:r>
      <w:r>
        <w:rPr>
          <w:rFonts w:ascii="Times New Roman" w:hAnsi="Times New Roman" w:cs="Times New Roman"/>
          <w:sz w:val="24"/>
          <w:szCs w:val="24"/>
        </w:rPr>
        <w:t>a moral action aimed at the neighbor’s good.</w:t>
      </w:r>
      <w:r>
        <w:rPr>
          <w:rFonts w:ascii="Times New Roman" w:hAnsi="Times New Roman" w:cs="Times New Roman"/>
          <w:sz w:val="24"/>
          <w:szCs w:val="24"/>
          <w:vertAlign w:val="superscript"/>
        </w:rPr>
        <w:t>44</w:t>
      </w:r>
      <w:r>
        <w:rPr>
          <w:rFonts w:ascii="Times New Roman" w:hAnsi="Times New Roman" w:cs="Times New Roman"/>
          <w:sz w:val="24"/>
          <w:szCs w:val="24"/>
        </w:rPr>
        <w:t xml:space="preserve"> Finally, οίκοδομἡ, a feminine singular noun, denotes the building up or strengthening of the church and the individual. Bauer-Danker-Arndt-Gingrich notes its metaphorical use in the New Testament for spiritual development.</w:t>
      </w:r>
      <w:r>
        <w:rPr>
          <w:rFonts w:ascii="Times New Roman" w:hAnsi="Times New Roman" w:cs="Times New Roman"/>
          <w:sz w:val="24"/>
          <w:szCs w:val="24"/>
          <w:vertAlign w:val="superscript"/>
        </w:rPr>
        <w:t>43</w:t>
      </w:r>
      <w:r>
        <w:rPr>
          <w:rFonts w:ascii="Times New Roman" w:hAnsi="Times New Roman" w:cs="Times New Roman"/>
          <w:sz w:val="24"/>
          <w:szCs w:val="24"/>
        </w:rPr>
        <w:t xml:space="preserve"> Gorman connects this term with the Pauline theology of koinonia, arguing that edification is the practical outcome of selfless love.</w:t>
      </w:r>
      <w:r>
        <w:rPr>
          <w:rFonts w:ascii="Times New Roman" w:hAnsi="Times New Roman" w:cs="Times New Roman"/>
          <w:sz w:val="24"/>
          <w:szCs w:val="24"/>
          <w:vertAlign w:val="superscript"/>
        </w:rPr>
        <w:t>46</w:t>
      </w:r>
      <w:r>
        <w:rPr>
          <w:rFonts w:ascii="Times New Roman" w:hAnsi="Times New Roman" w:cs="Times New Roman"/>
          <w:sz w:val="24"/>
          <w:szCs w:val="24"/>
        </w:rPr>
        <w:t xml:space="preserve"> Fee likewise asserts that spiritual gifts and Christian conduct must aim toward mutual edification.</w:t>
      </w:r>
      <w:r>
        <w:rPr>
          <w:rFonts w:ascii="Times New Roman" w:hAnsi="Times New Roman" w:cs="Times New Roman"/>
          <w:sz w:val="24"/>
          <w:szCs w:val="24"/>
          <w:vertAlign w:val="superscript"/>
        </w:rPr>
        <w:t>47</w:t>
      </w:r>
    </w:p>
    <w:p w14:paraId="7F8B1C38">
      <w:pPr>
        <w:spacing w:line="240" w:lineRule="auto"/>
        <w:jc w:val="both"/>
        <w:rPr>
          <w:rFonts w:ascii="Times New Roman" w:hAnsi="Times New Roman" w:cs="Times New Roman"/>
        </w:rPr>
      </w:pPr>
      <w:r>
        <w:rPr>
          <w:rFonts w:ascii="Times New Roman" w:hAnsi="Times New Roman" w:cs="Times New Roman"/>
          <w:sz w:val="24"/>
          <w:szCs w:val="24"/>
        </w:rPr>
        <w:t xml:space="preserve"> Together, these five words form a cohesive theological framework for Christian maturity and communal ethics. Paul instructs that those who are strong (δυνατοὶ) must understand their obligation (Ὀφείλομεν) not to live for themselves, but to bear (βαστάζειν) the weaknesses (ἀσθενήματα) of others. The purpose of this self-sacrifice is to please (ἀρέσκειν) others not superficially, but in a way that leads to edification (οίκοδομἡ). This aligns deeply with Pauline theology seen elsewhere (e.g., Galatians 6:2; 1 Corinthians 10:33), where Christian love manifests in bearing burdens, self-limitation, and community-oriented obedience. In the context of the contemporary Christian home, particularly in Nigeria, these keywords provide a framework for harmonious living, where strength (economic, emotional, spiritual) is directed not to dominate but to serve. In families facing intergenerational or gendered tensions, Romans 15:1–2 calls each believer to lay down personal rights for the good of others.</w:t>
      </w:r>
    </w:p>
    <w:p w14:paraId="16C67CB1">
      <w:pPr>
        <w:spacing w:before="0" w:beforeAutospacing="0" w:line="240" w:lineRule="auto"/>
        <w:ind w:firstLine="720"/>
        <w:jc w:val="both"/>
        <w:rPr>
          <w:rFonts w:ascii="Times New Roman" w:hAnsi="Times New Roman" w:cs="Times New Roman"/>
          <w:sz w:val="24"/>
          <w:szCs w:val="24"/>
        </w:rPr>
      </w:pPr>
    </w:p>
    <w:p w14:paraId="57AA5EF4">
      <w:pPr>
        <w:spacing w:before="0" w:beforeAutospacing="0" w:line="240" w:lineRule="auto"/>
        <w:rPr>
          <w:rFonts w:ascii="Times New Roman" w:hAnsi="Times New Roman" w:cs="Times New Roman"/>
          <w:b/>
          <w:sz w:val="24"/>
          <w:szCs w:val="24"/>
        </w:rPr>
      </w:pPr>
      <w:r>
        <w:rPr>
          <w:rFonts w:ascii="Times New Roman" w:hAnsi="Times New Roman" w:cs="Times New Roman"/>
          <w:b/>
          <w:sz w:val="24"/>
          <w:szCs w:val="24"/>
        </w:rPr>
        <w:t xml:space="preserve">Relevance of Romans 15:1 to the </w:t>
      </w:r>
      <w:r>
        <w:rPr>
          <w:rStyle w:val="11"/>
          <w:rFonts w:ascii="Times New Roman" w:hAnsi="Times New Roman" w:eastAsia="Calibri" w:cs="Times New Roman"/>
          <w:sz w:val="24"/>
          <w:szCs w:val="24"/>
        </w:rPr>
        <w:t>Economic Development of the Christian Home.</w:t>
      </w:r>
    </w:p>
    <w:p w14:paraId="3E098983">
      <w:pPr>
        <w:spacing w:line="240" w:lineRule="auto"/>
        <w:jc w:val="both"/>
        <w:rPr>
          <w:rFonts w:ascii="Times New Roman" w:hAnsi="Times New Roman" w:cs="Times New Roman"/>
          <w:sz w:val="24"/>
          <w:szCs w:val="24"/>
        </w:rPr>
      </w:pPr>
      <w:r>
        <w:rPr>
          <w:rFonts w:ascii="Times New Roman" w:hAnsi="Times New Roman" w:cs="Times New Roman"/>
          <w:sz w:val="24"/>
          <w:szCs w:val="24"/>
        </w:rPr>
        <w:t>To start with, there is a need to bridge the gap between Apostle Paul’s ancient exhortation and modern economic advancement, thus, it presents the Christian home through the lens of Social Exchange Theory (SET). This framework suggests that social behavior is the result of an exchange process where the goal is to maximize benefits and minimize costs. The application of SET to the text, explains the "self-sacrificial model of Christ" as a transformation from a purely spiritual concept into a strategic engine for household prosperity</w:t>
      </w:r>
      <w:r>
        <w:rPr>
          <w:rFonts w:ascii="Times New Roman" w:hAnsi="Times New Roman" w:cs="Times New Roman"/>
          <w:sz w:val="24"/>
          <w:szCs w:val="24"/>
          <w:vertAlign w:val="superscript"/>
        </w:rPr>
        <w:t>48</w:t>
      </w:r>
      <w:r>
        <w:rPr>
          <w:rFonts w:ascii="Times New Roman" w:hAnsi="Times New Roman" w:cs="Times New Roman"/>
          <w:sz w:val="24"/>
          <w:szCs w:val="24"/>
        </w:rPr>
        <w:t xml:space="preserve"> in the following descriptions:</w:t>
      </w:r>
    </w:p>
    <w:p w14:paraId="0EED3C63">
      <w:pPr>
        <w:spacing w:before="0" w:beforeAutospacing="0" w:after="160" w:line="240" w:lineRule="auto"/>
        <w:jc w:val="both"/>
        <w:rPr>
          <w:rFonts w:ascii="Times New Roman" w:hAnsi="Times New Roman" w:cs="Times New Roman"/>
          <w:sz w:val="24"/>
          <w:szCs w:val="24"/>
        </w:rPr>
      </w:pPr>
      <w:r>
        <w:rPr>
          <w:rFonts w:ascii="Times New Roman" w:hAnsi="Times New Roman" w:cs="Times New Roman"/>
          <w:sz w:val="24"/>
          <w:szCs w:val="24"/>
        </w:rPr>
        <w:t>1. The Principle of Reciprocity: From Tolerance to Investment</w:t>
      </w:r>
    </w:p>
    <w:p w14:paraId="3E32549E">
      <w:pPr>
        <w:spacing w:before="0" w:beforeAutospacing="0" w:after="160" w:line="240" w:lineRule="auto"/>
        <w:jc w:val="both"/>
        <w:rPr>
          <w:rFonts w:ascii="Times New Roman" w:hAnsi="Times New Roman" w:cs="Times New Roman"/>
          <w:sz w:val="24"/>
          <w:szCs w:val="24"/>
        </w:rPr>
      </w:pPr>
      <w:r>
        <w:rPr>
          <w:rFonts w:ascii="Times New Roman" w:hAnsi="Times New Roman" w:cs="Times New Roman"/>
          <w:sz w:val="24"/>
          <w:szCs w:val="24"/>
        </w:rPr>
        <w:t>In Social Exchange Theory, Reciprocity is the "glue" of any relationship. Paul’s call for the "strong" to bear with the "weak" (Rom. 15:1) is an invitation into a High-Trust Exchange. In a Nigerian Christian home, if one member (the "strong" or breadwinner) invests his resources into the "weak" (a struggling relative or a spouse seeking skill acquisition), they are not just "spending" money. According to SET, they are building Social Capital. This sacrifice creates a cycle of mutual indebtedness that ensures when the "strong" eventually faces a downturn, the household structure remains resilient enough to support them.</w:t>
      </w:r>
    </w:p>
    <w:p w14:paraId="2BE50326">
      <w:pPr>
        <w:spacing w:before="0" w:beforeAutospacing="0" w:after="160" w:line="240" w:lineRule="auto"/>
        <w:jc w:val="both"/>
        <w:rPr>
          <w:rFonts w:ascii="Times New Roman" w:hAnsi="Times New Roman" w:cs="Times New Roman"/>
          <w:sz w:val="24"/>
          <w:szCs w:val="24"/>
        </w:rPr>
      </w:pPr>
      <w:r>
        <w:rPr>
          <w:rFonts w:ascii="Times New Roman" w:hAnsi="Times New Roman" w:cs="Times New Roman"/>
          <w:sz w:val="24"/>
          <w:szCs w:val="24"/>
        </w:rPr>
        <w:t>2. Rational Choice and the "Vibrant Economy"</w:t>
      </w:r>
    </w:p>
    <w:p w14:paraId="0BB682CD">
      <w:pPr>
        <w:spacing w:before="0" w:beforeAutospacing="0" w:after="160" w:line="240" w:lineRule="auto"/>
        <w:jc w:val="both"/>
        <w:rPr>
          <w:rFonts w:ascii="Times New Roman" w:hAnsi="Times New Roman" w:cs="Times New Roman"/>
          <w:sz w:val="24"/>
          <w:szCs w:val="24"/>
        </w:rPr>
      </w:pPr>
      <w:r>
        <w:rPr>
          <w:rFonts w:ascii="Times New Roman" w:hAnsi="Times New Roman" w:cs="Times New Roman"/>
          <w:sz w:val="24"/>
          <w:szCs w:val="24"/>
        </w:rPr>
        <w:t>The text notes that a vibrant economy results from "deliberate choices.", explained as rational choice in SET. This implies that every member of the Christian home acts as an "economic agent." When the household adopts Paul’s theological ethic, they change their calculation of "profit." Instead of seeking individual "tax nairas" or personal pleasure (ἀρέσκειν), they realize that the collective utility of the family is higher than the sum of its parts. By "not pleasing ourselves," we invest in the "quality of life for the community" (the home), which ultimately creates a more stable "tax base" of shared household wealth.</w:t>
      </w:r>
    </w:p>
    <w:p w14:paraId="73C4BC93">
      <w:pPr>
        <w:spacing w:before="0" w:beforeAutospacing="0" w:after="160" w:line="240" w:lineRule="auto"/>
        <w:jc w:val="both"/>
        <w:rPr>
          <w:rFonts w:ascii="Times New Roman" w:hAnsi="Times New Roman" w:cs="Times New Roman"/>
          <w:sz w:val="24"/>
          <w:szCs w:val="24"/>
        </w:rPr>
      </w:pPr>
      <w:r>
        <w:rPr>
          <w:rFonts w:ascii="Times New Roman" w:hAnsi="Times New Roman" w:cs="Times New Roman"/>
          <w:sz w:val="24"/>
          <w:szCs w:val="24"/>
        </w:rPr>
        <w:t>3. The "Home" as a Micro-Community</w:t>
      </w:r>
    </w:p>
    <w:p w14:paraId="5D8345E4">
      <w:pPr>
        <w:spacing w:before="0" w:beforeAutospacing="0" w:after="160" w:line="240" w:lineRule="auto"/>
        <w:jc w:val="both"/>
        <w:rPr>
          <w:rFonts w:ascii="Times New Roman" w:hAnsi="Times New Roman" w:cs="Times New Roman"/>
          <w:sz w:val="24"/>
          <w:szCs w:val="24"/>
        </w:rPr>
      </w:pPr>
      <w:r>
        <w:rPr>
          <w:rFonts w:ascii="Times New Roman" w:hAnsi="Times New Roman" w:cs="Times New Roman"/>
          <w:sz w:val="24"/>
          <w:szCs w:val="24"/>
        </w:rPr>
        <w:t>The text also elucidates economic development as programs and policies that "create and retain jobs." In the framework of Social Exchange Theory (SET), the Christian home therefore functions as a Micro-Economy, where by the Leader is saddled with improving the health of the local economy, which in turn results to bearing the failings of the wak to prevent the home from wasted resources, conflict or failure.</w:t>
      </w:r>
    </w:p>
    <w:p w14:paraId="101D2AA6">
      <w:pPr>
        <w:spacing w:before="0" w:beforeAutospacing="0" w:after="160" w:line="240" w:lineRule="auto"/>
        <w:jc w:val="both"/>
        <w:rPr>
          <w:rFonts w:ascii="Times New Roman" w:hAnsi="Times New Roman" w:cs="Times New Roman"/>
          <w:sz w:val="24"/>
          <w:szCs w:val="24"/>
        </w:rPr>
      </w:pPr>
      <w:r>
        <w:rPr>
          <w:rFonts w:ascii="Times New Roman" w:hAnsi="Times New Roman" w:cs="Times New Roman"/>
          <w:sz w:val="24"/>
          <w:szCs w:val="24"/>
        </w:rPr>
        <w:t>4. Synthesis: The Theology of Social Profit</w:t>
      </w:r>
    </w:p>
    <w:p w14:paraId="49F9EE95">
      <w:pPr>
        <w:spacing w:before="0" w:beforeAutospacing="0" w:after="160" w:line="240" w:lineRule="auto"/>
        <w:jc w:val="both"/>
        <w:rPr>
          <w:rFonts w:ascii="Times New Roman" w:hAnsi="Times New Roman" w:cs="Times New Roman"/>
          <w:sz w:val="24"/>
          <w:szCs w:val="24"/>
        </w:rPr>
      </w:pPr>
      <w:r>
        <w:rPr>
          <w:rFonts w:ascii="Times New Roman" w:hAnsi="Times New Roman" w:cs="Times New Roman"/>
          <w:sz w:val="24"/>
          <w:szCs w:val="24"/>
        </w:rPr>
        <w:t>Ultimately, applying Social Exchange Theory to Paul’s teaching reveals that Self-Sacrifice is a Revenue Strategy. When a Christian home moves away from individualistic consumption and toward mutual responsibility, it minimizes social friction (costs) and maximizes collective stability (benefits). In culturally dynamic societies like Nigeria, this "Theological Ethic" becomes a competitive advantage, turning the family into a robust economic engine capable of navigating pluralistic pressures.</w:t>
      </w:r>
    </w:p>
    <w:p w14:paraId="1442A086">
      <w:pPr>
        <w:spacing w:before="0" w:beforeAutospacing="0" w:after="160" w:line="240" w:lineRule="auto"/>
        <w:jc w:val="both"/>
        <w:rPr>
          <w:rFonts w:ascii="Times New Roman" w:hAnsi="Times New Roman" w:cs="Times New Roman"/>
          <w:sz w:val="24"/>
          <w:szCs w:val="24"/>
        </w:rPr>
      </w:pPr>
      <w:r>
        <w:rPr>
          <w:rFonts w:ascii="Times New Roman" w:hAnsi="Times New Roman" w:cs="Times New Roman"/>
          <w:sz w:val="24"/>
          <w:szCs w:val="24"/>
        </w:rPr>
        <w:t>5. Asymmetric Resource Transfer (The Mentorship Model)</w:t>
      </w:r>
    </w:p>
    <w:p w14:paraId="5B14F8B7">
      <w:pPr>
        <w:spacing w:before="0" w:beforeAutospacing="0" w:line="240" w:lineRule="auto"/>
        <w:jc w:val="both"/>
        <w:rPr>
          <w:rFonts w:ascii="Times New Roman" w:hAnsi="Times New Roman" w:cs="Times New Roman"/>
          <w:sz w:val="24"/>
          <w:szCs w:val="24"/>
        </w:rPr>
      </w:pPr>
      <w:r>
        <w:rPr>
          <w:rFonts w:ascii="Times New Roman" w:hAnsi="Times New Roman" w:cs="Times New Roman"/>
          <w:sz w:val="24"/>
          <w:szCs w:val="24"/>
        </w:rPr>
        <w:t>In standard social exchange, parties usually seek an immediate, equal trade. However, Paul’s ethics introduce Asymmetric Exchange, where the "spiritually and economically mature" provide resources (patience, capital, mentorship) to those at lower development levels without expecting an immediate return.</w:t>
      </w:r>
      <w:r>
        <w:rPr>
          <w:rFonts w:ascii="Times New Roman" w:hAnsi="Times New Roman" w:cs="Times New Roman"/>
          <w:sz w:val="24"/>
          <w:szCs w:val="24"/>
          <w:vertAlign w:val="superscript"/>
        </w:rPr>
        <w:t xml:space="preserve"> </w:t>
      </w:r>
      <w:r>
        <w:rPr>
          <w:rFonts w:ascii="Times New Roman" w:hAnsi="Times New Roman" w:cs="Times New Roman"/>
          <w:sz w:val="24"/>
          <w:szCs w:val="24"/>
        </w:rPr>
        <w:t>Moo asserts that this verse articulates a central principle in Pauline ethics, strength must be used in service of the weak.</w:t>
      </w:r>
      <w:r>
        <w:rPr>
          <w:rFonts w:ascii="Times New Roman" w:hAnsi="Times New Roman" w:cs="Times New Roman"/>
          <w:sz w:val="24"/>
          <w:szCs w:val="24"/>
          <w:vertAlign w:val="superscript"/>
        </w:rPr>
        <w:t>49</w:t>
      </w:r>
      <w:r>
        <w:rPr>
          <w:rFonts w:ascii="Times New Roman" w:hAnsi="Times New Roman" w:cs="Times New Roman"/>
          <w:sz w:val="24"/>
          <w:szCs w:val="24"/>
        </w:rPr>
        <w:t xml:space="preserve"> This principle, when applied in homes, challenges authoritarianism and promotes empathetic leadership. Instead of asserting superiority, stronger individuals are called to mentor, accommodate, and support those still growing even economically.</w:t>
      </w:r>
    </w:p>
    <w:p w14:paraId="4E965B9F">
      <w:pPr>
        <w:spacing w:before="0" w:beforeAutospacing="0" w:line="240" w:lineRule="auto"/>
        <w:jc w:val="both"/>
        <w:rPr>
          <w:rFonts w:ascii="Times New Roman" w:hAnsi="Times New Roman" w:cs="Times New Roman"/>
        </w:rPr>
      </w:pPr>
      <w:r>
        <w:rPr>
          <w:rFonts w:ascii="Times New Roman" w:hAnsi="Times New Roman" w:cs="Times New Roman"/>
          <w:sz w:val="24"/>
          <w:szCs w:val="24"/>
        </w:rPr>
        <w:t xml:space="preserve">6. </w:t>
      </w:r>
      <w:r>
        <w:rPr>
          <w:rFonts w:ascii="Times New Roman" w:hAnsi="Times New Roman" w:cs="Times New Roman"/>
        </w:rPr>
        <w:t>The Economics of Sacrificial Love</w:t>
      </w:r>
    </w:p>
    <w:p w14:paraId="7945C61D">
      <w:pPr>
        <w:spacing w:before="0" w:beforeAutospacing="0" w:line="240" w:lineRule="auto"/>
        <w:jc w:val="both"/>
        <w:rPr>
          <w:rFonts w:ascii="Times New Roman" w:hAnsi="Times New Roman" w:cs="Times New Roman"/>
          <w:sz w:val="24"/>
          <w:szCs w:val="24"/>
        </w:rPr>
      </w:pPr>
      <w:r>
        <w:rPr>
          <w:rFonts w:ascii="Times New Roman" w:hAnsi="Times New Roman" w:cs="Times New Roman"/>
          <w:sz w:val="24"/>
          <w:szCs w:val="24"/>
        </w:rPr>
        <w:t xml:space="preserve">In the Christian household—often a site of relational deficit due to unmet expectations or generational gaps—Paul’s exhortation functions as a framework for mutual investment. Rather than viewing the "strained" relationship as a bankrupt exchange, the concept of </w:t>
      </w:r>
      <w:r>
        <w:rPr>
          <w:rFonts w:ascii="Times New Roman" w:hAnsi="Times New Roman" w:cs="Times New Roman"/>
          <w:i/>
          <w:iCs/>
          <w:sz w:val="24"/>
          <w:szCs w:val="24"/>
        </w:rPr>
        <w:t>βαστάζειν</w:t>
      </w:r>
      <w:r>
        <w:rPr>
          <w:rFonts w:ascii="Times New Roman" w:hAnsi="Times New Roman" w:cs="Times New Roman"/>
          <w:sz w:val="24"/>
          <w:szCs w:val="24"/>
        </w:rPr>
        <w:t xml:space="preserve"> (to bear) redefines the cost-benefit analysis of the family unit.</w:t>
      </w:r>
      <w:r>
        <w:rPr>
          <w:rFonts w:ascii="Times New Roman" w:hAnsi="Times New Roman" w:cs="Times New Roman"/>
          <w:sz w:val="24"/>
          <w:szCs w:val="24"/>
          <w:vertAlign w:val="superscript"/>
        </w:rPr>
        <w:t>50</w:t>
      </w:r>
      <w:r>
        <w:rPr>
          <w:rFonts w:ascii="Times New Roman" w:hAnsi="Times New Roman" w:cs="Times New Roman"/>
          <w:sz w:val="24"/>
          <w:szCs w:val="24"/>
        </w:rPr>
        <w:t xml:space="preserve"> In marriage, for example, this translates to spouses not insisting on their rights but seeking the good of the other (cf. 1 Corinthians 13:5). In parenting, it implies understanding children’s struggles and nurturing them with both discipline and grace. In economic development it means to help existing local businesses solve problems that would cause them to fail, close, or move away.</w:t>
      </w:r>
    </w:p>
    <w:p w14:paraId="04CE4132">
      <w:pPr>
        <w:spacing w:line="240" w:lineRule="auto"/>
        <w:jc w:val="both"/>
        <w:rPr>
          <w:rFonts w:ascii="Times New Roman" w:hAnsi="Times New Roman" w:cs="Times New Roman"/>
        </w:rPr>
      </w:pPr>
      <w:r>
        <w:rPr>
          <w:rFonts w:ascii="Times New Roman" w:hAnsi="Times New Roman" w:cs="Times New Roman"/>
          <w:sz w:val="24"/>
          <w:szCs w:val="24"/>
        </w:rPr>
        <w:t xml:space="preserve">7. </w:t>
      </w:r>
      <w:r>
        <w:rPr>
          <w:rFonts w:ascii="Times New Roman" w:hAnsi="Times New Roman" w:cs="Times New Roman"/>
        </w:rPr>
        <w:t>Redirecting the Relational Economy</w:t>
      </w:r>
    </w:p>
    <w:p w14:paraId="77A7DBF9">
      <w:pPr>
        <w:spacing w:before="0" w:beforeAutospacing="0" w:line="240" w:lineRule="auto"/>
        <w:jc w:val="both"/>
        <w:rPr>
          <w:rFonts w:ascii="Times New Roman" w:hAnsi="Times New Roman" w:cs="Times New Roman"/>
          <w:sz w:val="24"/>
          <w:szCs w:val="24"/>
        </w:rPr>
      </w:pPr>
      <w:r>
        <w:rPr>
          <w:rFonts w:ascii="Times New Roman" w:hAnsi="Times New Roman" w:cs="Times New Roman"/>
          <w:sz w:val="24"/>
          <w:szCs w:val="24"/>
        </w:rPr>
        <w:t>Paul contrasts the high-cost investment of bearing others’ weaknesses with the immediate gratification of "pleasing ourselves" (μὴ ἑαυτοῖς ἀρέσκειν), challenging the individual to bypass short-term personal rewards for the sake of long-term communal stability. In the contemporary Nigerian household—frequently governed by a consumer-driven exchange model where status symbols and personal ego function as primary "rewards"—this shift is a radical recalibration of the relational ledger. The text moves the focus from individual profit (individualism) to shared equity (communal edification). As Gordon Fee suggests, Paul’s framework replaces the standard "tit-for-tat" reciprocity with a Christ-centered benchmark, where the "cost" of self-sacrifice is validated by the ultimate example of Christ’s self-giving, rather than an immediate return from the other person. (cf. Rom. 15:3)</w:t>
      </w:r>
      <w:r>
        <w:rPr>
          <w:rFonts w:ascii="Times New Roman" w:hAnsi="Times New Roman" w:cs="Times New Roman"/>
          <w:sz w:val="24"/>
          <w:szCs w:val="24"/>
          <w:vertAlign w:val="superscript"/>
        </w:rPr>
        <w:t>51</w:t>
      </w:r>
      <w:r>
        <w:rPr>
          <w:rFonts w:ascii="Times New Roman" w:hAnsi="Times New Roman" w:cs="Times New Roman"/>
          <w:sz w:val="24"/>
          <w:szCs w:val="24"/>
        </w:rPr>
        <w:t xml:space="preserve"> In this light, Christian homes are to be shaped by Christocentric service, where each member seeks the good and growth of the other. Since economic development is activities that seek to improve the economic well-being and quality of life for a community, this will improve a community’s quality of life </w:t>
      </w:r>
    </w:p>
    <w:p w14:paraId="7DAEE43A">
      <w:pPr>
        <w:spacing w:before="0" w:beforeAutospacing="0" w:line="240" w:lineRule="auto"/>
        <w:jc w:val="both"/>
        <w:rPr>
          <w:rFonts w:ascii="Times New Roman" w:hAnsi="Times New Roman" w:cs="Times New Roman"/>
        </w:rPr>
      </w:pPr>
      <w:r>
        <w:rPr>
          <w:rFonts w:ascii="Times New Roman" w:hAnsi="Times New Roman" w:cs="Times New Roman"/>
          <w:sz w:val="24"/>
          <w:szCs w:val="24"/>
        </w:rPr>
        <w:t xml:space="preserve">8. </w:t>
      </w:r>
      <w:r>
        <w:rPr>
          <w:rFonts w:ascii="Times New Roman" w:hAnsi="Times New Roman" w:cs="Times New Roman"/>
        </w:rPr>
        <w:t>Managing Asymmetric Social Capital</w:t>
      </w:r>
    </w:p>
    <w:p w14:paraId="3976802E">
      <w:pPr>
        <w:spacing w:before="0" w:beforeAutospacing="0" w:line="240" w:lineRule="auto"/>
        <w:jc w:val="both"/>
        <w:rPr>
          <w:rFonts w:ascii="Times New Roman" w:hAnsi="Times New Roman" w:cs="Times New Roman"/>
          <w:sz w:val="24"/>
          <w:szCs w:val="24"/>
        </w:rPr>
      </w:pPr>
      <w:r>
        <w:rPr>
          <w:rFonts w:ascii="Times New Roman" w:hAnsi="Times New Roman" w:cs="Times New Roman"/>
          <w:sz w:val="24"/>
          <w:szCs w:val="24"/>
        </w:rPr>
        <w:t>In the context of the Nigerian Christian home, generational conflicts represent a clash of social currencies, where cultural traditions, technological fluency, and shifting moral frameworks create a high-friction environment. Romans 15:1 provides a strategy for cost-absorption: those with higher relational power or "spiritual capital" (the strong) are encouraged to forgo the "reward" of dominance. Instead of "crushing" the weaker party—which would result in a negative exchange characterized by resentment and withdrawal—the "strong" are called to assume the emotional costs of the younger generation’s scruples. According to Hoehner, this "spiritual strength" is only viable as a social resource when it is paired with empathetic sensitivity, turning a potential power struggle into a balanced exchange where the elder’s investment of patience yields a "return" of intergenerational harmony and communal stability.</w:t>
      </w:r>
      <w:r>
        <w:rPr>
          <w:rFonts w:ascii="Times New Roman" w:hAnsi="Times New Roman" w:cs="Times New Roman"/>
          <w:sz w:val="24"/>
          <w:szCs w:val="24"/>
          <w:vertAlign w:val="superscript"/>
        </w:rPr>
        <w:t xml:space="preserve">52 </w:t>
      </w:r>
      <w:r>
        <w:rPr>
          <w:rFonts w:ascii="Times New Roman" w:hAnsi="Times New Roman" w:cs="Times New Roman"/>
          <w:sz w:val="24"/>
          <w:szCs w:val="24"/>
        </w:rPr>
        <w:t>This approach prevents authoritarian parenting or dismissive attitudes and replaces them with understanding, which is essential for maintaining healthy Christian homes. This economic development activities encourage working with partners to prepare residents for available careers, connect businesses to skilled workers, and build the pipeline of future workers in the community</w:t>
      </w:r>
    </w:p>
    <w:p w14:paraId="122028F9">
      <w:pPr>
        <w:spacing w:before="0" w:beforeAutospacing="0" w:line="240" w:lineRule="auto"/>
        <w:jc w:val="both"/>
        <w:rPr>
          <w:rFonts w:ascii="Times New Roman" w:hAnsi="Times New Roman" w:cs="Times New Roman"/>
        </w:rPr>
      </w:pPr>
      <w:r>
        <w:rPr>
          <w:rFonts w:ascii="Times New Roman" w:hAnsi="Times New Roman" w:cs="Times New Roman"/>
          <w:sz w:val="24"/>
          <w:szCs w:val="24"/>
        </w:rPr>
        <w:t xml:space="preserve">9. </w:t>
      </w:r>
      <w:r>
        <w:rPr>
          <w:rFonts w:ascii="Times New Roman" w:hAnsi="Times New Roman" w:cs="Times New Roman"/>
        </w:rPr>
        <w:t>Optimizing the Household Exchange</w:t>
      </w:r>
    </w:p>
    <w:p w14:paraId="76D09E23">
      <w:pPr>
        <w:spacing w:before="0" w:beforeAutospacing="0" w:line="240" w:lineRule="auto"/>
        <w:jc w:val="both"/>
        <w:rPr>
          <w:rFonts w:ascii="Times New Roman" w:hAnsi="Times New Roman" w:cs="Times New Roman"/>
          <w:b/>
          <w:sz w:val="24"/>
          <w:szCs w:val="24"/>
        </w:rPr>
      </w:pPr>
      <w:r>
        <w:rPr>
          <w:rFonts w:ascii="Times New Roman" w:hAnsi="Times New Roman" w:cs="Times New Roman"/>
          <w:sz w:val="24"/>
          <w:szCs w:val="24"/>
        </w:rPr>
        <w:t xml:space="preserve">The concept of </w:t>
      </w:r>
      <w:r>
        <w:rPr>
          <w:rFonts w:ascii="Times New Roman" w:hAnsi="Times New Roman" w:cs="Times New Roman"/>
          <w:i/>
          <w:iCs/>
          <w:sz w:val="24"/>
          <w:szCs w:val="24"/>
        </w:rPr>
        <w:t>οίκοδομἡ</w:t>
      </w:r>
      <w:r>
        <w:rPr>
          <w:rFonts w:ascii="Times New Roman" w:hAnsi="Times New Roman" w:cs="Times New Roman"/>
          <w:sz w:val="24"/>
          <w:szCs w:val="24"/>
        </w:rPr>
        <w:t xml:space="preserve"> (edification) functions as a blueprint for value-added interactions, ensuring that the "exchanges" within a Christian home consistently result in positive outcomes such as growth, stability, and structure. When these principles are applied, the household ceases to be a site of random or neutral interactions and becomes a specialized exchange environment—a microcosm of the church designed for the "production" of healing and spiritual capital. Gorman argues that the household serves as the primary site of ethical formation, where the daily negotiation of costs and rewards is calibrated to reflect a "Kingdom economy." In this model, individual sacrifices are not viewed as net losses but as strategic investments in a collective "gospel witness," increasing the overall relational equity of the family unit.</w:t>
      </w:r>
      <w:r>
        <w:rPr>
          <w:rFonts w:ascii="Times New Roman" w:hAnsi="Times New Roman" w:cs="Times New Roman"/>
          <w:sz w:val="24"/>
          <w:szCs w:val="24"/>
          <w:vertAlign w:val="superscript"/>
        </w:rPr>
        <w:t>53</w:t>
      </w:r>
      <w:r>
        <w:rPr>
          <w:rFonts w:ascii="Times New Roman" w:hAnsi="Times New Roman" w:cs="Times New Roman"/>
          <w:sz w:val="24"/>
          <w:szCs w:val="24"/>
        </w:rPr>
        <w:t xml:space="preserve"> Christian households that operationalize the exchange model of Romans 15:1–2—prioritizing cost-absorption over domestic conflict—serve as a high-value social signal to the external environment. In societies where "broken homes" and domestic violence represent high relational risks and social instability, these families demonstrate a stable exchange system that builds trust and communal "credit."</w:t>
      </w:r>
    </w:p>
    <w:p w14:paraId="3C4FA212">
      <w:pPr>
        <w:spacing w:before="0" w:beforeAutospacing="0" w:line="240" w:lineRule="auto"/>
        <w:rPr>
          <w:rFonts w:ascii="Times New Roman" w:hAnsi="Times New Roman" w:cs="Times New Roman"/>
          <w:b/>
          <w:sz w:val="24"/>
          <w:szCs w:val="24"/>
        </w:rPr>
      </w:pPr>
      <w:r>
        <w:rPr>
          <w:rFonts w:ascii="Times New Roman" w:hAnsi="Times New Roman" w:cs="Times New Roman"/>
          <w:b/>
          <w:sz w:val="24"/>
          <w:szCs w:val="24"/>
        </w:rPr>
        <w:t>Conclusion</w:t>
      </w:r>
    </w:p>
    <w:p w14:paraId="56096208">
      <w:pPr>
        <w:spacing w:before="0" w:beforeAutospacing="0" w:line="240" w:lineRule="auto"/>
        <w:ind w:firstLine="426"/>
        <w:jc w:val="both"/>
        <w:rPr>
          <w:rFonts w:ascii="Times New Roman" w:hAnsi="Times New Roman" w:cs="Times New Roman"/>
          <w:sz w:val="24"/>
          <w:szCs w:val="24"/>
        </w:rPr>
      </w:pPr>
      <w:r>
        <w:rPr>
          <w:rFonts w:ascii="Times New Roman" w:hAnsi="Times New Roman" w:cs="Times New Roman"/>
          <w:sz w:val="24"/>
          <w:szCs w:val="24"/>
        </w:rPr>
        <w:t>The paper concludes that while many Christian homes currently mirror the fractured exchange dynamics of the broader culture—characterized by high conflict and low reciprocity—the implementation of a holistic Economic Development of the Christian Home offers a viable "market correction." By prioritizing "spiritual capital" and "mutual submission," the home can move from a state of relational deficit to one of enduring communal "profit" and stability. Romans 15:1 functions as more than a theological directive; it serves as a foundational economic principle for the sustainability of the Christian home. In the Nigerian context—where households face high relational costs due to materialism, individualism, and the "bankruptcy" of emotional isolation—Paul’s mandate to "bear weaknesses" provides a strategy for stabilizing the familial ledger. By shifting the household's Comparison Level (CL) away from "consumerist" individualism toward a model of sacrificial investment, families can transform "weakness" from a liability into an opportunity for redemptive exchange. Grounding ethics in this framework allows the contemporary home to transcend the low-reward dynamics of modern society, instead fostering a "Kingdom Economy" of relational holiness. This model incentivizes mutual submission as a high-value "input" that secures the long-term "output" of Christ-like maturity for every member.</w:t>
      </w:r>
    </w:p>
    <w:p w14:paraId="4102B069">
      <w:pPr>
        <w:spacing w:before="0" w:beforeAutospacing="0" w:line="240" w:lineRule="auto"/>
        <w:jc w:val="both"/>
        <w:rPr>
          <w:rFonts w:ascii="Times New Roman" w:hAnsi="Times New Roman" w:cs="Times New Roman"/>
          <w:sz w:val="24"/>
          <w:szCs w:val="24"/>
        </w:rPr>
      </w:pPr>
    </w:p>
    <w:p w14:paraId="1F368E61">
      <w:pPr>
        <w:spacing w:before="0" w:beforeAutospacing="0" w:line="240" w:lineRule="auto"/>
        <w:ind w:firstLine="720"/>
        <w:jc w:val="both"/>
        <w:rPr>
          <w:rFonts w:ascii="Times New Roman" w:hAnsi="Times New Roman" w:cs="Times New Roman"/>
          <w:sz w:val="24"/>
          <w:szCs w:val="24"/>
        </w:rPr>
      </w:pPr>
    </w:p>
    <w:p w14:paraId="0B00D7BD">
      <w:pPr>
        <w:spacing w:before="0" w:beforeAutospacing="0" w:line="240" w:lineRule="auto"/>
        <w:ind w:left="567" w:hanging="567"/>
        <w:rPr>
          <w:rFonts w:ascii="Times New Roman" w:hAnsi="Times New Roman" w:cs="Times New Roman"/>
          <w:sz w:val="24"/>
          <w:szCs w:val="24"/>
        </w:rPr>
      </w:pPr>
      <w:r>
        <w:rPr>
          <w:rFonts w:ascii="Times New Roman" w:hAnsi="Times New Roman" w:cs="Times New Roman"/>
          <w:b/>
          <w:sz w:val="24"/>
          <w:szCs w:val="24"/>
        </w:rPr>
        <w:br w:type="column"/>
      </w:r>
      <w:r>
        <w:rPr>
          <w:rFonts w:ascii="Times New Roman" w:hAnsi="Times New Roman" w:cs="Times New Roman"/>
          <w:b/>
          <w:sz w:val="24"/>
          <w:szCs w:val="24"/>
        </w:rPr>
        <w:t xml:space="preserve">Endnotes </w:t>
      </w:r>
    </w:p>
    <w:p w14:paraId="3A611F7D">
      <w:pPr>
        <w:spacing w:before="0" w:beforeAutospacing="0" w:line="240" w:lineRule="auto"/>
        <w:ind w:left="567" w:hanging="567"/>
        <w:jc w:val="both"/>
        <w:rPr>
          <w:rFonts w:ascii="Times New Roman" w:hAnsi="Times New Roman" w:cs="Times New Roman"/>
          <w:sz w:val="24"/>
          <w:szCs w:val="24"/>
        </w:rPr>
      </w:pPr>
      <w:r>
        <w:rPr>
          <w:rFonts w:ascii="Times New Roman" w:hAnsi="Times New Roman" w:cs="Times New Roman"/>
          <w:sz w:val="24"/>
          <w:szCs w:val="24"/>
          <w:vertAlign w:val="superscript"/>
        </w:rPr>
        <w:t>1</w:t>
      </w:r>
      <w:r>
        <w:rPr>
          <w:rFonts w:ascii="Times New Roman" w:hAnsi="Times New Roman" w:cs="Times New Roman"/>
          <w:sz w:val="24"/>
          <w:szCs w:val="24"/>
        </w:rPr>
        <w:t xml:space="preserve">D. J. Moo, </w:t>
      </w:r>
      <w:r>
        <w:rPr>
          <w:rFonts w:ascii="Times New Roman" w:hAnsi="Times New Roman" w:cs="Times New Roman"/>
          <w:i/>
          <w:sz w:val="24"/>
          <w:szCs w:val="24"/>
        </w:rPr>
        <w:t>The Epistle to the Romans</w:t>
      </w:r>
      <w:r>
        <w:rPr>
          <w:rFonts w:ascii="Times New Roman" w:hAnsi="Times New Roman" w:cs="Times New Roman"/>
          <w:sz w:val="24"/>
          <w:szCs w:val="24"/>
        </w:rPr>
        <w:t>, (Eerdmans: Grand Rapids, 1996), 25.</w:t>
      </w:r>
    </w:p>
    <w:p w14:paraId="3B01D03C">
      <w:pPr>
        <w:spacing w:before="0" w:beforeAutospacing="0" w:line="240" w:lineRule="auto"/>
        <w:ind w:left="567" w:hanging="567"/>
        <w:jc w:val="both"/>
        <w:rPr>
          <w:rFonts w:ascii="Times New Roman" w:hAnsi="Times New Roman" w:cs="Times New Roman"/>
          <w:sz w:val="24"/>
          <w:szCs w:val="24"/>
        </w:rPr>
      </w:pPr>
      <w:r>
        <w:rPr>
          <w:rFonts w:ascii="Times New Roman" w:hAnsi="Times New Roman" w:cs="Times New Roman"/>
          <w:sz w:val="24"/>
          <w:szCs w:val="24"/>
          <w:vertAlign w:val="superscript"/>
        </w:rPr>
        <w:t>2</w:t>
      </w:r>
      <w:r>
        <w:rPr>
          <w:rFonts w:ascii="Times New Roman" w:hAnsi="Times New Roman" w:cs="Times New Roman"/>
          <w:sz w:val="24"/>
          <w:szCs w:val="24"/>
        </w:rPr>
        <w:t xml:space="preserve">J. D. G. Dunn, </w:t>
      </w:r>
      <w:r>
        <w:rPr>
          <w:rFonts w:ascii="Times New Roman" w:hAnsi="Times New Roman" w:cs="Times New Roman"/>
          <w:i/>
          <w:sz w:val="24"/>
          <w:szCs w:val="24"/>
        </w:rPr>
        <w:t>Romans 1–8, Word Biblical Commentary</w:t>
      </w:r>
      <w:r>
        <w:rPr>
          <w:rFonts w:ascii="Times New Roman" w:hAnsi="Times New Roman" w:cs="Times New Roman"/>
          <w:sz w:val="24"/>
          <w:szCs w:val="24"/>
        </w:rPr>
        <w:t xml:space="preserve">, (Nashville: Thomas Nelson,      </w:t>
      </w:r>
    </w:p>
    <w:p w14:paraId="4F9E4EC2">
      <w:pPr>
        <w:spacing w:before="0" w:beforeAutospacing="0" w:line="240" w:lineRule="auto"/>
        <w:ind w:left="567" w:hanging="567"/>
        <w:jc w:val="both"/>
        <w:rPr>
          <w:rFonts w:ascii="Times New Roman" w:hAnsi="Times New Roman" w:cs="Times New Roman"/>
          <w:sz w:val="24"/>
          <w:szCs w:val="24"/>
        </w:rPr>
      </w:pPr>
      <w:r>
        <w:rPr>
          <w:rFonts w:ascii="Times New Roman" w:hAnsi="Times New Roman" w:cs="Times New Roman"/>
          <w:sz w:val="24"/>
          <w:szCs w:val="24"/>
        </w:rPr>
        <w:t xml:space="preserve">         1988), xxxiv..</w:t>
      </w:r>
    </w:p>
    <w:p w14:paraId="074054D4">
      <w:pPr>
        <w:spacing w:before="0" w:beforeAutospacing="0" w:line="240" w:lineRule="auto"/>
        <w:ind w:left="567" w:hanging="567"/>
        <w:jc w:val="both"/>
        <w:rPr>
          <w:rFonts w:ascii="Times New Roman" w:hAnsi="Times New Roman" w:cs="Times New Roman"/>
          <w:sz w:val="24"/>
          <w:szCs w:val="24"/>
        </w:rPr>
      </w:pPr>
      <w:r>
        <w:rPr>
          <w:rFonts w:ascii="Times New Roman" w:hAnsi="Times New Roman" w:cs="Times New Roman"/>
          <w:sz w:val="24"/>
          <w:szCs w:val="24"/>
          <w:vertAlign w:val="superscript"/>
        </w:rPr>
        <w:t>3</w:t>
      </w:r>
      <w:r>
        <w:rPr>
          <w:rFonts w:ascii="Times New Roman" w:hAnsi="Times New Roman" w:cs="Times New Roman"/>
          <w:sz w:val="24"/>
          <w:szCs w:val="24"/>
        </w:rPr>
        <w:t>Moo, 21.</w:t>
      </w:r>
    </w:p>
    <w:p w14:paraId="4A02EF27">
      <w:pPr>
        <w:spacing w:before="0" w:beforeAutospacing="0" w:line="240" w:lineRule="auto"/>
        <w:ind w:left="567" w:hanging="567"/>
        <w:jc w:val="both"/>
        <w:rPr>
          <w:rFonts w:ascii="Times New Roman" w:hAnsi="Times New Roman" w:cs="Times New Roman"/>
          <w:sz w:val="24"/>
          <w:szCs w:val="24"/>
        </w:rPr>
      </w:pPr>
      <w:r>
        <w:rPr>
          <w:rFonts w:ascii="Times New Roman" w:hAnsi="Times New Roman" w:cs="Times New Roman"/>
          <w:sz w:val="24"/>
          <w:szCs w:val="24"/>
          <w:vertAlign w:val="superscript"/>
        </w:rPr>
        <w:t>4</w:t>
      </w:r>
      <w:r>
        <w:rPr>
          <w:rFonts w:ascii="Times New Roman" w:hAnsi="Times New Roman" w:cs="Times New Roman"/>
          <w:sz w:val="24"/>
          <w:szCs w:val="24"/>
        </w:rPr>
        <w:t>Dunn, xxxii.</w:t>
      </w:r>
    </w:p>
    <w:p w14:paraId="6D9D9676">
      <w:pPr>
        <w:spacing w:before="0" w:beforeAutospacing="0" w:line="240" w:lineRule="auto"/>
        <w:ind w:left="567" w:hanging="567"/>
        <w:jc w:val="both"/>
        <w:rPr>
          <w:rFonts w:ascii="Times New Roman" w:hAnsi="Times New Roman" w:cs="Times New Roman"/>
          <w:sz w:val="24"/>
          <w:szCs w:val="24"/>
        </w:rPr>
      </w:pPr>
      <w:r>
        <w:rPr>
          <w:rFonts w:ascii="Times New Roman" w:hAnsi="Times New Roman" w:cs="Times New Roman"/>
          <w:sz w:val="24"/>
          <w:szCs w:val="24"/>
          <w:vertAlign w:val="superscript"/>
        </w:rPr>
        <w:t>5</w:t>
      </w:r>
      <w:r>
        <w:rPr>
          <w:rFonts w:ascii="Times New Roman" w:hAnsi="Times New Roman" w:cs="Times New Roman"/>
          <w:sz w:val="24"/>
          <w:szCs w:val="24"/>
        </w:rPr>
        <w:t xml:space="preserve">B.M. Newman, </w:t>
      </w:r>
      <w:r>
        <w:rPr>
          <w:rFonts w:ascii="Times New Roman" w:hAnsi="Times New Roman" w:cs="Times New Roman"/>
          <w:i/>
          <w:sz w:val="24"/>
          <w:szCs w:val="24"/>
        </w:rPr>
        <w:t>The UBS Greek New Testament</w:t>
      </w:r>
      <w:r>
        <w:rPr>
          <w:rFonts w:ascii="Times New Roman" w:hAnsi="Times New Roman" w:cs="Times New Roman"/>
          <w:sz w:val="24"/>
          <w:szCs w:val="24"/>
        </w:rPr>
        <w:t xml:space="preserve"> (Germany: Deutsche Bibelgeselllschaft, 2007), 433.</w:t>
      </w:r>
    </w:p>
    <w:p w14:paraId="51A23144">
      <w:pPr>
        <w:spacing w:before="0" w:beforeAutospacing="0" w:line="240" w:lineRule="auto"/>
        <w:ind w:left="567" w:hanging="567"/>
        <w:jc w:val="both"/>
        <w:rPr>
          <w:rFonts w:ascii="Times New Roman" w:hAnsi="Times New Roman" w:cs="Times New Roman"/>
          <w:sz w:val="24"/>
          <w:szCs w:val="24"/>
        </w:rPr>
      </w:pPr>
      <w:r>
        <w:rPr>
          <w:rFonts w:ascii="Times New Roman" w:hAnsi="Times New Roman" w:cs="Times New Roman"/>
          <w:sz w:val="24"/>
          <w:szCs w:val="24"/>
          <w:vertAlign w:val="superscript"/>
        </w:rPr>
        <w:t>6</w:t>
      </w:r>
      <w:r>
        <w:rPr>
          <w:rFonts w:ascii="Times New Roman" w:hAnsi="Times New Roman" w:cs="Times New Roman"/>
          <w:sz w:val="24"/>
          <w:szCs w:val="24"/>
        </w:rPr>
        <w:t xml:space="preserve">W. Bauer, F. W. Danker, W. F. Arndt, and F. W. Gingrich, </w:t>
      </w:r>
      <w:r>
        <w:rPr>
          <w:rFonts w:ascii="Times New Roman" w:hAnsi="Times New Roman" w:cs="Times New Roman"/>
          <w:i/>
          <w:sz w:val="24"/>
          <w:szCs w:val="24"/>
        </w:rPr>
        <w:t>A Greek-English Lexicon of the New Testament and Other Early Christian Literature</w:t>
      </w:r>
      <w:r>
        <w:rPr>
          <w:rFonts w:ascii="Times New Roman" w:hAnsi="Times New Roman" w:cs="Times New Roman"/>
          <w:sz w:val="24"/>
          <w:szCs w:val="24"/>
        </w:rPr>
        <w:t>, 3rd ed., (Chicago: University of Chicago Press, 2000), 743.</w:t>
      </w:r>
    </w:p>
    <w:p w14:paraId="5648D60B">
      <w:pPr>
        <w:spacing w:before="0" w:beforeAutospacing="0" w:line="240" w:lineRule="auto"/>
        <w:ind w:left="567" w:hanging="567"/>
        <w:jc w:val="both"/>
        <w:rPr>
          <w:rFonts w:ascii="Times New Roman" w:hAnsi="Times New Roman" w:cs="Times New Roman"/>
          <w:sz w:val="24"/>
          <w:szCs w:val="24"/>
        </w:rPr>
      </w:pPr>
      <w:r>
        <w:rPr>
          <w:rFonts w:ascii="Times New Roman" w:hAnsi="Times New Roman" w:cs="Times New Roman"/>
          <w:sz w:val="24"/>
          <w:szCs w:val="24"/>
          <w:vertAlign w:val="superscript"/>
        </w:rPr>
        <w:t>7</w:t>
      </w:r>
      <w:r>
        <w:rPr>
          <w:rFonts w:ascii="Times New Roman" w:hAnsi="Times New Roman" w:cs="Times New Roman"/>
          <w:sz w:val="24"/>
          <w:szCs w:val="24"/>
        </w:rPr>
        <w:t>Ibid, 743.</w:t>
      </w:r>
    </w:p>
    <w:p w14:paraId="434843C1">
      <w:pPr>
        <w:spacing w:before="0" w:beforeAutospacing="0" w:line="240" w:lineRule="auto"/>
        <w:ind w:left="567" w:hanging="567"/>
        <w:jc w:val="both"/>
        <w:rPr>
          <w:rFonts w:ascii="Times New Roman" w:hAnsi="Times New Roman" w:cs="Times New Roman"/>
          <w:sz w:val="24"/>
          <w:szCs w:val="24"/>
        </w:rPr>
      </w:pPr>
      <w:r>
        <w:rPr>
          <w:rFonts w:ascii="Times New Roman" w:hAnsi="Times New Roman" w:cs="Times New Roman"/>
          <w:sz w:val="24"/>
          <w:szCs w:val="24"/>
          <w:vertAlign w:val="superscript"/>
        </w:rPr>
        <w:t>8</w:t>
      </w:r>
      <w:r>
        <w:rPr>
          <w:rFonts w:ascii="Times New Roman" w:hAnsi="Times New Roman" w:cs="Times New Roman"/>
          <w:sz w:val="24"/>
          <w:szCs w:val="24"/>
        </w:rPr>
        <w:t>Moo, 871.</w:t>
      </w:r>
    </w:p>
    <w:p w14:paraId="465C2232">
      <w:pPr>
        <w:spacing w:before="0" w:beforeAutospacing="0" w:line="240" w:lineRule="auto"/>
        <w:ind w:left="567" w:hanging="567"/>
        <w:jc w:val="both"/>
        <w:rPr>
          <w:rFonts w:ascii="Times New Roman" w:hAnsi="Times New Roman" w:cs="Times New Roman"/>
          <w:sz w:val="24"/>
          <w:szCs w:val="24"/>
        </w:rPr>
      </w:pPr>
      <w:r>
        <w:rPr>
          <w:rFonts w:ascii="Times New Roman" w:hAnsi="Times New Roman" w:cs="Times New Roman"/>
          <w:sz w:val="24"/>
          <w:szCs w:val="24"/>
          <w:vertAlign w:val="superscript"/>
        </w:rPr>
        <w:t>9</w:t>
      </w:r>
      <w:r>
        <w:rPr>
          <w:rFonts w:ascii="Times New Roman" w:hAnsi="Times New Roman" w:cs="Times New Roman"/>
          <w:sz w:val="24"/>
          <w:szCs w:val="24"/>
        </w:rPr>
        <w:t>Dunn, 832.</w:t>
      </w:r>
    </w:p>
    <w:p w14:paraId="5798C542">
      <w:pPr>
        <w:spacing w:before="0" w:beforeAutospacing="0" w:line="240" w:lineRule="auto"/>
        <w:ind w:left="567" w:hanging="567"/>
        <w:jc w:val="both"/>
        <w:rPr>
          <w:rFonts w:ascii="Times New Roman" w:hAnsi="Times New Roman" w:cs="Times New Roman"/>
          <w:sz w:val="24"/>
          <w:szCs w:val="24"/>
        </w:rPr>
      </w:pPr>
      <w:r>
        <w:rPr>
          <w:rFonts w:ascii="Times New Roman" w:hAnsi="Times New Roman" w:cs="Times New Roman"/>
          <w:sz w:val="24"/>
          <w:szCs w:val="24"/>
          <w:vertAlign w:val="superscript"/>
        </w:rPr>
        <w:t>10</w:t>
      </w:r>
      <w:r>
        <w:rPr>
          <w:rFonts w:ascii="Times New Roman" w:hAnsi="Times New Roman" w:cs="Times New Roman"/>
          <w:sz w:val="24"/>
          <w:szCs w:val="24"/>
        </w:rPr>
        <w:t xml:space="preserve">J. Murray, </w:t>
      </w:r>
      <w:r>
        <w:rPr>
          <w:rFonts w:ascii="Times New Roman" w:hAnsi="Times New Roman" w:cs="Times New Roman"/>
          <w:i/>
          <w:sz w:val="24"/>
          <w:szCs w:val="24"/>
        </w:rPr>
        <w:t>The Epistle to the Romans</w:t>
      </w:r>
      <w:r>
        <w:rPr>
          <w:rFonts w:ascii="Times New Roman" w:hAnsi="Times New Roman" w:cs="Times New Roman"/>
          <w:sz w:val="24"/>
          <w:szCs w:val="24"/>
        </w:rPr>
        <w:t>, (Eerdmans: Grand Rapids, 1959), 197.</w:t>
      </w:r>
    </w:p>
    <w:p w14:paraId="1AD460CD">
      <w:pPr>
        <w:spacing w:before="0" w:beforeAutospacing="0" w:line="240" w:lineRule="auto"/>
        <w:ind w:left="567" w:hanging="567"/>
        <w:jc w:val="both"/>
        <w:rPr>
          <w:rFonts w:ascii="Times New Roman" w:hAnsi="Times New Roman" w:cs="Times New Roman"/>
          <w:sz w:val="24"/>
          <w:szCs w:val="24"/>
        </w:rPr>
      </w:pPr>
      <w:r>
        <w:rPr>
          <w:rFonts w:ascii="Times New Roman" w:hAnsi="Times New Roman" w:cs="Times New Roman"/>
          <w:sz w:val="24"/>
          <w:szCs w:val="24"/>
          <w:vertAlign w:val="superscript"/>
        </w:rPr>
        <w:t>11</w:t>
      </w:r>
      <w:r>
        <w:rPr>
          <w:rFonts w:ascii="Times New Roman" w:hAnsi="Times New Roman" w:cs="Times New Roman"/>
          <w:sz w:val="24"/>
          <w:szCs w:val="24"/>
        </w:rPr>
        <w:t>Bauer, Danker, Arndt, and Gingrich, 262.</w:t>
      </w:r>
    </w:p>
    <w:p w14:paraId="60925A8F">
      <w:pPr>
        <w:spacing w:before="0" w:beforeAutospacing="0" w:line="240" w:lineRule="auto"/>
        <w:ind w:left="567" w:hanging="567"/>
        <w:jc w:val="both"/>
        <w:rPr>
          <w:rFonts w:ascii="Times New Roman" w:hAnsi="Times New Roman" w:cs="Times New Roman"/>
          <w:sz w:val="24"/>
          <w:szCs w:val="24"/>
        </w:rPr>
      </w:pPr>
      <w:r>
        <w:rPr>
          <w:rFonts w:ascii="Times New Roman" w:hAnsi="Times New Roman" w:cs="Times New Roman"/>
          <w:sz w:val="24"/>
          <w:szCs w:val="24"/>
          <w:vertAlign w:val="superscript"/>
        </w:rPr>
        <w:t>12</w:t>
      </w:r>
      <w:r>
        <w:rPr>
          <w:rFonts w:ascii="Times New Roman" w:hAnsi="Times New Roman" w:cs="Times New Roman"/>
          <w:sz w:val="24"/>
          <w:szCs w:val="24"/>
        </w:rPr>
        <w:t>Ibid, 743.</w:t>
      </w:r>
    </w:p>
    <w:p w14:paraId="69A901BA">
      <w:pPr>
        <w:spacing w:before="0" w:beforeAutospacing="0" w:line="240" w:lineRule="auto"/>
        <w:ind w:left="567" w:hanging="567"/>
        <w:jc w:val="both"/>
        <w:rPr>
          <w:rFonts w:ascii="Times New Roman" w:hAnsi="Times New Roman" w:cs="Times New Roman"/>
          <w:sz w:val="24"/>
          <w:szCs w:val="24"/>
        </w:rPr>
      </w:pPr>
      <w:r>
        <w:rPr>
          <w:rFonts w:ascii="Times New Roman" w:hAnsi="Times New Roman" w:cs="Times New Roman"/>
          <w:sz w:val="24"/>
          <w:szCs w:val="24"/>
          <w:vertAlign w:val="superscript"/>
        </w:rPr>
        <w:t>13</w:t>
      </w:r>
      <w:r>
        <w:rPr>
          <w:rFonts w:ascii="Times New Roman" w:hAnsi="Times New Roman" w:cs="Times New Roman"/>
          <w:sz w:val="24"/>
          <w:szCs w:val="24"/>
        </w:rPr>
        <w:t>Moo,  869</w:t>
      </w:r>
    </w:p>
    <w:p w14:paraId="13B43E59">
      <w:pPr>
        <w:spacing w:before="0" w:beforeAutospacing="0" w:line="240" w:lineRule="auto"/>
        <w:ind w:left="567" w:hanging="567"/>
        <w:jc w:val="both"/>
        <w:rPr>
          <w:rFonts w:ascii="Times New Roman" w:hAnsi="Times New Roman" w:cs="Times New Roman"/>
          <w:sz w:val="24"/>
          <w:szCs w:val="24"/>
        </w:rPr>
      </w:pPr>
      <w:r>
        <w:rPr>
          <w:rFonts w:ascii="Times New Roman" w:hAnsi="Times New Roman" w:cs="Times New Roman"/>
          <w:sz w:val="24"/>
          <w:szCs w:val="24"/>
          <w:vertAlign w:val="superscript"/>
        </w:rPr>
        <w:t>14</w:t>
      </w:r>
      <w:r>
        <w:rPr>
          <w:rFonts w:ascii="Times New Roman" w:hAnsi="Times New Roman" w:cs="Times New Roman"/>
          <w:sz w:val="24"/>
          <w:szCs w:val="24"/>
        </w:rPr>
        <w:t>Dunn,  831.</w:t>
      </w:r>
    </w:p>
    <w:p w14:paraId="04C8A6E4">
      <w:pPr>
        <w:spacing w:before="0" w:beforeAutospacing="0" w:line="240" w:lineRule="auto"/>
        <w:ind w:left="567" w:hanging="567"/>
        <w:jc w:val="both"/>
        <w:rPr>
          <w:rFonts w:ascii="Times New Roman" w:hAnsi="Times New Roman" w:cs="Times New Roman"/>
          <w:sz w:val="24"/>
          <w:szCs w:val="24"/>
        </w:rPr>
      </w:pPr>
      <w:r>
        <w:rPr>
          <w:rFonts w:ascii="Times New Roman" w:hAnsi="Times New Roman" w:cs="Times New Roman"/>
          <w:sz w:val="24"/>
          <w:szCs w:val="24"/>
          <w:vertAlign w:val="superscript"/>
        </w:rPr>
        <w:t>15</w:t>
      </w:r>
      <w:r>
        <w:rPr>
          <w:rFonts w:ascii="Times New Roman" w:hAnsi="Times New Roman" w:cs="Times New Roman"/>
          <w:sz w:val="24"/>
          <w:szCs w:val="24"/>
        </w:rPr>
        <w:t>Murray, 195</w:t>
      </w:r>
    </w:p>
    <w:p w14:paraId="20B7220A">
      <w:pPr>
        <w:spacing w:before="0" w:beforeAutospacing="0" w:line="240" w:lineRule="auto"/>
        <w:ind w:left="567" w:hanging="567"/>
        <w:jc w:val="both"/>
        <w:rPr>
          <w:rFonts w:ascii="Times New Roman" w:hAnsi="Times New Roman" w:cs="Times New Roman"/>
          <w:sz w:val="24"/>
          <w:szCs w:val="24"/>
        </w:rPr>
      </w:pPr>
      <w:r>
        <w:rPr>
          <w:rFonts w:ascii="Times New Roman" w:hAnsi="Times New Roman" w:cs="Times New Roman"/>
          <w:sz w:val="24"/>
          <w:szCs w:val="24"/>
          <w:vertAlign w:val="superscript"/>
        </w:rPr>
        <w:t>16</w:t>
      </w:r>
      <w:r>
        <w:rPr>
          <w:rFonts w:ascii="Times New Roman" w:hAnsi="Times New Roman" w:cs="Times New Roman"/>
          <w:sz w:val="24"/>
          <w:szCs w:val="24"/>
        </w:rPr>
        <w:t>Ibid,142</w:t>
      </w:r>
    </w:p>
    <w:p w14:paraId="2CA1AFBA">
      <w:pPr>
        <w:spacing w:before="0" w:beforeAutospacing="0" w:line="240" w:lineRule="auto"/>
        <w:ind w:left="567" w:hanging="567"/>
        <w:jc w:val="both"/>
        <w:rPr>
          <w:rFonts w:ascii="Times New Roman" w:hAnsi="Times New Roman" w:cs="Times New Roman"/>
          <w:sz w:val="24"/>
          <w:szCs w:val="24"/>
        </w:rPr>
      </w:pPr>
      <w:r>
        <w:rPr>
          <w:rFonts w:ascii="Times New Roman" w:hAnsi="Times New Roman" w:cs="Times New Roman"/>
          <w:sz w:val="24"/>
          <w:szCs w:val="24"/>
          <w:vertAlign w:val="superscript"/>
        </w:rPr>
        <w:t>17</w:t>
      </w:r>
      <w:r>
        <w:rPr>
          <w:rFonts w:ascii="Times New Roman" w:hAnsi="Times New Roman" w:cs="Times New Roman"/>
          <w:sz w:val="24"/>
          <w:szCs w:val="24"/>
        </w:rPr>
        <w:t>Ibid, 743.</w:t>
      </w:r>
    </w:p>
    <w:p w14:paraId="51DF4118">
      <w:pPr>
        <w:spacing w:before="0" w:beforeAutospacing="0" w:line="240" w:lineRule="auto"/>
        <w:ind w:left="567" w:hanging="567"/>
        <w:jc w:val="both"/>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vertAlign w:val="superscript"/>
        </w:rPr>
        <w:t>18</w:t>
      </w:r>
      <w:r>
        <w:rPr>
          <w:rFonts w:ascii="Times New Roman" w:hAnsi="Times New Roman" w:cs="Times New Roman"/>
          <w:sz w:val="24"/>
          <w:szCs w:val="24"/>
        </w:rPr>
        <w:t xml:space="preserve">The Liddell and Scott, </w:t>
      </w:r>
      <w:r>
        <w:rPr>
          <w:rFonts w:ascii="Times New Roman" w:hAnsi="Times New Roman" w:cs="Times New Roman"/>
          <w:i/>
          <w:sz w:val="24"/>
          <w:szCs w:val="24"/>
        </w:rPr>
        <w:t>A Greek-English Lexicon</w:t>
      </w:r>
      <w:r>
        <w:rPr>
          <w:rFonts w:ascii="Times New Roman" w:hAnsi="Times New Roman" w:cs="Times New Roman"/>
          <w:sz w:val="24"/>
          <w:szCs w:val="24"/>
        </w:rPr>
        <w:t>, 9th ed., Oxford: Clarendon Press, 1996), 264</w:t>
      </w:r>
    </w:p>
    <w:p w14:paraId="7CD11D57">
      <w:pPr>
        <w:spacing w:before="0" w:beforeAutospacing="0" w:line="240" w:lineRule="auto"/>
        <w:ind w:left="567" w:hanging="567"/>
        <w:jc w:val="both"/>
        <w:rPr>
          <w:rFonts w:ascii="Times New Roman" w:hAnsi="Times New Roman" w:cs="Times New Roman"/>
          <w:sz w:val="24"/>
          <w:szCs w:val="24"/>
        </w:rPr>
      </w:pPr>
      <w:r>
        <w:rPr>
          <w:rFonts w:ascii="Times New Roman" w:hAnsi="Times New Roman" w:cs="Times New Roman"/>
          <w:sz w:val="24"/>
          <w:szCs w:val="24"/>
          <w:vertAlign w:val="superscript"/>
        </w:rPr>
        <w:t>19</w:t>
      </w:r>
      <w:r>
        <w:rPr>
          <w:rFonts w:ascii="Times New Roman" w:hAnsi="Times New Roman" w:cs="Times New Roman"/>
          <w:sz w:val="24"/>
          <w:szCs w:val="24"/>
        </w:rPr>
        <w:t>Dunn, 830</w:t>
      </w:r>
    </w:p>
    <w:p w14:paraId="7D5F9AD2">
      <w:pPr>
        <w:spacing w:before="0" w:beforeAutospacing="0" w:line="240" w:lineRule="auto"/>
        <w:ind w:left="567" w:hanging="567"/>
        <w:jc w:val="both"/>
        <w:rPr>
          <w:rFonts w:ascii="Times New Roman" w:hAnsi="Times New Roman" w:cs="Times New Roman"/>
          <w:sz w:val="24"/>
          <w:szCs w:val="24"/>
        </w:rPr>
      </w:pPr>
      <w:r>
        <w:rPr>
          <w:rFonts w:ascii="Times New Roman" w:hAnsi="Times New Roman" w:cs="Times New Roman"/>
          <w:sz w:val="24"/>
          <w:szCs w:val="24"/>
          <w:vertAlign w:val="superscript"/>
        </w:rPr>
        <w:t>20</w:t>
      </w:r>
      <w:r>
        <w:rPr>
          <w:rFonts w:ascii="Times New Roman" w:hAnsi="Times New Roman" w:cs="Times New Roman"/>
          <w:sz w:val="24"/>
          <w:szCs w:val="24"/>
        </w:rPr>
        <w:t>Moo, 869</w:t>
      </w:r>
    </w:p>
    <w:p w14:paraId="57C3732F">
      <w:pPr>
        <w:spacing w:before="0" w:beforeAutospacing="0" w:line="240" w:lineRule="auto"/>
        <w:ind w:left="567" w:hanging="567"/>
        <w:jc w:val="both"/>
        <w:rPr>
          <w:rFonts w:ascii="Times New Roman" w:hAnsi="Times New Roman" w:cs="Times New Roman"/>
          <w:b/>
          <w:sz w:val="24"/>
          <w:szCs w:val="24"/>
        </w:rPr>
      </w:pPr>
      <w:r>
        <w:rPr>
          <w:rFonts w:ascii="Times New Roman" w:hAnsi="Times New Roman" w:cs="Times New Roman"/>
          <w:sz w:val="24"/>
          <w:szCs w:val="24"/>
          <w:vertAlign w:val="superscript"/>
        </w:rPr>
        <w:t>21</w:t>
      </w:r>
      <w:r>
        <w:rPr>
          <w:rFonts w:ascii="Times New Roman" w:hAnsi="Times New Roman" w:cs="Times New Roman"/>
          <w:sz w:val="24"/>
          <w:szCs w:val="24"/>
        </w:rPr>
        <w:t xml:space="preserve">J.Stott, </w:t>
      </w:r>
      <w:r>
        <w:rPr>
          <w:rFonts w:ascii="Times New Roman" w:hAnsi="Times New Roman" w:cs="Times New Roman"/>
          <w:i/>
          <w:sz w:val="24"/>
          <w:szCs w:val="24"/>
        </w:rPr>
        <w:t>The Message of Romans, IVP</w:t>
      </w:r>
      <w:r>
        <w:rPr>
          <w:rFonts w:ascii="Times New Roman" w:hAnsi="Times New Roman" w:cs="Times New Roman"/>
          <w:b/>
          <w:sz w:val="24"/>
          <w:szCs w:val="24"/>
        </w:rPr>
        <w:t xml:space="preserve">, </w:t>
      </w:r>
      <w:r>
        <w:rPr>
          <w:rFonts w:ascii="Times New Roman" w:hAnsi="Times New Roman" w:cs="Times New Roman"/>
          <w:sz w:val="24"/>
          <w:szCs w:val="24"/>
        </w:rPr>
        <w:t>(Leicester: Grand Rapids, 1994), 368</w:t>
      </w:r>
      <w:r>
        <w:rPr>
          <w:rFonts w:ascii="Times New Roman" w:hAnsi="Times New Roman" w:cs="Times New Roman"/>
          <w:b/>
          <w:sz w:val="24"/>
          <w:szCs w:val="24"/>
        </w:rPr>
        <w:t>.</w:t>
      </w:r>
    </w:p>
    <w:p w14:paraId="0026A686">
      <w:pPr>
        <w:spacing w:before="0" w:beforeAutospacing="0" w:line="240" w:lineRule="auto"/>
        <w:ind w:left="567" w:hanging="567"/>
        <w:jc w:val="both"/>
        <w:rPr>
          <w:rFonts w:ascii="Times New Roman" w:hAnsi="Times New Roman" w:cs="Times New Roman"/>
          <w:sz w:val="24"/>
          <w:szCs w:val="24"/>
        </w:rPr>
      </w:pPr>
      <w:r>
        <w:rPr>
          <w:rFonts w:ascii="Times New Roman" w:hAnsi="Times New Roman" w:cs="Times New Roman"/>
          <w:b/>
          <w:sz w:val="24"/>
          <w:szCs w:val="24"/>
          <w:vertAlign w:val="superscript"/>
        </w:rPr>
        <w:t>2</w:t>
      </w:r>
      <w:r>
        <w:rPr>
          <w:rFonts w:ascii="Times New Roman" w:hAnsi="Times New Roman" w:cs="Times New Roman"/>
          <w:sz w:val="24"/>
          <w:szCs w:val="24"/>
          <w:vertAlign w:val="superscript"/>
        </w:rPr>
        <w:t>2</w:t>
      </w:r>
      <w:r>
        <w:rPr>
          <w:rFonts w:ascii="Times New Roman" w:hAnsi="Times New Roman" w:cs="Times New Roman"/>
          <w:sz w:val="24"/>
          <w:szCs w:val="24"/>
        </w:rPr>
        <w:t xml:space="preserve">T. R Schreiner, </w:t>
      </w:r>
      <w:r>
        <w:rPr>
          <w:rFonts w:ascii="Times New Roman" w:hAnsi="Times New Roman" w:cs="Times New Roman"/>
          <w:i/>
          <w:sz w:val="24"/>
          <w:szCs w:val="24"/>
        </w:rPr>
        <w:t>Romans, Baker Exegetical Commentary on the New Testament</w:t>
      </w:r>
      <w:r>
        <w:rPr>
          <w:rFonts w:ascii="Times New Roman" w:hAnsi="Times New Roman" w:cs="Times New Roman"/>
          <w:sz w:val="24"/>
          <w:szCs w:val="24"/>
        </w:rPr>
        <w:t>, (Baker Academic: Grand Rapids, 1998), 752</w:t>
      </w:r>
    </w:p>
    <w:p w14:paraId="65CF0AFD">
      <w:pPr>
        <w:spacing w:before="0" w:beforeAutospacing="0" w:line="240" w:lineRule="auto"/>
        <w:ind w:left="567" w:hanging="567"/>
        <w:jc w:val="both"/>
        <w:rPr>
          <w:rFonts w:ascii="Times New Roman" w:hAnsi="Times New Roman" w:cs="Times New Roman"/>
          <w:sz w:val="24"/>
          <w:szCs w:val="24"/>
        </w:rPr>
      </w:pPr>
      <w:r>
        <w:rPr>
          <w:rFonts w:ascii="Times New Roman" w:hAnsi="Times New Roman" w:cs="Times New Roman"/>
          <w:sz w:val="24"/>
          <w:szCs w:val="24"/>
          <w:vertAlign w:val="superscript"/>
        </w:rPr>
        <w:t>23</w:t>
      </w:r>
      <w:r>
        <w:rPr>
          <w:rFonts w:ascii="Times New Roman" w:hAnsi="Times New Roman" w:cs="Times New Roman"/>
          <w:sz w:val="24"/>
          <w:szCs w:val="24"/>
        </w:rPr>
        <w:t>Ibid, 172</w:t>
      </w:r>
    </w:p>
    <w:p w14:paraId="52E58179">
      <w:pPr>
        <w:spacing w:before="0" w:beforeAutospacing="0" w:line="240" w:lineRule="auto"/>
        <w:ind w:left="567" w:hanging="567"/>
        <w:jc w:val="both"/>
        <w:rPr>
          <w:rFonts w:ascii="Times New Roman" w:hAnsi="Times New Roman" w:cs="Times New Roman"/>
          <w:sz w:val="24"/>
          <w:szCs w:val="24"/>
        </w:rPr>
      </w:pPr>
      <w:r>
        <w:rPr>
          <w:rFonts w:ascii="Times New Roman" w:hAnsi="Times New Roman" w:cs="Times New Roman"/>
          <w:sz w:val="24"/>
          <w:szCs w:val="24"/>
          <w:vertAlign w:val="superscript"/>
        </w:rPr>
        <w:t>24</w:t>
      </w:r>
      <w:r>
        <w:rPr>
          <w:rFonts w:ascii="Times New Roman" w:hAnsi="Times New Roman" w:cs="Times New Roman"/>
          <w:sz w:val="24"/>
          <w:szCs w:val="24"/>
        </w:rPr>
        <w:t>Ibid, 743.</w:t>
      </w:r>
    </w:p>
    <w:p w14:paraId="49A4E6F5">
      <w:pPr>
        <w:spacing w:before="0" w:beforeAutospacing="0" w:line="240" w:lineRule="auto"/>
        <w:ind w:left="567" w:hanging="567"/>
        <w:jc w:val="both"/>
        <w:rPr>
          <w:rFonts w:ascii="Times New Roman" w:hAnsi="Times New Roman" w:cs="Times New Roman"/>
          <w:sz w:val="24"/>
          <w:szCs w:val="24"/>
        </w:rPr>
      </w:pPr>
      <w:r>
        <w:rPr>
          <w:rFonts w:ascii="Times New Roman" w:hAnsi="Times New Roman" w:cs="Times New Roman"/>
          <w:sz w:val="24"/>
          <w:szCs w:val="24"/>
          <w:vertAlign w:val="superscript"/>
        </w:rPr>
        <w:t>25</w:t>
      </w:r>
      <w:r>
        <w:rPr>
          <w:rFonts w:ascii="Times New Roman" w:hAnsi="Times New Roman" w:cs="Times New Roman"/>
          <w:sz w:val="24"/>
          <w:szCs w:val="24"/>
        </w:rPr>
        <w:t>The Liddell-Scott, 313</w:t>
      </w:r>
    </w:p>
    <w:p w14:paraId="563D2356">
      <w:pPr>
        <w:spacing w:before="0" w:beforeAutospacing="0" w:line="240" w:lineRule="auto"/>
        <w:ind w:left="567" w:hanging="567"/>
        <w:jc w:val="both"/>
        <w:rPr>
          <w:rFonts w:ascii="Times New Roman" w:hAnsi="Times New Roman" w:cs="Times New Roman"/>
          <w:sz w:val="24"/>
          <w:szCs w:val="24"/>
        </w:rPr>
      </w:pPr>
      <w:r>
        <w:rPr>
          <w:rFonts w:ascii="Times New Roman" w:hAnsi="Times New Roman" w:cs="Times New Roman"/>
          <w:sz w:val="24"/>
          <w:szCs w:val="24"/>
          <w:vertAlign w:val="superscript"/>
        </w:rPr>
        <w:t>26</w:t>
      </w:r>
      <w:r>
        <w:rPr>
          <w:rFonts w:ascii="Times New Roman" w:hAnsi="Times New Roman" w:cs="Times New Roman"/>
          <w:sz w:val="24"/>
          <w:szCs w:val="24"/>
        </w:rPr>
        <w:t>Moo, 870</w:t>
      </w:r>
    </w:p>
    <w:p w14:paraId="02818E63">
      <w:pPr>
        <w:spacing w:before="0" w:beforeAutospacing="0" w:line="240" w:lineRule="auto"/>
        <w:ind w:left="567" w:hanging="567"/>
        <w:jc w:val="both"/>
        <w:rPr>
          <w:rFonts w:ascii="Times New Roman" w:hAnsi="Times New Roman" w:cs="Times New Roman"/>
          <w:sz w:val="24"/>
          <w:szCs w:val="24"/>
        </w:rPr>
      </w:pPr>
      <w:r>
        <w:rPr>
          <w:rFonts w:ascii="Times New Roman" w:hAnsi="Times New Roman" w:cs="Times New Roman"/>
          <w:sz w:val="24"/>
          <w:szCs w:val="24"/>
          <w:vertAlign w:val="superscript"/>
        </w:rPr>
        <w:t>27</w:t>
      </w:r>
      <w:r>
        <w:rPr>
          <w:rFonts w:ascii="Times New Roman" w:hAnsi="Times New Roman" w:cs="Times New Roman"/>
          <w:sz w:val="24"/>
          <w:szCs w:val="24"/>
        </w:rPr>
        <w:t>Dunn, 831</w:t>
      </w:r>
    </w:p>
    <w:p w14:paraId="3F400DE8">
      <w:pPr>
        <w:spacing w:before="0" w:beforeAutospacing="0" w:line="240" w:lineRule="auto"/>
        <w:ind w:left="567" w:hanging="567"/>
        <w:jc w:val="both"/>
        <w:rPr>
          <w:rFonts w:ascii="Times New Roman" w:hAnsi="Times New Roman" w:cs="Times New Roman"/>
          <w:sz w:val="24"/>
          <w:szCs w:val="24"/>
        </w:rPr>
      </w:pPr>
      <w:r>
        <w:rPr>
          <w:rFonts w:ascii="Times New Roman" w:hAnsi="Times New Roman" w:cs="Times New Roman"/>
          <w:sz w:val="24"/>
          <w:szCs w:val="24"/>
          <w:vertAlign w:val="superscript"/>
        </w:rPr>
        <w:t>28</w:t>
      </w:r>
      <w:r>
        <w:rPr>
          <w:rFonts w:ascii="Times New Roman" w:hAnsi="Times New Roman" w:cs="Times New Roman"/>
          <w:sz w:val="24"/>
          <w:szCs w:val="24"/>
        </w:rPr>
        <w:t>Schreiner, 753</w:t>
      </w:r>
    </w:p>
    <w:p w14:paraId="176261FD">
      <w:pPr>
        <w:spacing w:before="0" w:beforeAutospacing="0" w:line="240" w:lineRule="auto"/>
        <w:ind w:left="567" w:hanging="567"/>
        <w:jc w:val="both"/>
        <w:rPr>
          <w:rFonts w:ascii="Times New Roman" w:hAnsi="Times New Roman" w:cs="Times New Roman"/>
          <w:sz w:val="24"/>
          <w:szCs w:val="24"/>
        </w:rPr>
      </w:pPr>
      <w:r>
        <w:rPr>
          <w:rFonts w:ascii="Times New Roman" w:hAnsi="Times New Roman" w:cs="Times New Roman"/>
          <w:sz w:val="24"/>
          <w:szCs w:val="24"/>
          <w:vertAlign w:val="superscript"/>
        </w:rPr>
        <w:t>29</w:t>
      </w:r>
      <w:r>
        <w:rPr>
          <w:rFonts w:ascii="Times New Roman" w:hAnsi="Times New Roman" w:cs="Times New Roman"/>
          <w:sz w:val="24"/>
          <w:szCs w:val="24"/>
        </w:rPr>
        <w:t>Stott, 369</w:t>
      </w:r>
    </w:p>
    <w:p w14:paraId="3455F62F">
      <w:pPr>
        <w:spacing w:before="0" w:beforeAutospacing="0" w:line="240" w:lineRule="auto"/>
        <w:ind w:left="567" w:hanging="567"/>
        <w:jc w:val="both"/>
        <w:rPr>
          <w:rFonts w:ascii="Times New Roman" w:hAnsi="Times New Roman" w:cs="Times New Roman"/>
          <w:sz w:val="24"/>
          <w:szCs w:val="24"/>
        </w:rPr>
      </w:pPr>
      <w:r>
        <w:rPr>
          <w:rFonts w:ascii="Times New Roman" w:hAnsi="Times New Roman" w:cs="Times New Roman"/>
          <w:sz w:val="24"/>
          <w:szCs w:val="24"/>
          <w:vertAlign w:val="superscript"/>
        </w:rPr>
        <w:t>30</w:t>
      </w:r>
      <w:r>
        <w:rPr>
          <w:rFonts w:ascii="Times New Roman" w:hAnsi="Times New Roman" w:cs="Times New Roman"/>
          <w:sz w:val="24"/>
          <w:szCs w:val="24"/>
        </w:rPr>
        <w:t>Bauer, Danker, Arndt, and Gingrich, 743.</w:t>
      </w:r>
    </w:p>
    <w:p w14:paraId="60D249A8">
      <w:pPr>
        <w:spacing w:before="0" w:beforeAutospacing="0" w:line="240" w:lineRule="auto"/>
        <w:ind w:left="567" w:hanging="567"/>
        <w:jc w:val="both"/>
        <w:rPr>
          <w:rFonts w:ascii="Times New Roman" w:hAnsi="Times New Roman" w:cs="Times New Roman"/>
          <w:sz w:val="24"/>
          <w:szCs w:val="24"/>
        </w:rPr>
      </w:pPr>
      <w:r>
        <w:rPr>
          <w:rFonts w:ascii="Times New Roman" w:hAnsi="Times New Roman" w:cs="Times New Roman"/>
          <w:sz w:val="24"/>
          <w:szCs w:val="24"/>
          <w:vertAlign w:val="superscript"/>
        </w:rPr>
        <w:t>31</w:t>
      </w:r>
      <w:r>
        <w:rPr>
          <w:rFonts w:ascii="Times New Roman" w:hAnsi="Times New Roman" w:cs="Times New Roman"/>
          <w:sz w:val="24"/>
          <w:szCs w:val="24"/>
        </w:rPr>
        <w:t>The Liddell-Scott-Jones , 245</w:t>
      </w:r>
    </w:p>
    <w:p w14:paraId="7E609109">
      <w:pPr>
        <w:spacing w:before="0" w:beforeAutospacing="0" w:line="240" w:lineRule="auto"/>
        <w:ind w:left="567" w:hanging="567"/>
        <w:jc w:val="both"/>
        <w:rPr>
          <w:rFonts w:ascii="Times New Roman" w:hAnsi="Times New Roman" w:cs="Times New Roman"/>
          <w:sz w:val="24"/>
          <w:szCs w:val="24"/>
        </w:rPr>
      </w:pPr>
      <w:r>
        <w:rPr>
          <w:rFonts w:ascii="Times New Roman" w:hAnsi="Times New Roman" w:cs="Times New Roman"/>
          <w:sz w:val="24"/>
          <w:szCs w:val="24"/>
          <w:vertAlign w:val="superscript"/>
        </w:rPr>
        <w:t>32</w:t>
      </w:r>
      <w:r>
        <w:rPr>
          <w:rFonts w:ascii="Times New Roman" w:hAnsi="Times New Roman" w:cs="Times New Roman"/>
          <w:sz w:val="24"/>
          <w:szCs w:val="24"/>
        </w:rPr>
        <w:t>Moo, 874</w:t>
      </w:r>
    </w:p>
    <w:p w14:paraId="59A912C2">
      <w:pPr>
        <w:spacing w:before="0" w:beforeAutospacing="0" w:line="240" w:lineRule="auto"/>
        <w:ind w:left="567" w:hanging="567"/>
        <w:jc w:val="both"/>
        <w:rPr>
          <w:rFonts w:ascii="Times New Roman" w:hAnsi="Times New Roman" w:cs="Times New Roman"/>
          <w:sz w:val="24"/>
          <w:szCs w:val="24"/>
        </w:rPr>
      </w:pPr>
      <w:r>
        <w:rPr>
          <w:rFonts w:ascii="Times New Roman" w:hAnsi="Times New Roman" w:cs="Times New Roman"/>
          <w:sz w:val="24"/>
          <w:szCs w:val="24"/>
          <w:vertAlign w:val="superscript"/>
        </w:rPr>
        <w:t>33</w:t>
      </w:r>
      <w:r>
        <w:rPr>
          <w:rFonts w:ascii="Times New Roman" w:hAnsi="Times New Roman" w:cs="Times New Roman"/>
          <w:sz w:val="24"/>
          <w:szCs w:val="24"/>
        </w:rPr>
        <w:t>Dunn, 832</w:t>
      </w:r>
    </w:p>
    <w:p w14:paraId="46418C7F">
      <w:pPr>
        <w:spacing w:before="0" w:beforeAutospacing="0" w:line="240" w:lineRule="auto"/>
        <w:ind w:left="567" w:hanging="567"/>
        <w:jc w:val="both"/>
        <w:rPr>
          <w:rFonts w:ascii="Times New Roman" w:hAnsi="Times New Roman" w:cs="Times New Roman"/>
          <w:sz w:val="24"/>
          <w:szCs w:val="24"/>
        </w:rPr>
      </w:pPr>
      <w:r>
        <w:rPr>
          <w:rFonts w:ascii="Times New Roman" w:hAnsi="Times New Roman" w:cs="Times New Roman"/>
          <w:sz w:val="24"/>
          <w:szCs w:val="24"/>
          <w:vertAlign w:val="superscript"/>
        </w:rPr>
        <w:t>34</w:t>
      </w:r>
      <w:r>
        <w:rPr>
          <w:rFonts w:ascii="Times New Roman" w:hAnsi="Times New Roman" w:cs="Times New Roman"/>
          <w:sz w:val="24"/>
          <w:szCs w:val="24"/>
        </w:rPr>
        <w:t>Schreiner,754</w:t>
      </w:r>
    </w:p>
    <w:p w14:paraId="5BB7ACD1">
      <w:pPr>
        <w:spacing w:before="0" w:beforeAutospacing="0" w:line="240" w:lineRule="auto"/>
        <w:ind w:left="567" w:hanging="567"/>
        <w:jc w:val="both"/>
        <w:rPr>
          <w:rFonts w:ascii="Times New Roman" w:hAnsi="Times New Roman" w:cs="Times New Roman"/>
          <w:sz w:val="24"/>
          <w:szCs w:val="24"/>
        </w:rPr>
      </w:pPr>
      <w:r>
        <w:rPr>
          <w:rFonts w:ascii="Times New Roman" w:hAnsi="Times New Roman" w:cs="Times New Roman"/>
          <w:sz w:val="24"/>
          <w:szCs w:val="24"/>
          <w:vertAlign w:val="superscript"/>
        </w:rPr>
        <w:t>35</w:t>
      </w:r>
      <w:r>
        <w:rPr>
          <w:rFonts w:ascii="Times New Roman" w:hAnsi="Times New Roman" w:cs="Times New Roman"/>
          <w:sz w:val="24"/>
          <w:szCs w:val="24"/>
        </w:rPr>
        <w:t>Bauer, Danker, Arndt, and Gingrich, 742.</w:t>
      </w:r>
    </w:p>
    <w:p w14:paraId="306DAF1C">
      <w:pPr>
        <w:spacing w:before="0" w:beforeAutospacing="0" w:line="240" w:lineRule="auto"/>
        <w:ind w:left="567" w:hanging="567"/>
        <w:jc w:val="both"/>
        <w:rPr>
          <w:rFonts w:ascii="Times New Roman" w:hAnsi="Times New Roman" w:cs="Times New Roman"/>
          <w:sz w:val="24"/>
          <w:szCs w:val="24"/>
        </w:rPr>
      </w:pPr>
      <w:r>
        <w:rPr>
          <w:rFonts w:ascii="Times New Roman" w:hAnsi="Times New Roman" w:cs="Times New Roman"/>
          <w:sz w:val="24"/>
          <w:szCs w:val="24"/>
          <w:vertAlign w:val="superscript"/>
        </w:rPr>
        <w:t>36</w:t>
      </w:r>
      <w:r>
        <w:rPr>
          <w:rFonts w:ascii="Times New Roman" w:hAnsi="Times New Roman" w:cs="Times New Roman"/>
          <w:sz w:val="24"/>
          <w:szCs w:val="24"/>
        </w:rPr>
        <w:t>Moo, 868</w:t>
      </w:r>
    </w:p>
    <w:p w14:paraId="7AE38F33">
      <w:pPr>
        <w:spacing w:before="0" w:beforeAutospacing="0" w:line="240" w:lineRule="auto"/>
        <w:ind w:left="567" w:hanging="567"/>
        <w:jc w:val="both"/>
        <w:rPr>
          <w:rFonts w:ascii="Times New Roman" w:hAnsi="Times New Roman" w:cs="Times New Roman"/>
          <w:sz w:val="24"/>
          <w:szCs w:val="24"/>
        </w:rPr>
      </w:pPr>
      <w:r>
        <w:rPr>
          <w:rFonts w:ascii="Times New Roman" w:hAnsi="Times New Roman" w:cs="Times New Roman"/>
          <w:sz w:val="24"/>
          <w:szCs w:val="24"/>
          <w:vertAlign w:val="superscript"/>
        </w:rPr>
        <w:t>37</w:t>
      </w:r>
      <w:r>
        <w:rPr>
          <w:rFonts w:ascii="Times New Roman" w:hAnsi="Times New Roman" w:cs="Times New Roman"/>
          <w:sz w:val="24"/>
          <w:szCs w:val="24"/>
        </w:rPr>
        <w:t>Schreiner, 751</w:t>
      </w:r>
    </w:p>
    <w:p w14:paraId="06F9830E">
      <w:pPr>
        <w:spacing w:before="0" w:beforeAutospacing="0" w:line="240" w:lineRule="auto"/>
        <w:ind w:left="567" w:hanging="567"/>
        <w:jc w:val="both"/>
        <w:rPr>
          <w:rFonts w:ascii="Times New Roman" w:hAnsi="Times New Roman" w:cs="Times New Roman"/>
          <w:sz w:val="24"/>
          <w:szCs w:val="24"/>
        </w:rPr>
      </w:pPr>
      <w:r>
        <w:rPr>
          <w:rFonts w:ascii="Times New Roman" w:hAnsi="Times New Roman" w:cs="Times New Roman"/>
          <w:sz w:val="24"/>
          <w:szCs w:val="24"/>
          <w:vertAlign w:val="superscript"/>
        </w:rPr>
        <w:t>38</w:t>
      </w:r>
      <w:r>
        <w:rPr>
          <w:rFonts w:ascii="Times New Roman" w:hAnsi="Times New Roman" w:cs="Times New Roman"/>
          <w:sz w:val="24"/>
          <w:szCs w:val="24"/>
        </w:rPr>
        <w:t>Liddell &amp; Scott, 456</w:t>
      </w:r>
    </w:p>
    <w:p w14:paraId="2D255660">
      <w:pPr>
        <w:spacing w:before="0" w:beforeAutospacing="0" w:line="240" w:lineRule="auto"/>
        <w:ind w:left="567" w:hanging="567"/>
        <w:jc w:val="both"/>
        <w:rPr>
          <w:rFonts w:ascii="Times New Roman" w:hAnsi="Times New Roman" w:cs="Times New Roman"/>
          <w:sz w:val="24"/>
          <w:szCs w:val="24"/>
        </w:rPr>
      </w:pPr>
      <w:r>
        <w:rPr>
          <w:rFonts w:ascii="Times New Roman" w:hAnsi="Times New Roman" w:cs="Times New Roman"/>
          <w:sz w:val="24"/>
          <w:szCs w:val="24"/>
          <w:vertAlign w:val="superscript"/>
        </w:rPr>
        <w:t>39</w:t>
      </w:r>
      <w:r>
        <w:rPr>
          <w:rFonts w:ascii="Times New Roman" w:hAnsi="Times New Roman" w:cs="Times New Roman"/>
          <w:sz w:val="24"/>
          <w:szCs w:val="24"/>
        </w:rPr>
        <w:t>Dunn,  832</w:t>
      </w:r>
    </w:p>
    <w:p w14:paraId="0C6F73C0">
      <w:pPr>
        <w:spacing w:before="0" w:beforeAutospacing="0" w:line="240" w:lineRule="auto"/>
        <w:ind w:left="567" w:hanging="567"/>
        <w:jc w:val="both"/>
        <w:rPr>
          <w:rFonts w:ascii="Times New Roman" w:hAnsi="Times New Roman" w:cs="Times New Roman"/>
          <w:b/>
          <w:sz w:val="24"/>
          <w:szCs w:val="24"/>
        </w:rPr>
      </w:pPr>
      <w:r>
        <w:rPr>
          <w:rFonts w:ascii="Times New Roman" w:hAnsi="Times New Roman" w:cs="Times New Roman"/>
          <w:sz w:val="24"/>
          <w:szCs w:val="24"/>
          <w:vertAlign w:val="superscript"/>
        </w:rPr>
        <w:t>40</w:t>
      </w:r>
      <w:r>
        <w:rPr>
          <w:rFonts w:ascii="Times New Roman" w:hAnsi="Times New Roman" w:cs="Times New Roman"/>
          <w:sz w:val="24"/>
          <w:szCs w:val="24"/>
        </w:rPr>
        <w:t>Bauer, Danker, Arndt, and Gingrich, 141</w:t>
      </w:r>
    </w:p>
    <w:p w14:paraId="2AB83C2E">
      <w:pPr>
        <w:spacing w:before="0" w:beforeAutospacing="0" w:line="240" w:lineRule="auto"/>
        <w:ind w:left="567" w:hanging="567"/>
        <w:jc w:val="both"/>
        <w:rPr>
          <w:rFonts w:ascii="Times New Roman" w:hAnsi="Times New Roman" w:cs="Times New Roman"/>
          <w:sz w:val="24"/>
          <w:szCs w:val="24"/>
        </w:rPr>
      </w:pPr>
      <w:r>
        <w:rPr>
          <w:rFonts w:ascii="Times New Roman" w:hAnsi="Times New Roman" w:cs="Times New Roman"/>
          <w:sz w:val="24"/>
          <w:szCs w:val="24"/>
          <w:vertAlign w:val="superscript"/>
        </w:rPr>
        <w:t>41</w:t>
      </w:r>
      <w:r>
        <w:rPr>
          <w:rFonts w:ascii="Times New Roman" w:hAnsi="Times New Roman" w:cs="Times New Roman"/>
          <w:sz w:val="24"/>
          <w:szCs w:val="24"/>
        </w:rPr>
        <w:t>Stott, 368</w:t>
      </w:r>
    </w:p>
    <w:p w14:paraId="78E989B9">
      <w:pPr>
        <w:spacing w:before="0" w:beforeAutospacing="0" w:line="240" w:lineRule="auto"/>
        <w:ind w:left="567" w:hanging="567"/>
        <w:jc w:val="both"/>
        <w:rPr>
          <w:rFonts w:ascii="Times New Roman" w:hAnsi="Times New Roman" w:cs="Times New Roman"/>
          <w:sz w:val="24"/>
          <w:szCs w:val="24"/>
        </w:rPr>
      </w:pPr>
      <w:r>
        <w:rPr>
          <w:rFonts w:ascii="Times New Roman" w:hAnsi="Times New Roman" w:cs="Times New Roman"/>
          <w:sz w:val="24"/>
          <w:szCs w:val="24"/>
          <w:vertAlign w:val="superscript"/>
        </w:rPr>
        <w:t>42</w:t>
      </w:r>
      <w:r>
        <w:rPr>
          <w:rFonts w:ascii="Times New Roman" w:hAnsi="Times New Roman" w:cs="Times New Roman"/>
          <w:sz w:val="24"/>
          <w:szCs w:val="24"/>
        </w:rPr>
        <w:t>Bauer, Danker, Arndt, and Gingrich, 128</w:t>
      </w:r>
    </w:p>
    <w:p w14:paraId="32557651">
      <w:pPr>
        <w:spacing w:before="0" w:beforeAutospacing="0" w:line="240" w:lineRule="auto"/>
        <w:ind w:left="567" w:hanging="567"/>
        <w:jc w:val="both"/>
        <w:rPr>
          <w:rFonts w:ascii="Times New Roman" w:hAnsi="Times New Roman" w:cs="Times New Roman"/>
          <w:sz w:val="24"/>
          <w:szCs w:val="24"/>
        </w:rPr>
      </w:pPr>
      <w:r>
        <w:rPr>
          <w:rFonts w:ascii="Times New Roman" w:hAnsi="Times New Roman" w:cs="Times New Roman"/>
          <w:sz w:val="24"/>
          <w:szCs w:val="24"/>
          <w:vertAlign w:val="superscript"/>
        </w:rPr>
        <w:t>4</w:t>
      </w:r>
      <w:r>
        <w:rPr>
          <w:rFonts w:ascii="Times New Roman" w:hAnsi="Times New Roman" w:cs="Times New Roman"/>
          <w:b/>
          <w:sz w:val="24"/>
          <w:szCs w:val="24"/>
          <w:vertAlign w:val="superscript"/>
        </w:rPr>
        <w:t>3</w:t>
      </w:r>
      <w:r>
        <w:rPr>
          <w:rFonts w:ascii="Times New Roman" w:hAnsi="Times New Roman" w:cs="Times New Roman"/>
          <w:sz w:val="24"/>
          <w:szCs w:val="24"/>
        </w:rPr>
        <w:t xml:space="preserve">G.D. Fee, </w:t>
      </w:r>
      <w:r>
        <w:rPr>
          <w:rFonts w:ascii="Times New Roman" w:hAnsi="Times New Roman" w:cs="Times New Roman"/>
          <w:i/>
          <w:sz w:val="24"/>
          <w:szCs w:val="24"/>
        </w:rPr>
        <w:t>Pauline Christology</w:t>
      </w:r>
      <w:r>
        <w:rPr>
          <w:rFonts w:ascii="Times New Roman" w:hAnsi="Times New Roman" w:cs="Times New Roman"/>
          <w:b/>
          <w:sz w:val="24"/>
          <w:szCs w:val="24"/>
        </w:rPr>
        <w:t xml:space="preserve">, </w:t>
      </w:r>
      <w:r>
        <w:rPr>
          <w:rFonts w:ascii="Times New Roman" w:hAnsi="Times New Roman"/>
          <w:sz w:val="24"/>
          <w:szCs w:val="24"/>
        </w:rPr>
        <w:t>(Peabody, MA: Hendrickson Publishers,</w:t>
      </w:r>
      <w:r>
        <w:rPr>
          <w:rFonts w:ascii="Times New Roman" w:hAnsi="Times New Roman" w:cs="Times New Roman"/>
          <w:b/>
          <w:sz w:val="24"/>
          <w:szCs w:val="24"/>
        </w:rPr>
        <w:t xml:space="preserve"> </w:t>
      </w:r>
      <w:r>
        <w:rPr>
          <w:rFonts w:ascii="Times New Roman" w:hAnsi="Times New Roman" w:cs="Times New Roman"/>
          <w:sz w:val="24"/>
          <w:szCs w:val="24"/>
        </w:rPr>
        <w:t>2007)</w:t>
      </w:r>
      <w:r>
        <w:rPr>
          <w:rFonts w:ascii="Times New Roman" w:hAnsi="Times New Roman" w:cs="Times New Roman"/>
          <w:b/>
          <w:sz w:val="24"/>
          <w:szCs w:val="24"/>
        </w:rPr>
        <w:t xml:space="preserve">, </w:t>
      </w:r>
      <w:r>
        <w:rPr>
          <w:rFonts w:ascii="Times New Roman" w:hAnsi="Times New Roman" w:cs="Times New Roman"/>
          <w:sz w:val="24"/>
          <w:szCs w:val="24"/>
        </w:rPr>
        <w:t>426</w:t>
      </w:r>
    </w:p>
    <w:p w14:paraId="13A8E1DD">
      <w:pPr>
        <w:spacing w:before="0" w:beforeAutospacing="0" w:line="240" w:lineRule="auto"/>
        <w:ind w:left="567" w:hanging="567"/>
        <w:jc w:val="both"/>
        <w:rPr>
          <w:rFonts w:ascii="Times New Roman" w:hAnsi="Times New Roman" w:cs="Times New Roman"/>
          <w:sz w:val="24"/>
          <w:szCs w:val="24"/>
        </w:rPr>
      </w:pPr>
      <w:r>
        <w:rPr>
          <w:rFonts w:ascii="Times New Roman" w:hAnsi="Times New Roman" w:cs="Times New Roman"/>
          <w:sz w:val="24"/>
          <w:szCs w:val="24"/>
          <w:vertAlign w:val="superscript"/>
        </w:rPr>
        <w:t>44</w:t>
      </w:r>
      <w:r>
        <w:rPr>
          <w:rFonts w:ascii="Times New Roman" w:hAnsi="Times New Roman" w:cs="Times New Roman"/>
          <w:sz w:val="24"/>
          <w:szCs w:val="24"/>
        </w:rPr>
        <w:t xml:space="preserve">Schreiner, </w:t>
      </w:r>
      <w:r>
        <w:rPr>
          <w:rFonts w:ascii="Times New Roman" w:hAnsi="Times New Roman" w:cs="Times New Roman"/>
          <w:i/>
          <w:sz w:val="24"/>
          <w:szCs w:val="24"/>
        </w:rPr>
        <w:t>Romans</w:t>
      </w:r>
      <w:r>
        <w:rPr>
          <w:rFonts w:ascii="Times New Roman" w:hAnsi="Times New Roman" w:cs="Times New Roman"/>
          <w:sz w:val="24"/>
          <w:szCs w:val="24"/>
        </w:rPr>
        <w:t>, 752</w:t>
      </w:r>
    </w:p>
    <w:p w14:paraId="50ED85FE">
      <w:pPr>
        <w:spacing w:before="0" w:beforeAutospacing="0" w:line="240" w:lineRule="auto"/>
        <w:ind w:left="567" w:hanging="567"/>
        <w:jc w:val="both"/>
        <w:rPr>
          <w:rFonts w:ascii="Times New Roman" w:hAnsi="Times New Roman" w:cs="Times New Roman"/>
          <w:sz w:val="24"/>
          <w:szCs w:val="24"/>
        </w:rPr>
      </w:pPr>
      <w:r>
        <w:rPr>
          <w:rFonts w:ascii="Times New Roman" w:hAnsi="Times New Roman" w:cs="Times New Roman"/>
          <w:sz w:val="24"/>
          <w:szCs w:val="24"/>
          <w:vertAlign w:val="superscript"/>
        </w:rPr>
        <w:t>45</w:t>
      </w:r>
      <w:r>
        <w:rPr>
          <w:rFonts w:ascii="Times New Roman" w:hAnsi="Times New Roman" w:cs="Times New Roman"/>
          <w:sz w:val="24"/>
          <w:szCs w:val="24"/>
        </w:rPr>
        <w:t>Bauer, Danker, Arndt, and Gingrich, 697, 742</w:t>
      </w:r>
    </w:p>
    <w:p w14:paraId="433A4FA5">
      <w:pPr>
        <w:spacing w:before="0" w:beforeAutospacing="0" w:line="240" w:lineRule="auto"/>
        <w:ind w:left="567" w:hanging="567"/>
        <w:jc w:val="both"/>
        <w:rPr>
          <w:rFonts w:ascii="Times New Roman" w:hAnsi="Times New Roman" w:cs="Times New Roman"/>
          <w:sz w:val="24"/>
          <w:szCs w:val="24"/>
        </w:rPr>
      </w:pPr>
      <w:r>
        <w:rPr>
          <w:rFonts w:ascii="Times New Roman" w:hAnsi="Times New Roman" w:cs="Times New Roman"/>
          <w:sz w:val="24"/>
          <w:szCs w:val="24"/>
          <w:vertAlign w:val="superscript"/>
        </w:rPr>
        <w:t>46</w:t>
      </w:r>
      <w:r>
        <w:rPr>
          <w:rFonts w:ascii="Times New Roman" w:hAnsi="Times New Roman" w:cs="Times New Roman"/>
          <w:sz w:val="24"/>
          <w:szCs w:val="24"/>
        </w:rPr>
        <w:t xml:space="preserve">T.K. Gorman, </w:t>
      </w:r>
      <w:r>
        <w:rPr>
          <w:rFonts w:ascii="Times New Roman" w:hAnsi="Times New Roman" w:cs="Times New Roman"/>
          <w:i/>
          <w:sz w:val="24"/>
          <w:szCs w:val="24"/>
        </w:rPr>
        <w:t>Apostle of the Crucified Lord</w:t>
      </w:r>
      <w:r>
        <w:rPr>
          <w:rFonts w:ascii="Times New Roman" w:hAnsi="Times New Roman" w:cs="Times New Roman"/>
          <w:sz w:val="24"/>
          <w:szCs w:val="24"/>
        </w:rPr>
        <w:t>, (Eerdmans: Grand Rapids, 2004), 459</w:t>
      </w:r>
    </w:p>
    <w:p w14:paraId="2F0E35C6">
      <w:pPr>
        <w:spacing w:before="0" w:beforeAutospacing="0" w:line="240" w:lineRule="auto"/>
        <w:ind w:left="567" w:hanging="567"/>
        <w:jc w:val="both"/>
        <w:rPr>
          <w:rFonts w:ascii="Times New Roman" w:hAnsi="Times New Roman" w:cs="Times New Roman"/>
          <w:sz w:val="24"/>
          <w:szCs w:val="24"/>
        </w:rPr>
      </w:pPr>
      <w:r>
        <w:rPr>
          <w:rFonts w:ascii="Times New Roman" w:hAnsi="Times New Roman" w:cs="Times New Roman"/>
          <w:sz w:val="24"/>
          <w:szCs w:val="24"/>
          <w:vertAlign w:val="superscript"/>
        </w:rPr>
        <w:t>47</w:t>
      </w:r>
      <w:r>
        <w:rPr>
          <w:rFonts w:ascii="Times New Roman" w:hAnsi="Times New Roman" w:cs="Times New Roman"/>
          <w:sz w:val="24"/>
          <w:szCs w:val="24"/>
        </w:rPr>
        <w:t xml:space="preserve">Fee, </w:t>
      </w:r>
      <w:r>
        <w:rPr>
          <w:rFonts w:ascii="Times New Roman" w:hAnsi="Times New Roman" w:cs="Times New Roman"/>
          <w:i/>
          <w:sz w:val="24"/>
          <w:szCs w:val="24"/>
        </w:rPr>
        <w:t>God’s Empowering Presence</w:t>
      </w:r>
      <w:r>
        <w:rPr>
          <w:rFonts w:ascii="Times New Roman" w:hAnsi="Times New Roman" w:cs="Times New Roman"/>
          <w:sz w:val="24"/>
          <w:szCs w:val="24"/>
        </w:rPr>
        <w:t>, (</w:t>
      </w:r>
      <w:r>
        <w:rPr>
          <w:rFonts w:ascii="Times New Roman" w:hAnsi="Times New Roman"/>
          <w:sz w:val="24"/>
          <w:szCs w:val="24"/>
        </w:rPr>
        <w:t xml:space="preserve">Peabody, MA: </w:t>
      </w:r>
      <w:r>
        <w:rPr>
          <w:rFonts w:ascii="Times New Roman" w:hAnsi="Times New Roman" w:cs="Times New Roman"/>
          <w:sz w:val="24"/>
          <w:szCs w:val="24"/>
        </w:rPr>
        <w:t>Hendrickson, 1994), 884.</w:t>
      </w:r>
    </w:p>
    <w:p w14:paraId="4F31B5AF">
      <w:pPr>
        <w:spacing w:before="0" w:beforeAutospacing="0" w:line="240" w:lineRule="auto"/>
        <w:ind w:left="567" w:hanging="567"/>
        <w:rPr>
          <w:rFonts w:ascii="Times New Roman" w:hAnsi="Times New Roman" w:cs="Times New Roman"/>
          <w:sz w:val="24"/>
          <w:szCs w:val="24"/>
        </w:rPr>
      </w:pPr>
      <w:r>
        <w:rPr>
          <w:rFonts w:ascii="Times New Roman" w:hAnsi="Times New Roman" w:cs="Times New Roman"/>
          <w:sz w:val="24"/>
          <w:szCs w:val="24"/>
          <w:vertAlign w:val="superscript"/>
        </w:rPr>
        <w:t>48</w:t>
      </w:r>
      <w:r>
        <w:rPr>
          <w:rFonts w:ascii="Times New Roman" w:hAnsi="Times New Roman" w:cs="Times New Roman"/>
          <w:sz w:val="24"/>
          <w:szCs w:val="24"/>
        </w:rPr>
        <w:t xml:space="preserve">George C. Homans, “Social Behaviour as Exchange.” </w:t>
      </w:r>
      <w:r>
        <w:rPr>
          <w:rFonts w:ascii="Times New Roman" w:hAnsi="Times New Roman" w:cs="Times New Roman"/>
          <w:i/>
          <w:iCs/>
          <w:sz w:val="24"/>
          <w:szCs w:val="24"/>
        </w:rPr>
        <w:t xml:space="preserve">American Journal of Sociology </w:t>
      </w:r>
      <w:r>
        <w:rPr>
          <w:rFonts w:ascii="Times New Roman" w:hAnsi="Times New Roman" w:cs="Times New Roman"/>
          <w:sz w:val="24"/>
          <w:szCs w:val="24"/>
        </w:rPr>
        <w:t>(1958) 63, 6: 597-606.</w:t>
      </w:r>
    </w:p>
    <w:p w14:paraId="4113E2BA">
      <w:pPr>
        <w:spacing w:before="0" w:beforeAutospacing="0" w:line="240" w:lineRule="auto"/>
        <w:ind w:left="567" w:hanging="567"/>
        <w:jc w:val="both"/>
        <w:rPr>
          <w:rFonts w:ascii="Times New Roman" w:hAnsi="Times New Roman" w:cs="Times New Roman"/>
          <w:sz w:val="24"/>
          <w:szCs w:val="24"/>
        </w:rPr>
      </w:pPr>
      <w:r>
        <w:rPr>
          <w:rFonts w:ascii="Times New Roman" w:hAnsi="Times New Roman" w:cs="Times New Roman"/>
          <w:sz w:val="24"/>
          <w:szCs w:val="24"/>
          <w:vertAlign w:val="superscript"/>
        </w:rPr>
        <w:t>49</w:t>
      </w:r>
      <w:r>
        <w:rPr>
          <w:rFonts w:ascii="Times New Roman" w:hAnsi="Times New Roman" w:cs="Times New Roman"/>
          <w:sz w:val="24"/>
          <w:szCs w:val="24"/>
        </w:rPr>
        <w:t>Moo,868</w:t>
      </w:r>
    </w:p>
    <w:p w14:paraId="32EDBF7B">
      <w:pPr>
        <w:spacing w:before="0" w:beforeAutospacing="0" w:line="240" w:lineRule="auto"/>
        <w:ind w:left="567" w:hanging="567"/>
        <w:jc w:val="both"/>
        <w:rPr>
          <w:rFonts w:ascii="Times New Roman" w:hAnsi="Times New Roman" w:cs="Times New Roman"/>
          <w:sz w:val="24"/>
          <w:szCs w:val="24"/>
        </w:rPr>
      </w:pPr>
      <w:r>
        <w:rPr>
          <w:rFonts w:ascii="Times New Roman" w:hAnsi="Times New Roman" w:cs="Times New Roman"/>
          <w:sz w:val="24"/>
          <w:szCs w:val="24"/>
          <w:vertAlign w:val="superscript"/>
        </w:rPr>
        <w:t>50</w:t>
      </w:r>
      <w:r>
        <w:rPr>
          <w:rFonts w:ascii="Times New Roman" w:hAnsi="Times New Roman" w:cs="Times New Roman"/>
          <w:sz w:val="24"/>
          <w:szCs w:val="24"/>
        </w:rPr>
        <w:t>Dunn, 832</w:t>
      </w:r>
    </w:p>
    <w:p w14:paraId="65D79737">
      <w:pPr>
        <w:spacing w:before="0" w:beforeAutospacing="0" w:line="240" w:lineRule="auto"/>
        <w:ind w:left="567" w:hanging="567"/>
        <w:jc w:val="both"/>
        <w:rPr>
          <w:rFonts w:ascii="Times New Roman" w:hAnsi="Times New Roman" w:cs="Times New Roman"/>
          <w:sz w:val="24"/>
          <w:szCs w:val="24"/>
        </w:rPr>
      </w:pPr>
      <w:r>
        <w:rPr>
          <w:rFonts w:ascii="Times New Roman" w:hAnsi="Times New Roman" w:cs="Times New Roman"/>
          <w:sz w:val="24"/>
          <w:szCs w:val="24"/>
          <w:vertAlign w:val="superscript"/>
        </w:rPr>
        <w:t>51</w:t>
      </w:r>
      <w:r>
        <w:rPr>
          <w:rFonts w:ascii="Times New Roman" w:hAnsi="Times New Roman" w:cs="Times New Roman"/>
          <w:sz w:val="24"/>
          <w:szCs w:val="24"/>
        </w:rPr>
        <w:t>Fee, 426.</w:t>
      </w:r>
    </w:p>
    <w:p w14:paraId="1AD10867">
      <w:pPr>
        <w:spacing w:before="0" w:beforeAutospacing="0" w:line="240" w:lineRule="auto"/>
        <w:ind w:left="567" w:hanging="567"/>
        <w:jc w:val="both"/>
        <w:rPr>
          <w:rFonts w:ascii="Times New Roman" w:hAnsi="Times New Roman" w:cs="Times New Roman"/>
          <w:sz w:val="24"/>
          <w:szCs w:val="24"/>
        </w:rPr>
      </w:pPr>
      <w:r>
        <w:rPr>
          <w:rFonts w:ascii="Times New Roman" w:hAnsi="Times New Roman" w:cs="Times New Roman"/>
          <w:sz w:val="24"/>
          <w:szCs w:val="24"/>
          <w:vertAlign w:val="superscript"/>
        </w:rPr>
        <w:t>52</w:t>
      </w:r>
      <w:r>
        <w:rPr>
          <w:rFonts w:ascii="Times New Roman" w:hAnsi="Times New Roman" w:cs="Times New Roman"/>
          <w:sz w:val="24"/>
          <w:szCs w:val="24"/>
        </w:rPr>
        <w:t xml:space="preserve">F.Hoehner, </w:t>
      </w:r>
      <w:r>
        <w:rPr>
          <w:rFonts w:ascii="Times New Roman" w:hAnsi="Times New Roman" w:cs="Times New Roman"/>
          <w:i/>
          <w:sz w:val="24"/>
          <w:szCs w:val="24"/>
        </w:rPr>
        <w:t>Ephesians: An Exegetical Commentary</w:t>
      </w:r>
      <w:r>
        <w:rPr>
          <w:rFonts w:ascii="Times New Roman" w:hAnsi="Times New Roman" w:cs="Times New Roman"/>
          <w:sz w:val="24"/>
          <w:szCs w:val="24"/>
        </w:rPr>
        <w:t>, (Baker Academic: Grand Rapids, 2002), 698</w:t>
      </w:r>
    </w:p>
    <w:p w14:paraId="603C0EB7">
      <w:pPr>
        <w:spacing w:before="0" w:beforeAutospacing="0" w:line="240" w:lineRule="auto"/>
        <w:ind w:left="567" w:hanging="567"/>
        <w:jc w:val="both"/>
        <w:rPr>
          <w:rFonts w:ascii="Times New Roman" w:hAnsi="Times New Roman" w:cs="Times New Roman"/>
          <w:sz w:val="24"/>
          <w:szCs w:val="24"/>
        </w:rPr>
      </w:pPr>
      <w:r>
        <w:rPr>
          <w:rFonts w:ascii="Times New Roman" w:hAnsi="Times New Roman" w:cs="Times New Roman"/>
          <w:sz w:val="24"/>
          <w:szCs w:val="24"/>
          <w:vertAlign w:val="superscript"/>
        </w:rPr>
        <w:t>53</w:t>
      </w:r>
      <w:r>
        <w:rPr>
          <w:rFonts w:ascii="Times New Roman" w:hAnsi="Times New Roman" w:cs="Times New Roman"/>
          <w:sz w:val="24"/>
          <w:szCs w:val="24"/>
        </w:rPr>
        <w:t>Gorman, 459.</w:t>
      </w:r>
    </w:p>
    <w:p w14:paraId="7B0D5E44">
      <w:pPr>
        <w:spacing w:before="0" w:beforeAutospacing="0"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 </w:t>
      </w:r>
    </w:p>
    <w:p w14:paraId="4AE64419">
      <w:pPr>
        <w:spacing w:before="0" w:beforeAutospacing="0" w:line="240" w:lineRule="auto"/>
        <w:jc w:val="both"/>
        <w:rPr>
          <w:rFonts w:ascii="Times New Roman" w:hAnsi="Times New Roman" w:cs="Times New Roman"/>
          <w:sz w:val="24"/>
          <w:szCs w:val="24"/>
        </w:rPr>
      </w:pPr>
      <w:r>
        <w:rPr>
          <w:sz w:val="24"/>
          <w:szCs w:val="24"/>
        </w:rPr>
        <w:t xml:space="preserve"> </w:t>
      </w:r>
    </w:p>
    <w:p w14:paraId="7ECF5469">
      <w:pPr>
        <w:spacing w:before="0" w:beforeAutospacing="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p>
    <w:p w14:paraId="72E63E79">
      <w:pPr>
        <w:spacing w:line="240" w:lineRule="auto"/>
        <w:rPr>
          <w:sz w:val="24"/>
          <w:szCs w:val="24"/>
        </w:rPr>
      </w:pPr>
      <w:r>
        <w:rPr>
          <w:sz w:val="24"/>
          <w:szCs w:val="24"/>
        </w:rPr>
        <w:t xml:space="preserve"> </w:t>
      </w:r>
    </w:p>
    <w:p w14:paraId="05F78B64"/>
    <w:p w14:paraId="4A3EE5E4"/>
    <w:sectPr>
      <w:footerReference r:id="rId5" w:type="default"/>
      <w:pgSz w:w="12240" w:h="15840"/>
      <w:pgMar w:top="1440" w:right="1440" w:bottom="1440" w:left="1440" w:header="709" w:footer="709"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Arial">
    <w:panose1 w:val="020B0604020202020204"/>
    <w:charset w:val="00"/>
    <w:family w:val="swiss"/>
    <w:pitch w:val="default"/>
    <w:sig w:usb0="E0002AFF" w:usb1="C0007843" w:usb2="00000009" w:usb3="00000000" w:csb0="400001FF" w:csb1="FFFF0000"/>
  </w:font>
  <w:font w:name="SimHei">
    <w:panose1 w:val="02010609060101010101"/>
    <w:charset w:val="86"/>
    <w:family w:val="auto"/>
    <w:pitch w:val="default"/>
    <w:sig w:usb0="800002BF" w:usb1="38CF7CFA" w:usb2="00000016" w:usb3="00000000" w:csb0="00040001" w:csb1="00000000"/>
  </w:font>
  <w:font w:name="Courier New">
    <w:panose1 w:val="02070309020205020404"/>
    <w:charset w:val="00"/>
    <w:family w:val="modern"/>
    <w:pitch w:val="default"/>
    <w:sig w:usb0="E0002A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10002FF" w:usb1="4000ACFF" w:usb2="00000009" w:usb3="00000000" w:csb0="2000019F" w:csb1="00000000"/>
  </w:font>
  <w:font w:name="等线">
    <w:altName w:val="Arial Unicode MS"/>
    <w:panose1 w:val="00000000000000000000"/>
    <w:charset w:val="86"/>
    <w:family w:val="auto"/>
    <w:pitch w:val="default"/>
    <w:sig w:usb0="00000000" w:usb1="00000000" w:usb2="00000000" w:usb3="00000000" w:csb0="00000000" w:csb1="00000000"/>
  </w:font>
  <w:font w:name="Calibri">
    <w:panose1 w:val="020F0502020204030204"/>
    <w:charset w:val="00"/>
    <w:family w:val="auto"/>
    <w:pitch w:val="default"/>
    <w:sig w:usb0="E10002FF" w:usb1="4000ACFF" w:usb2="00000009" w:usb3="00000000" w:csb0="2000019F" w:csb1="00000000"/>
  </w:font>
  <w:font w:name="Calibri Light">
    <w:altName w:val="Calibri"/>
    <w:panose1 w:val="020F0302020204030204"/>
    <w:charset w:val="00"/>
    <w:family w:val="swiss"/>
    <w:pitch w:val="default"/>
    <w:sig w:usb0="00000000" w:usb1="00000000" w:usb2="00000009" w:usb3="00000000" w:csb0="000001FF" w:csb1="00000000"/>
  </w:font>
  <w:font w:name="Segoe UI">
    <w:panose1 w:val="020B0502040204020203"/>
    <w:charset w:val="00"/>
    <w:family w:val="swiss"/>
    <w:pitch w:val="default"/>
    <w:sig w:usb0="E10022FF" w:usb1="C000E47F" w:usb2="00000029" w:usb3="00000000" w:csb0="200001DF" w:csb1="20000000"/>
  </w:font>
  <w:font w:name="Tahoma">
    <w:panose1 w:val="020B0604030504040204"/>
    <w:charset w:val="00"/>
    <w:family w:val="swiss"/>
    <w:pitch w:val="default"/>
    <w:sig w:usb0="E1002EFF" w:usb1="C000605B" w:usb2="00000029" w:usb3="00000000" w:csb0="200101FF" w:csb1="20280000"/>
  </w:font>
  <w:font w:name="Georgia">
    <w:panose1 w:val="02040502050405020303"/>
    <w:charset w:val="00"/>
    <w:family w:val="roman"/>
    <w:pitch w:val="default"/>
    <w:sig w:usb0="00000287" w:usb1="00000000" w:usb2="00000000" w:usb3="00000000" w:csb0="2000009F" w:csb1="00000000"/>
  </w:font>
  <w:font w:name="TITUS Cyberbit Basic">
    <w:altName w:val="Courier Std"/>
    <w:panose1 w:val="00000000000000000000"/>
    <w:charset w:val="00"/>
    <w:family w:val="roman"/>
    <w:pitch w:val="default"/>
    <w:sig w:usb0="00000000" w:usb1="00000000" w:usb2="0000001E" w:usb3="00000000" w:csb0="000001FF" w:csb1="00000000"/>
  </w:font>
  <w:font w:name="PCSB Greek">
    <w:altName w:val="Vrinda"/>
    <w:panose1 w:val="020B0500000000000000"/>
    <w:charset w:val="00"/>
    <w:family w:val="swiss"/>
    <w:pitch w:val="default"/>
    <w:sig w:usb0="00000000" w:usb1="00000000" w:usb2="00000000" w:usb3="00000000" w:csb0="00000001" w:csb1="00000000"/>
  </w:font>
  <w:font w:name="Vrinda">
    <w:panose1 w:val="020B0502040204020203"/>
    <w:charset w:val="00"/>
    <w:family w:val="auto"/>
    <w:pitch w:val="default"/>
    <w:sig w:usb0="0001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857311395"/>
      <w:docPartObj>
        <w:docPartGallery w:val="AutoText"/>
      </w:docPartObj>
    </w:sdtPr>
    <w:sdtContent>
      <w:p w14:paraId="0A01D2B3">
        <w:pPr>
          <w:pStyle w:val="9"/>
          <w:jc w:val="center"/>
        </w:pPr>
        <w:r>
          <w:fldChar w:fldCharType="begin"/>
        </w:r>
        <w:r>
          <w:instrText xml:space="preserve"> PAGE   \* MERGEFORMAT </w:instrText>
        </w:r>
        <w:r>
          <w:fldChar w:fldCharType="separate"/>
        </w:r>
        <w:r>
          <w:t>1</w:t>
        </w:r>
        <w:r>
          <w:fldChar w:fldCharType="end"/>
        </w:r>
      </w:p>
    </w:sdtContent>
  </w:sdt>
  <w:p w14:paraId="02FCDB39">
    <w:pPr>
      <w:pStyle w:val="9"/>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68" w:lineRule="auto"/>
      </w:pPr>
      <w:r>
        <w:separator/>
      </w:r>
    </w:p>
  </w:footnote>
  <w:footnote w:type="continuationSeparator" w:id="1">
    <w:p>
      <w:pPr>
        <w:spacing w:before="0" w:after="0" w:line="268"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720"/>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66E4A"/>
    <w:rsid w:val="00005B7B"/>
    <w:rsid w:val="00020C2C"/>
    <w:rsid w:val="0003304F"/>
    <w:rsid w:val="0004066B"/>
    <w:rsid w:val="00065ABF"/>
    <w:rsid w:val="00072415"/>
    <w:rsid w:val="00094489"/>
    <w:rsid w:val="000A0366"/>
    <w:rsid w:val="000B3495"/>
    <w:rsid w:val="000C591B"/>
    <w:rsid w:val="000D199E"/>
    <w:rsid w:val="000D709F"/>
    <w:rsid w:val="000E7027"/>
    <w:rsid w:val="001320AF"/>
    <w:rsid w:val="00144F31"/>
    <w:rsid w:val="00187102"/>
    <w:rsid w:val="00190CFA"/>
    <w:rsid w:val="001A7933"/>
    <w:rsid w:val="001B6186"/>
    <w:rsid w:val="001C3D0A"/>
    <w:rsid w:val="001D782D"/>
    <w:rsid w:val="001E71AB"/>
    <w:rsid w:val="001F2CFE"/>
    <w:rsid w:val="001F2E86"/>
    <w:rsid w:val="001F54BE"/>
    <w:rsid w:val="001F7F92"/>
    <w:rsid w:val="00225A04"/>
    <w:rsid w:val="0026226C"/>
    <w:rsid w:val="00295EAF"/>
    <w:rsid w:val="002A22CA"/>
    <w:rsid w:val="002D6112"/>
    <w:rsid w:val="00304C95"/>
    <w:rsid w:val="00320C6A"/>
    <w:rsid w:val="00321816"/>
    <w:rsid w:val="0032255C"/>
    <w:rsid w:val="003553DE"/>
    <w:rsid w:val="00366E4A"/>
    <w:rsid w:val="00373579"/>
    <w:rsid w:val="003960E7"/>
    <w:rsid w:val="003D4CE0"/>
    <w:rsid w:val="003F1B34"/>
    <w:rsid w:val="00404C20"/>
    <w:rsid w:val="00407FB1"/>
    <w:rsid w:val="00411FE7"/>
    <w:rsid w:val="00430182"/>
    <w:rsid w:val="00461A22"/>
    <w:rsid w:val="004728BA"/>
    <w:rsid w:val="00474477"/>
    <w:rsid w:val="00474DAF"/>
    <w:rsid w:val="00491B52"/>
    <w:rsid w:val="004C6B1A"/>
    <w:rsid w:val="004E0C6C"/>
    <w:rsid w:val="004E0D90"/>
    <w:rsid w:val="00500BC7"/>
    <w:rsid w:val="00512A6D"/>
    <w:rsid w:val="00525232"/>
    <w:rsid w:val="00577888"/>
    <w:rsid w:val="00593C48"/>
    <w:rsid w:val="00596B5A"/>
    <w:rsid w:val="005B14AB"/>
    <w:rsid w:val="005E46C6"/>
    <w:rsid w:val="005F1766"/>
    <w:rsid w:val="005F24F5"/>
    <w:rsid w:val="005F646B"/>
    <w:rsid w:val="0064455D"/>
    <w:rsid w:val="00660AC7"/>
    <w:rsid w:val="006B73C4"/>
    <w:rsid w:val="006C5DDD"/>
    <w:rsid w:val="006D016C"/>
    <w:rsid w:val="006D2489"/>
    <w:rsid w:val="006F0EC0"/>
    <w:rsid w:val="006F7921"/>
    <w:rsid w:val="007014A6"/>
    <w:rsid w:val="007021C6"/>
    <w:rsid w:val="0070737E"/>
    <w:rsid w:val="0071674A"/>
    <w:rsid w:val="007311E9"/>
    <w:rsid w:val="00740B18"/>
    <w:rsid w:val="00765BD5"/>
    <w:rsid w:val="007726E1"/>
    <w:rsid w:val="00795D90"/>
    <w:rsid w:val="007A02F2"/>
    <w:rsid w:val="007A0B74"/>
    <w:rsid w:val="007C7AED"/>
    <w:rsid w:val="007E33B1"/>
    <w:rsid w:val="007F4498"/>
    <w:rsid w:val="007F68A0"/>
    <w:rsid w:val="00807694"/>
    <w:rsid w:val="00810180"/>
    <w:rsid w:val="00824330"/>
    <w:rsid w:val="008326BC"/>
    <w:rsid w:val="0083282C"/>
    <w:rsid w:val="00836C27"/>
    <w:rsid w:val="008417D6"/>
    <w:rsid w:val="00852337"/>
    <w:rsid w:val="00861E94"/>
    <w:rsid w:val="00862C57"/>
    <w:rsid w:val="008655F8"/>
    <w:rsid w:val="00866761"/>
    <w:rsid w:val="00870EB8"/>
    <w:rsid w:val="00877CBF"/>
    <w:rsid w:val="0089309C"/>
    <w:rsid w:val="008970AF"/>
    <w:rsid w:val="008A6D29"/>
    <w:rsid w:val="008A76F1"/>
    <w:rsid w:val="008C7800"/>
    <w:rsid w:val="0090171E"/>
    <w:rsid w:val="009045C2"/>
    <w:rsid w:val="00917E87"/>
    <w:rsid w:val="00950305"/>
    <w:rsid w:val="009936D5"/>
    <w:rsid w:val="009B47B0"/>
    <w:rsid w:val="009B4E7A"/>
    <w:rsid w:val="009D66AF"/>
    <w:rsid w:val="00A12929"/>
    <w:rsid w:val="00A26112"/>
    <w:rsid w:val="00A3217E"/>
    <w:rsid w:val="00A326E6"/>
    <w:rsid w:val="00A3687D"/>
    <w:rsid w:val="00A50E71"/>
    <w:rsid w:val="00A5275D"/>
    <w:rsid w:val="00A53725"/>
    <w:rsid w:val="00A87C4E"/>
    <w:rsid w:val="00AD0592"/>
    <w:rsid w:val="00AF2020"/>
    <w:rsid w:val="00B1758B"/>
    <w:rsid w:val="00B26AF1"/>
    <w:rsid w:val="00B342CD"/>
    <w:rsid w:val="00B47782"/>
    <w:rsid w:val="00B53DDE"/>
    <w:rsid w:val="00B5550C"/>
    <w:rsid w:val="00B8165A"/>
    <w:rsid w:val="00B816B0"/>
    <w:rsid w:val="00B86747"/>
    <w:rsid w:val="00B91329"/>
    <w:rsid w:val="00BA6A91"/>
    <w:rsid w:val="00BB6D86"/>
    <w:rsid w:val="00BD4865"/>
    <w:rsid w:val="00C14CA2"/>
    <w:rsid w:val="00C33FDA"/>
    <w:rsid w:val="00C8294E"/>
    <w:rsid w:val="00C87CD5"/>
    <w:rsid w:val="00C90F49"/>
    <w:rsid w:val="00CA699C"/>
    <w:rsid w:val="00CB666E"/>
    <w:rsid w:val="00CC2E25"/>
    <w:rsid w:val="00CF6076"/>
    <w:rsid w:val="00D07E6E"/>
    <w:rsid w:val="00D219E1"/>
    <w:rsid w:val="00D25E02"/>
    <w:rsid w:val="00D30EFA"/>
    <w:rsid w:val="00D3108E"/>
    <w:rsid w:val="00D44DA4"/>
    <w:rsid w:val="00D47526"/>
    <w:rsid w:val="00D57261"/>
    <w:rsid w:val="00D606C7"/>
    <w:rsid w:val="00D626B5"/>
    <w:rsid w:val="00D73433"/>
    <w:rsid w:val="00D91D2D"/>
    <w:rsid w:val="00DB0416"/>
    <w:rsid w:val="00DD452D"/>
    <w:rsid w:val="00E03C7E"/>
    <w:rsid w:val="00E33875"/>
    <w:rsid w:val="00E6371F"/>
    <w:rsid w:val="00E67FA6"/>
    <w:rsid w:val="00EB5AEF"/>
    <w:rsid w:val="00EC1251"/>
    <w:rsid w:val="00EC1D73"/>
    <w:rsid w:val="00ED57A2"/>
    <w:rsid w:val="00EE173C"/>
    <w:rsid w:val="00EE3F71"/>
    <w:rsid w:val="00F7573A"/>
    <w:rsid w:val="00F9327B"/>
    <w:rsid w:val="00F96CA2"/>
    <w:rsid w:val="00FA35EE"/>
    <w:rsid w:val="00FB09B4"/>
    <w:rsid w:val="00FB1FDE"/>
    <w:rsid w:val="00FC2DDB"/>
    <w:rsid w:val="00FC68C5"/>
    <w:rsid w:val="31BA5F1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uiPriority="99"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before="100" w:beforeAutospacing="1" w:after="0" w:line="268" w:lineRule="auto"/>
    </w:pPr>
    <w:rPr>
      <w:rFonts w:ascii="Arial" w:hAnsi="Arial" w:eastAsia="Times New Roman" w:cs="Arial"/>
      <w:sz w:val="22"/>
      <w:szCs w:val="22"/>
      <w:lang w:val="en-US" w:eastAsia="en-US" w:bidi="ar-SA"/>
    </w:rPr>
  </w:style>
  <w:style w:type="paragraph" w:styleId="2">
    <w:name w:val="heading 3"/>
    <w:basedOn w:val="1"/>
    <w:next w:val="1"/>
    <w:link w:val="18"/>
    <w:semiHidden/>
    <w:unhideWhenUsed/>
    <w:qFormat/>
    <w:uiPriority w:val="9"/>
    <w:pPr>
      <w:keepNext/>
      <w:keepLines/>
      <w:spacing w:before="40"/>
      <w:outlineLvl w:val="2"/>
    </w:pPr>
    <w:rPr>
      <w:rFonts w:asciiTheme="majorHAnsi" w:hAnsiTheme="majorHAnsi" w:eastAsiaTheme="majorEastAsia" w:cstheme="majorBidi"/>
      <w:color w:val="1F4E79" w:themeColor="accent1" w:themeShade="80"/>
      <w:sz w:val="24"/>
      <w:szCs w:val="24"/>
    </w:rPr>
  </w:style>
  <w:style w:type="character" w:default="1" w:styleId="3">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5">
    <w:name w:val="Balloon Text"/>
    <w:basedOn w:val="1"/>
    <w:link w:val="17"/>
    <w:semiHidden/>
    <w:unhideWhenUsed/>
    <w:uiPriority w:val="99"/>
    <w:pPr>
      <w:spacing w:before="0" w:line="240" w:lineRule="auto"/>
    </w:pPr>
    <w:rPr>
      <w:rFonts w:ascii="Segoe UI" w:hAnsi="Segoe UI" w:cs="Segoe UI"/>
      <w:sz w:val="18"/>
      <w:szCs w:val="18"/>
    </w:rPr>
  </w:style>
  <w:style w:type="character" w:styleId="6">
    <w:name w:val="annotation reference"/>
    <w:basedOn w:val="3"/>
    <w:semiHidden/>
    <w:unhideWhenUsed/>
    <w:qFormat/>
    <w:uiPriority w:val="99"/>
    <w:rPr>
      <w:sz w:val="16"/>
      <w:szCs w:val="16"/>
    </w:rPr>
  </w:style>
  <w:style w:type="paragraph" w:styleId="7">
    <w:name w:val="annotation text"/>
    <w:basedOn w:val="1"/>
    <w:link w:val="15"/>
    <w:semiHidden/>
    <w:unhideWhenUsed/>
    <w:qFormat/>
    <w:uiPriority w:val="99"/>
    <w:pPr>
      <w:spacing w:line="240" w:lineRule="auto"/>
    </w:pPr>
    <w:rPr>
      <w:sz w:val="20"/>
      <w:szCs w:val="20"/>
    </w:rPr>
  </w:style>
  <w:style w:type="paragraph" w:styleId="8">
    <w:name w:val="annotation subject"/>
    <w:basedOn w:val="7"/>
    <w:next w:val="7"/>
    <w:link w:val="16"/>
    <w:semiHidden/>
    <w:unhideWhenUsed/>
    <w:uiPriority w:val="99"/>
    <w:rPr>
      <w:b/>
      <w:bCs/>
    </w:rPr>
  </w:style>
  <w:style w:type="paragraph" w:styleId="9">
    <w:name w:val="footer"/>
    <w:basedOn w:val="1"/>
    <w:link w:val="13"/>
    <w:unhideWhenUsed/>
    <w:uiPriority w:val="99"/>
    <w:pPr>
      <w:tabs>
        <w:tab w:val="center" w:pos="4680"/>
        <w:tab w:val="right" w:pos="9360"/>
      </w:tabs>
      <w:spacing w:before="0" w:line="240" w:lineRule="auto"/>
    </w:pPr>
  </w:style>
  <w:style w:type="character" w:styleId="10">
    <w:name w:val="Hyperlink"/>
    <w:basedOn w:val="3"/>
    <w:unhideWhenUsed/>
    <w:qFormat/>
    <w:uiPriority w:val="99"/>
    <w:rPr>
      <w:color w:val="0563C1" w:themeColor="hyperlink"/>
      <w:u w:val="single"/>
      <w14:textFill>
        <w14:solidFill>
          <w14:schemeClr w14:val="hlink"/>
        </w14:solidFill>
      </w14:textFill>
    </w:rPr>
  </w:style>
  <w:style w:type="character" w:customStyle="1" w:styleId="11">
    <w:name w:val="15"/>
    <w:basedOn w:val="3"/>
    <w:uiPriority w:val="0"/>
    <w:rPr>
      <w:rFonts w:hint="default" w:ascii="Calibri" w:hAnsi="Calibri" w:cs="Calibri"/>
      <w:b/>
      <w:bCs/>
    </w:rPr>
  </w:style>
  <w:style w:type="character" w:customStyle="1" w:styleId="12">
    <w:name w:val="16"/>
    <w:basedOn w:val="3"/>
    <w:uiPriority w:val="0"/>
    <w:rPr>
      <w:rFonts w:hint="default" w:ascii="Calibri" w:hAnsi="Calibri" w:cs="Calibri"/>
      <w:color w:val="0563C1"/>
      <w:u w:val="single"/>
    </w:rPr>
  </w:style>
  <w:style w:type="character" w:customStyle="1" w:styleId="13">
    <w:name w:val="Footer Char"/>
    <w:basedOn w:val="3"/>
    <w:link w:val="9"/>
    <w:qFormat/>
    <w:uiPriority w:val="99"/>
    <w:rPr>
      <w:rFonts w:ascii="Arial" w:hAnsi="Arial" w:eastAsia="Times New Roman" w:cs="Arial"/>
    </w:rPr>
  </w:style>
  <w:style w:type="paragraph" w:customStyle="1" w:styleId="14">
    <w:name w:val="Revision"/>
    <w:hidden/>
    <w:semiHidden/>
    <w:qFormat/>
    <w:uiPriority w:val="99"/>
    <w:pPr>
      <w:spacing w:after="0" w:line="240" w:lineRule="auto"/>
    </w:pPr>
    <w:rPr>
      <w:rFonts w:ascii="Arial" w:hAnsi="Arial" w:eastAsia="Times New Roman" w:cs="Arial"/>
      <w:sz w:val="22"/>
      <w:szCs w:val="22"/>
      <w:lang w:val="en-US" w:eastAsia="en-US" w:bidi="ar-SA"/>
    </w:rPr>
  </w:style>
  <w:style w:type="character" w:customStyle="1" w:styleId="15">
    <w:name w:val="Comment Text Char"/>
    <w:basedOn w:val="3"/>
    <w:link w:val="7"/>
    <w:semiHidden/>
    <w:qFormat/>
    <w:uiPriority w:val="99"/>
    <w:rPr>
      <w:rFonts w:ascii="Arial" w:hAnsi="Arial" w:eastAsia="Times New Roman" w:cs="Arial"/>
      <w:sz w:val="20"/>
      <w:szCs w:val="20"/>
    </w:rPr>
  </w:style>
  <w:style w:type="character" w:customStyle="1" w:styleId="16">
    <w:name w:val="Comment Subject Char"/>
    <w:basedOn w:val="15"/>
    <w:link w:val="8"/>
    <w:semiHidden/>
    <w:qFormat/>
    <w:uiPriority w:val="99"/>
    <w:rPr>
      <w:rFonts w:ascii="Arial" w:hAnsi="Arial" w:eastAsia="Times New Roman" w:cs="Arial"/>
      <w:b/>
      <w:bCs/>
      <w:sz w:val="20"/>
      <w:szCs w:val="20"/>
    </w:rPr>
  </w:style>
  <w:style w:type="character" w:customStyle="1" w:styleId="17">
    <w:name w:val="Balloon Text Char"/>
    <w:basedOn w:val="3"/>
    <w:link w:val="5"/>
    <w:semiHidden/>
    <w:qFormat/>
    <w:uiPriority w:val="99"/>
    <w:rPr>
      <w:rFonts w:ascii="Segoe UI" w:hAnsi="Segoe UI" w:eastAsia="Times New Roman" w:cs="Segoe UI"/>
      <w:sz w:val="18"/>
      <w:szCs w:val="18"/>
    </w:rPr>
  </w:style>
  <w:style w:type="character" w:customStyle="1" w:styleId="18">
    <w:name w:val="Heading 3 Char"/>
    <w:basedOn w:val="3"/>
    <w:link w:val="2"/>
    <w:semiHidden/>
    <w:qFormat/>
    <w:uiPriority w:val="9"/>
    <w:rPr>
      <w:rFonts w:asciiTheme="majorHAnsi" w:hAnsiTheme="majorHAnsi" w:eastAsiaTheme="majorEastAsia" w:cstheme="majorBidi"/>
      <w:color w:val="1F4E79" w:themeColor="accent1" w:themeShade="80"/>
      <w:sz w:val="24"/>
      <w:szCs w:val="24"/>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2AA20E0-8C4E-49FD-A79E-9CB103966B90}">
  <ds:schemaRefs/>
</ds:datastoreItem>
</file>

<file path=docProps/app.xml><?xml version="1.0" encoding="utf-8"?>
<Properties xmlns="http://schemas.openxmlformats.org/officeDocument/2006/extended-properties" xmlns:vt="http://schemas.openxmlformats.org/officeDocument/2006/docPropsVTypes">
  <Template>Normal</Template>
  <Pages>10</Pages>
  <Words>4585</Words>
  <Characters>26138</Characters>
  <Lines>217</Lines>
  <Paragraphs>61</Paragraphs>
  <TotalTime>2</TotalTime>
  <ScaleCrop>false</ScaleCrop>
  <LinksUpToDate>false</LinksUpToDate>
  <CharactersWithSpaces>30662</CharactersWithSpaces>
  <Application>WPS Office_12.2.0.21931_F1E327BC-269C-435d-A152-05C5408002CA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2026-05-09T06:30:00Z</dcterms:created>
  <dc:creator>DR OYETADE</dc:creator>
  <cp:lastModifiedBy>E-LIBRARY 04</cp:lastModifiedBy>
  <dcterms:modified xsi:type="dcterms:W3CDTF">2026-05-11T13:23:12Z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e0661a91-6955-4897-ba51-a646c2fc45c1</vt:lpwstr>
  </property>
  <property fmtid="{D5CDD505-2E9C-101B-9397-08002B2CF9AE}" pid="3" name="KSOProductBuildVer">
    <vt:lpwstr>1033-12.2.0.21931</vt:lpwstr>
  </property>
  <property fmtid="{D5CDD505-2E9C-101B-9397-08002B2CF9AE}" pid="4" name="ICV">
    <vt:lpwstr>F145AAFC8B234FBE92C366BEEBFCA977_13</vt:lpwstr>
  </property>
</Properties>
</file>