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7721" w:rsidRPr="00B660FF" w:rsidRDefault="00B660FF" w:rsidP="00B660FF">
      <w:pPr>
        <w:jc w:val="both"/>
        <w:rPr>
          <w:rFonts w:ascii="Times New Roman" w:hAnsi="Times New Roman" w:cs="Times New Roman"/>
          <w:b/>
          <w:sz w:val="24"/>
          <w:szCs w:val="24"/>
        </w:rPr>
      </w:pPr>
      <w:r w:rsidRPr="00B660FF">
        <w:rPr>
          <w:rFonts w:ascii="Times New Roman" w:hAnsi="Times New Roman" w:cs="Times New Roman"/>
          <w:b/>
          <w:sz w:val="24"/>
          <w:szCs w:val="24"/>
        </w:rPr>
        <w:t>Combined oral</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contraceptive</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synergistically</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activates mineralocorticoid</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receptor</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through</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histone</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code</w:t>
      </w:r>
      <w:r w:rsidRPr="00B660FF">
        <w:rPr>
          <w:rFonts w:ascii="Times New Roman" w:hAnsi="Times New Roman" w:cs="Times New Roman"/>
          <w:b/>
          <w:sz w:val="24"/>
          <w:szCs w:val="24"/>
        </w:rPr>
        <w:t xml:space="preserve"> </w:t>
      </w:r>
      <w:r w:rsidRPr="00B660FF">
        <w:rPr>
          <w:rFonts w:ascii="Times New Roman" w:hAnsi="Times New Roman" w:cs="Times New Roman"/>
          <w:b/>
          <w:sz w:val="24"/>
          <w:szCs w:val="24"/>
        </w:rPr>
        <w:t>modifications</w:t>
      </w:r>
      <w:bookmarkStart w:id="0" w:name="_GoBack"/>
      <w:bookmarkEnd w:id="0"/>
    </w:p>
    <w:p w:rsidR="00B660FF" w:rsidRPr="00B660FF" w:rsidRDefault="00B660FF" w:rsidP="00B660FF">
      <w:pPr>
        <w:jc w:val="both"/>
        <w:rPr>
          <w:rFonts w:ascii="Times New Roman" w:hAnsi="Times New Roman" w:cs="Times New Roman"/>
          <w:sz w:val="24"/>
          <w:szCs w:val="24"/>
        </w:rPr>
      </w:pPr>
      <w:r w:rsidRPr="00B660FF">
        <w:rPr>
          <w:rFonts w:ascii="Times New Roman" w:hAnsi="Times New Roman" w:cs="Times New Roman"/>
          <w:sz w:val="24"/>
          <w:szCs w:val="24"/>
        </w:rPr>
        <w:t xml:space="preserve">Clinical studies have shown that the use of combined oral contraceptive in pre-menopausal women is associated with fluid retention. However, the molecular mechanism is still elusive. We hypothesized that combined oral contraceptive (COC) </w:t>
      </w:r>
      <w:proofErr w:type="spellStart"/>
      <w:r w:rsidRPr="00B660FF">
        <w:rPr>
          <w:rFonts w:ascii="Times New Roman" w:hAnsi="Times New Roman" w:cs="Times New Roman"/>
          <w:sz w:val="24"/>
          <w:szCs w:val="24"/>
        </w:rPr>
        <w:t>ethinyl</w:t>
      </w:r>
      <w:proofErr w:type="spellEnd"/>
      <w:r w:rsidRPr="00B660FF">
        <w:rPr>
          <w:rFonts w:ascii="Times New Roman" w:hAnsi="Times New Roman" w:cs="Times New Roman"/>
          <w:sz w:val="24"/>
          <w:szCs w:val="24"/>
        </w:rPr>
        <w:t xml:space="preserve"> </w:t>
      </w:r>
      <w:proofErr w:type="spellStart"/>
      <w:r w:rsidRPr="00B660FF">
        <w:rPr>
          <w:rFonts w:ascii="Times New Roman" w:hAnsi="Times New Roman" w:cs="Times New Roman"/>
          <w:sz w:val="24"/>
          <w:szCs w:val="24"/>
        </w:rPr>
        <w:t>estradiol</w:t>
      </w:r>
      <w:proofErr w:type="spellEnd"/>
      <w:r w:rsidRPr="00B660FF">
        <w:rPr>
          <w:rFonts w:ascii="Times New Roman" w:hAnsi="Times New Roman" w:cs="Times New Roman"/>
          <w:sz w:val="24"/>
          <w:szCs w:val="24"/>
        </w:rPr>
        <w:t xml:space="preserve"> (EE) and </w:t>
      </w:r>
      <w:proofErr w:type="spellStart"/>
      <w:r w:rsidRPr="00B660FF">
        <w:rPr>
          <w:rFonts w:ascii="Times New Roman" w:hAnsi="Times New Roman" w:cs="Times New Roman"/>
          <w:sz w:val="24"/>
          <w:szCs w:val="24"/>
        </w:rPr>
        <w:t>norgestrel</w:t>
      </w:r>
      <w:proofErr w:type="spellEnd"/>
      <w:r w:rsidRPr="00B660FF">
        <w:rPr>
          <w:rFonts w:ascii="Times New Roman" w:hAnsi="Times New Roman" w:cs="Times New Roman"/>
          <w:sz w:val="24"/>
          <w:szCs w:val="24"/>
        </w:rPr>
        <w:t xml:space="preserve"> (N) synergistically activates mineralocorticoid receptor (MR) through histone code modifications. </w:t>
      </w:r>
      <w:proofErr w:type="spellStart"/>
      <w:r w:rsidRPr="00B660FF">
        <w:rPr>
          <w:rFonts w:ascii="Times New Roman" w:hAnsi="Times New Roman" w:cs="Times New Roman"/>
          <w:sz w:val="24"/>
          <w:szCs w:val="24"/>
        </w:rPr>
        <w:t>Twelveweek</w:t>
      </w:r>
      <w:proofErr w:type="spellEnd"/>
      <w:r w:rsidRPr="00B660FF">
        <w:rPr>
          <w:rFonts w:ascii="Times New Roman" w:hAnsi="Times New Roman" w:cs="Times New Roman"/>
          <w:sz w:val="24"/>
          <w:szCs w:val="24"/>
        </w:rPr>
        <w:t>-old female Sprague-</w:t>
      </w:r>
      <w:proofErr w:type="spellStart"/>
      <w:r w:rsidRPr="00B660FF">
        <w:rPr>
          <w:rFonts w:ascii="Times New Roman" w:hAnsi="Times New Roman" w:cs="Times New Roman"/>
          <w:sz w:val="24"/>
          <w:szCs w:val="24"/>
        </w:rPr>
        <w:t>Dawley</w:t>
      </w:r>
      <w:proofErr w:type="spellEnd"/>
      <w:r w:rsidRPr="00B660FF">
        <w:rPr>
          <w:rFonts w:ascii="Times New Roman" w:hAnsi="Times New Roman" w:cs="Times New Roman"/>
          <w:sz w:val="24"/>
          <w:szCs w:val="24"/>
        </w:rPr>
        <w:t xml:space="preserve"> rats were treated with olive oil (control), a combination of 0.1µg EE and 1.0µg N (low COC) or 1.0µg EE and 10.0µg N (high COC) as well as 0.1 or 1.0µg EE and 1.0 or 10.0µg N daily for 6 weeks. Expression of MR target genes in kidney cortex was determined by quantitative real-time polymerase chain reaction. MR was quantified by western blot. Recruitment of MR and RNA polymerase II (Pol II) on promoters of target genes as well as histone code modifications was </w:t>
      </w:r>
      <w:proofErr w:type="spellStart"/>
      <w:r w:rsidRPr="00B660FF">
        <w:rPr>
          <w:rFonts w:ascii="Times New Roman" w:hAnsi="Times New Roman" w:cs="Times New Roman"/>
          <w:sz w:val="24"/>
          <w:szCs w:val="24"/>
        </w:rPr>
        <w:t>analyzed</w:t>
      </w:r>
      <w:proofErr w:type="spellEnd"/>
      <w:r w:rsidRPr="00B660FF">
        <w:rPr>
          <w:rFonts w:ascii="Times New Roman" w:hAnsi="Times New Roman" w:cs="Times New Roman"/>
          <w:sz w:val="24"/>
          <w:szCs w:val="24"/>
        </w:rPr>
        <w:t xml:space="preserve"> by chromatin </w:t>
      </w:r>
      <w:proofErr w:type="spellStart"/>
      <w:r w:rsidRPr="00B660FF">
        <w:rPr>
          <w:rFonts w:ascii="Times New Roman" w:hAnsi="Times New Roman" w:cs="Times New Roman"/>
          <w:sz w:val="24"/>
          <w:szCs w:val="24"/>
        </w:rPr>
        <w:t>immunoprecipitation</w:t>
      </w:r>
      <w:proofErr w:type="spellEnd"/>
      <w:r w:rsidRPr="00B660FF">
        <w:rPr>
          <w:rFonts w:ascii="Times New Roman" w:hAnsi="Times New Roman" w:cs="Times New Roman"/>
          <w:sz w:val="24"/>
          <w:szCs w:val="24"/>
        </w:rPr>
        <w:t xml:space="preserve"> assay. Treatment with COC increased renal cortical expression of MR target genes such as serum and glucocorticoid-regulated kinase 1 (Sgk-1), glucocorticoid-induced </w:t>
      </w:r>
      <w:proofErr w:type="spellStart"/>
      <w:r w:rsidRPr="00B660FF">
        <w:rPr>
          <w:rFonts w:ascii="Times New Roman" w:hAnsi="Times New Roman" w:cs="Times New Roman"/>
          <w:sz w:val="24"/>
          <w:szCs w:val="24"/>
        </w:rPr>
        <w:t>leucine</w:t>
      </w:r>
      <w:proofErr w:type="spellEnd"/>
      <w:r w:rsidRPr="00B660FF">
        <w:rPr>
          <w:rFonts w:ascii="Times New Roman" w:hAnsi="Times New Roman" w:cs="Times New Roman"/>
          <w:sz w:val="24"/>
          <w:szCs w:val="24"/>
        </w:rPr>
        <w:t xml:space="preserve"> zipper (</w:t>
      </w:r>
      <w:proofErr w:type="spellStart"/>
      <w:r w:rsidRPr="00B660FF">
        <w:rPr>
          <w:rFonts w:ascii="Times New Roman" w:hAnsi="Times New Roman" w:cs="Times New Roman"/>
          <w:sz w:val="24"/>
          <w:szCs w:val="24"/>
        </w:rPr>
        <w:t>Gilz</w:t>
      </w:r>
      <w:proofErr w:type="spellEnd"/>
      <w:r w:rsidRPr="00B660FF">
        <w:rPr>
          <w:rFonts w:ascii="Times New Roman" w:hAnsi="Times New Roman" w:cs="Times New Roman"/>
          <w:sz w:val="24"/>
          <w:szCs w:val="24"/>
        </w:rPr>
        <w:t>), epithelial Na+ channel (</w:t>
      </w:r>
      <w:proofErr w:type="spellStart"/>
      <w:r w:rsidRPr="00B660FF">
        <w:rPr>
          <w:rFonts w:ascii="Times New Roman" w:hAnsi="Times New Roman" w:cs="Times New Roman"/>
          <w:sz w:val="24"/>
          <w:szCs w:val="24"/>
        </w:rPr>
        <w:t>Enac</w:t>
      </w:r>
      <w:proofErr w:type="spellEnd"/>
      <w:r w:rsidRPr="00B660FF">
        <w:rPr>
          <w:rFonts w:ascii="Times New Roman" w:hAnsi="Times New Roman" w:cs="Times New Roman"/>
          <w:sz w:val="24"/>
          <w:szCs w:val="24"/>
        </w:rPr>
        <w:t xml:space="preserve">) and Na+-K+-ATPase subunit α1 (Atp1a1). Although COC increased neither serum aldosterone nor MR expression in kidney cortex, it increased recruitment of MR and Pol II in parallel with increased H3Ac and H3K4me3 on the promoter regions of MR target genes. However, treatment with EE or N alone did not affect renal cortical expression of Sgk-1, </w:t>
      </w:r>
      <w:proofErr w:type="spellStart"/>
      <w:r w:rsidRPr="00B660FF">
        <w:rPr>
          <w:rFonts w:ascii="Times New Roman" w:hAnsi="Times New Roman" w:cs="Times New Roman"/>
          <w:sz w:val="24"/>
          <w:szCs w:val="24"/>
        </w:rPr>
        <w:t>Gilz</w:t>
      </w:r>
      <w:proofErr w:type="spellEnd"/>
      <w:r w:rsidRPr="00B660FF">
        <w:rPr>
          <w:rFonts w:ascii="Times New Roman" w:hAnsi="Times New Roman" w:cs="Times New Roman"/>
          <w:sz w:val="24"/>
          <w:szCs w:val="24"/>
        </w:rPr>
        <w:t xml:space="preserve">, </w:t>
      </w:r>
      <w:proofErr w:type="spellStart"/>
      <w:r w:rsidRPr="00B660FF">
        <w:rPr>
          <w:rFonts w:ascii="Times New Roman" w:hAnsi="Times New Roman" w:cs="Times New Roman"/>
          <w:sz w:val="24"/>
          <w:szCs w:val="24"/>
        </w:rPr>
        <w:t>Enac</w:t>
      </w:r>
      <w:proofErr w:type="spellEnd"/>
      <w:r w:rsidRPr="00B660FF">
        <w:rPr>
          <w:rFonts w:ascii="Times New Roman" w:hAnsi="Times New Roman" w:cs="Times New Roman"/>
          <w:sz w:val="24"/>
          <w:szCs w:val="24"/>
        </w:rPr>
        <w:t xml:space="preserve"> or Atp1a1. These results indicate that COC synergistically activates MR through histone code modifications.</w:t>
      </w:r>
    </w:p>
    <w:sectPr w:rsidR="00B660FF" w:rsidRPr="00B660FF" w:rsidSect="00726006">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60FF"/>
    <w:rsid w:val="00726006"/>
    <w:rsid w:val="00B660FF"/>
    <w:rsid w:val="00E87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A65514-AD95-46BE-8960-092310D02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255</Words>
  <Characters>1458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ADEDOYIN IGUNNU</dc:creator>
  <cp:keywords/>
  <dc:description/>
  <cp:lastModifiedBy>DR ADEDOYIN IGUNNU</cp:lastModifiedBy>
  <cp:revision>1</cp:revision>
  <dcterms:created xsi:type="dcterms:W3CDTF">2020-05-25T13:35:00Z</dcterms:created>
  <dcterms:modified xsi:type="dcterms:W3CDTF">2020-05-25T13:43:00Z</dcterms:modified>
</cp:coreProperties>
</file>