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DB2B1" w14:textId="2FCD1DAD" w:rsidR="00406B68" w:rsidRDefault="001162EA">
      <w:pPr>
        <w:spacing w:line="360" w:lineRule="auto"/>
        <w:jc w:val="both"/>
        <w:rPr>
          <w:rFonts w:ascii="Times New Roman" w:hAnsi="Times New Roman" w:cs="Times New Roman"/>
          <w:b/>
          <w:i/>
          <w:sz w:val="24"/>
          <w:szCs w:val="24"/>
        </w:rPr>
      </w:pPr>
      <w:r>
        <w:rPr>
          <w:rFonts w:ascii="Times New Roman" w:hAnsi="Times New Roman" w:cs="Times New Roman"/>
          <w:b/>
          <w:sz w:val="24"/>
          <w:szCs w:val="24"/>
        </w:rPr>
        <w:t>Physicochemical and Sensory Qualities of Pap</w:t>
      </w:r>
      <w:r w:rsidR="00701B96">
        <w:rPr>
          <w:rFonts w:ascii="Times New Roman" w:hAnsi="Times New Roman" w:cs="Times New Roman"/>
          <w:b/>
          <w:sz w:val="24"/>
          <w:szCs w:val="24"/>
        </w:rPr>
        <w:t xml:space="preserve"> (</w:t>
      </w:r>
      <w:proofErr w:type="spellStart"/>
      <w:r w:rsidR="00701B96">
        <w:rPr>
          <w:rFonts w:ascii="Times New Roman" w:hAnsi="Times New Roman" w:cs="Times New Roman"/>
          <w:b/>
          <w:sz w:val="24"/>
          <w:szCs w:val="24"/>
        </w:rPr>
        <w:t>O</w:t>
      </w:r>
      <w:r w:rsidR="00701B96" w:rsidRPr="00701B96">
        <w:rPr>
          <w:rFonts w:ascii="Times New Roman" w:hAnsi="Times New Roman" w:cs="Times New Roman"/>
          <w:b/>
          <w:i/>
          <w:sz w:val="24"/>
          <w:szCs w:val="24"/>
        </w:rPr>
        <w:t>gi</w:t>
      </w:r>
      <w:proofErr w:type="spellEnd"/>
      <w:r w:rsidR="00701B96">
        <w:rPr>
          <w:rFonts w:ascii="Times New Roman" w:hAnsi="Times New Roman" w:cs="Times New Roman"/>
          <w:b/>
          <w:sz w:val="24"/>
          <w:szCs w:val="24"/>
        </w:rPr>
        <w:t>)</w:t>
      </w:r>
      <w:r>
        <w:rPr>
          <w:rFonts w:ascii="Times New Roman" w:hAnsi="Times New Roman" w:cs="Times New Roman"/>
          <w:b/>
          <w:sz w:val="24"/>
          <w:szCs w:val="24"/>
        </w:rPr>
        <w:t xml:space="preserve"> produced from Bio-fortified Maize (</w:t>
      </w:r>
      <w:proofErr w:type="spellStart"/>
      <w:r>
        <w:rPr>
          <w:rFonts w:ascii="Times New Roman" w:hAnsi="Times New Roman" w:cs="Times New Roman"/>
          <w:b/>
          <w:i/>
          <w:sz w:val="24"/>
          <w:szCs w:val="24"/>
        </w:rPr>
        <w:t>Zea</w:t>
      </w:r>
      <w:proofErr w:type="spellEnd"/>
      <w:r>
        <w:rPr>
          <w:rFonts w:ascii="Times New Roman" w:hAnsi="Times New Roman" w:cs="Times New Roman"/>
          <w:b/>
          <w:i/>
          <w:sz w:val="24"/>
          <w:szCs w:val="24"/>
        </w:rPr>
        <w:t xml:space="preserve"> mays L.)</w:t>
      </w:r>
      <w:r>
        <w:rPr>
          <w:rFonts w:ascii="Times New Roman" w:hAnsi="Times New Roman" w:cs="Times New Roman"/>
          <w:b/>
          <w:sz w:val="24"/>
          <w:szCs w:val="24"/>
        </w:rPr>
        <w:t xml:space="preserve"> and Tamarind Fruit Pulp (</w:t>
      </w:r>
      <w:proofErr w:type="spellStart"/>
      <w:r>
        <w:rPr>
          <w:rFonts w:ascii="Times New Roman" w:hAnsi="Times New Roman" w:cs="Times New Roman"/>
          <w:b/>
          <w:i/>
          <w:sz w:val="24"/>
          <w:szCs w:val="24"/>
        </w:rPr>
        <w:t>Tamarindus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indica</w:t>
      </w:r>
      <w:proofErr w:type="spellEnd"/>
      <w:r>
        <w:rPr>
          <w:rFonts w:ascii="Times New Roman" w:hAnsi="Times New Roman" w:cs="Times New Roman"/>
          <w:b/>
          <w:i/>
          <w:sz w:val="24"/>
          <w:szCs w:val="24"/>
        </w:rPr>
        <w:t xml:space="preserve"> L.)</w:t>
      </w:r>
    </w:p>
    <w:p w14:paraId="2C610492" w14:textId="672EB5EC" w:rsidR="00406B68" w:rsidRDefault="001162EA">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vertAlign w:val="superscript"/>
        </w:rPr>
        <w:t>1</w:t>
      </w:r>
      <w:r>
        <w:rPr>
          <w:rFonts w:ascii="Times New Roman" w:hAnsi="Times New Roman" w:cs="Times New Roman"/>
          <w:b/>
          <w:sz w:val="24"/>
          <w:szCs w:val="24"/>
        </w:rPr>
        <w:t>Adegbola </w:t>
      </w:r>
      <w:proofErr w:type="spellStart"/>
      <w:r>
        <w:rPr>
          <w:rFonts w:ascii="Times New Roman" w:hAnsi="Times New Roman" w:cs="Times New Roman"/>
          <w:b/>
          <w:sz w:val="24"/>
          <w:szCs w:val="24"/>
        </w:rPr>
        <w:t>Dauda</w:t>
      </w:r>
      <w:proofErr w:type="spellEnd"/>
      <w:r>
        <w:rPr>
          <w:rFonts w:ascii="Times New Roman" w:hAnsi="Times New Roman" w:cs="Times New Roman"/>
          <w:b/>
          <w:sz w:val="24"/>
          <w:szCs w:val="24"/>
        </w:rPr>
        <w:t>; </w:t>
      </w:r>
      <w:r>
        <w:rPr>
          <w:rFonts w:ascii="Times New Roman" w:hAnsi="Times New Roman" w:cs="Times New Roman"/>
          <w:b/>
          <w:sz w:val="24"/>
          <w:szCs w:val="24"/>
          <w:vertAlign w:val="superscript"/>
        </w:rPr>
        <w:t>1</w:t>
      </w:r>
      <w:r>
        <w:rPr>
          <w:rFonts w:ascii="Times New Roman" w:hAnsi="Times New Roman" w:cs="Times New Roman"/>
          <w:b/>
          <w:sz w:val="24"/>
          <w:szCs w:val="24"/>
        </w:rPr>
        <w:t>Adeshola </w:t>
      </w:r>
      <w:proofErr w:type="spellStart"/>
      <w:r>
        <w:rPr>
          <w:rFonts w:ascii="Times New Roman" w:hAnsi="Times New Roman" w:cs="Times New Roman"/>
          <w:b/>
          <w:sz w:val="24"/>
          <w:szCs w:val="24"/>
        </w:rPr>
        <w:t>Babayeju</w:t>
      </w:r>
      <w:proofErr w:type="spellEnd"/>
      <w:r w:rsidR="00701B96">
        <w:rPr>
          <w:rFonts w:ascii="Times New Roman" w:hAnsi="Times New Roman" w:cs="Times New Roman"/>
          <w:b/>
          <w:sz w:val="24"/>
          <w:szCs w:val="24"/>
        </w:rPr>
        <w:t xml:space="preserve">; </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Rachael </w:t>
      </w:r>
      <w:proofErr w:type="spellStart"/>
      <w:r>
        <w:rPr>
          <w:rFonts w:ascii="Times New Roman" w:hAnsi="Times New Roman" w:cs="Times New Roman"/>
          <w:b/>
          <w:sz w:val="24"/>
          <w:szCs w:val="24"/>
        </w:rPr>
        <w:t>Oyelade</w:t>
      </w:r>
      <w:proofErr w:type="spellEnd"/>
    </w:p>
    <w:p w14:paraId="3F6D8EAC" w14:textId="77777777" w:rsidR="00406B68" w:rsidRDefault="001162E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Department of Home Economics and Food Science, University of Ilorin, P.M.B. 1515, </w:t>
      </w:r>
      <w:proofErr w:type="spellStart"/>
      <w:r>
        <w:rPr>
          <w:rFonts w:ascii="Times New Roman" w:hAnsi="Times New Roman" w:cs="Times New Roman"/>
          <w:b/>
          <w:sz w:val="24"/>
          <w:szCs w:val="24"/>
        </w:rPr>
        <w:t>Tanke</w:t>
      </w:r>
      <w:proofErr w:type="spellEnd"/>
      <w:r>
        <w:rPr>
          <w:rFonts w:ascii="Times New Roman" w:hAnsi="Times New Roman" w:cs="Times New Roman"/>
          <w:b/>
          <w:sz w:val="24"/>
          <w:szCs w:val="24"/>
        </w:rPr>
        <w:t xml:space="preserve"> Road, Ilorin,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2. Department of Agricultural Extension and Rural Development, University of Ibadan, Ibadan, Nigeria</w:t>
      </w:r>
    </w:p>
    <w:p w14:paraId="6907277C" w14:textId="2AA34682" w:rsidR="00406B68" w:rsidRDefault="001162EA">
      <w:pPr>
        <w:spacing w:line="360" w:lineRule="auto"/>
        <w:jc w:val="both"/>
        <w:rPr>
          <w:rFonts w:ascii="Times New Roman" w:hAnsi="Times New Roman" w:cs="Times New Roman"/>
          <w:b/>
          <w:sz w:val="24"/>
          <w:szCs w:val="24"/>
        </w:rPr>
      </w:pPr>
      <w:r>
        <w:rPr>
          <w:rFonts w:ascii="Times New Roman" w:hAnsi="Times New Roman" w:cs="Times New Roman"/>
          <w:b/>
          <w:sz w:val="24"/>
          <w:szCs w:val="24"/>
        </w:rPr>
        <w:t>*Corresponding author: </w:t>
      </w:r>
      <w:hyperlink r:id="rId8" w:history="1">
        <w:r>
          <w:rPr>
            <w:rStyle w:val="Hyperlink"/>
            <w:rFonts w:ascii="Times New Roman" w:hAnsi="Times New Roman" w:cs="Times New Roman"/>
            <w:b/>
            <w:sz w:val="24"/>
            <w:szCs w:val="24"/>
          </w:rPr>
          <w:t>dauda.ao@unilorin.edu.ng</w:t>
        </w:r>
      </w:hyperlink>
      <w:r>
        <w:rPr>
          <w:rFonts w:ascii="Times New Roman" w:hAnsi="Times New Roman" w:cs="Times New Roman"/>
          <w:b/>
          <w:sz w:val="24"/>
          <w:szCs w:val="24"/>
        </w:rPr>
        <w:t>; </w:t>
      </w:r>
      <w:hyperlink r:id="rId9" w:history="1">
        <w:r>
          <w:rPr>
            <w:rStyle w:val="Hyperlink"/>
            <w:rFonts w:ascii="Times New Roman" w:hAnsi="Times New Roman" w:cs="Times New Roman"/>
            <w:b/>
            <w:sz w:val="24"/>
            <w:szCs w:val="24"/>
          </w:rPr>
          <w:t>adegboladauda@yahoo.com</w:t>
        </w:r>
      </w:hyperlink>
      <w:r>
        <w:rPr>
          <w:rFonts w:ascii="Times New Roman" w:hAnsi="Times New Roman" w:cs="Times New Roman"/>
          <w:b/>
          <w:sz w:val="24"/>
          <w:szCs w:val="24"/>
        </w:rPr>
        <w:t>; +2348055369645;</w:t>
      </w:r>
      <w:r w:rsidR="00751841">
        <w:rPr>
          <w:rFonts w:ascii="Times New Roman" w:hAnsi="Times New Roman" w:cs="Times New Roman"/>
          <w:b/>
          <w:sz w:val="24"/>
          <w:szCs w:val="24"/>
        </w:rPr>
        <w:t xml:space="preserve"> </w:t>
      </w:r>
      <w:r>
        <w:rPr>
          <w:rFonts w:ascii="Times New Roman" w:hAnsi="Times New Roman" w:cs="Times New Roman"/>
          <w:b/>
          <w:sz w:val="24"/>
          <w:szCs w:val="24"/>
        </w:rPr>
        <w:t>+2347086382585</w:t>
      </w:r>
    </w:p>
    <w:p w14:paraId="5282B96E" w14:textId="77777777" w:rsidR="00406B68" w:rsidRDefault="001162EA">
      <w:pPr>
        <w:tabs>
          <w:tab w:val="left" w:pos="3831"/>
        </w:tabs>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Abstract: </w:t>
      </w:r>
      <w:proofErr w:type="spellStart"/>
      <w:r>
        <w:rPr>
          <w:rFonts w:ascii="Times New Roman" w:hAnsi="Times New Roman" w:cs="Times New Roman"/>
          <w:i/>
          <w:sz w:val="24"/>
          <w:szCs w:val="24"/>
        </w:rPr>
        <w:t>Ogi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 fermented cereal-based product, is low in vitamin A, and needs fortification, most especially for children. Tamarind fruit pulp was added to the maize for </w:t>
      </w:r>
      <w:proofErr w:type="spellStart"/>
      <w:r>
        <w:rPr>
          <w:rFonts w:ascii="Times New Roman" w:hAnsi="Times New Roman" w:cs="Times New Roman"/>
          <w:i/>
          <w:sz w:val="24"/>
          <w:szCs w:val="24"/>
        </w:rPr>
        <w:t>ogi</w:t>
      </w:r>
      <w:proofErr w:type="spellEnd"/>
      <w:r>
        <w:rPr>
          <w:rFonts w:ascii="Times New Roman" w:hAnsi="Times New Roman" w:cs="Times New Roman"/>
          <w:sz w:val="24"/>
          <w:szCs w:val="24"/>
        </w:rPr>
        <w:t xml:space="preserve"> processing before wet-milling at 5%, 10%, 15%, 20%, 25%, 30% levels for nutrient and health benefits. Physicochemical and sensory qualities of the pap produced were evaluated. The samples prepared were samples A (100% maize), B (95% maize, 5% tamarind), C (90% maize, 10% tamarind), D (85% maize, 15% tamarind), E (80% maize, 20% tamarind), F (75% maize, 25% tamarind), G (70% maize, 30% tamarind). Beta carotene, proximate, swelling capacity, mineral, anti-nutritional and sensory properties of the samples was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standard methods. The control (sample A) had the highest Beta carotene content (35.98 µg/ml), but reduced with increased tamarind pulp addition. Proximate composition was moisture (66.70–65.40%), protein (10.40–9.74%), fat (5.56–7.66%),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(0.61–1.02%), ash (0.88–1.19%), and carbohydrate (15.85–14.99%). The swelling capacity increased as tamarind quantity increased. Calcium, magnesium, sodium, potassium, copper, zinc were 3.00–2.00 mg/L; 2.00-2.32 mg/L; 1.84-1.88 mg/L; 1.28 – 1.02 mg/L; 0.02-0.01 mg/L and 0.68-0.59 respectively, with the treated samples having the highest quantities. The oxalates, tannins, </w:t>
      </w:r>
      <w:proofErr w:type="spellStart"/>
      <w:r>
        <w:rPr>
          <w:rFonts w:ascii="Times New Roman" w:hAnsi="Times New Roman" w:cs="Times New Roman"/>
          <w:sz w:val="24"/>
          <w:szCs w:val="24"/>
        </w:rPr>
        <w:t>phytates</w:t>
      </w:r>
      <w:proofErr w:type="spellEnd"/>
      <w:r>
        <w:rPr>
          <w:rFonts w:ascii="Times New Roman" w:hAnsi="Times New Roman" w:cs="Times New Roman"/>
          <w:sz w:val="24"/>
          <w:szCs w:val="24"/>
        </w:rPr>
        <w:t xml:space="preserve"> were 13.13-11.03mg; 1.48-1.43mg and 0.90-1.23mg respectively. The lightness, redness and yellowness of the samples reduced with increased tamarind content. The sensory evaluation showed that sample G (70% maize, 30% tamarind) was the most preferred, and can be concluded that tamarind improved pap-quality in terms of organoleptic and nutritional properties.</w:t>
      </w:r>
    </w:p>
    <w:p w14:paraId="7C1094B0" w14:textId="77777777" w:rsidR="00406B68" w:rsidRDefault="001162EA">
      <w:pPr>
        <w:tabs>
          <w:tab w:val="left" w:pos="3831"/>
        </w:tabs>
        <w:spacing w:line="360" w:lineRule="auto"/>
        <w:jc w:val="both"/>
        <w:rPr>
          <w:rFonts w:ascii="Times New Roman" w:hAnsi="Times New Roman" w:cs="Times New Roman"/>
          <w:i/>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Pr>
          <w:rFonts w:ascii="Times New Roman" w:hAnsi="Times New Roman" w:cs="Times New Roman"/>
          <w:i/>
          <w:sz w:val="24"/>
          <w:szCs w:val="24"/>
        </w:rPr>
        <w:t xml:space="preserve">Bio-fortified maize, tamarind seed, fermentation process, pro-vitamin A, </w:t>
      </w:r>
      <w:proofErr w:type="spellStart"/>
      <w:r>
        <w:rPr>
          <w:rFonts w:ascii="Times New Roman" w:hAnsi="Times New Roman" w:cs="Times New Roman"/>
          <w:i/>
          <w:sz w:val="24"/>
          <w:szCs w:val="24"/>
        </w:rPr>
        <w:t>ogi</w:t>
      </w:r>
      <w:proofErr w:type="spellEnd"/>
    </w:p>
    <w:p w14:paraId="618C7A8C" w14:textId="77777777" w:rsidR="00406B68" w:rsidRDefault="001162EA">
      <w:pPr>
        <w:spacing w:line="480" w:lineRule="auto"/>
        <w:jc w:val="both"/>
        <w:rPr>
          <w:rFonts w:ascii="Times New Roman" w:hAnsi="Times New Roman" w:cs="Times New Roman"/>
          <w:i/>
          <w:color w:val="000000"/>
          <w:sz w:val="24"/>
          <w:szCs w:val="24"/>
        </w:rPr>
      </w:pPr>
      <w:r>
        <w:rPr>
          <w:rFonts w:ascii="Times New Roman" w:hAnsi="Times New Roman" w:cs="Times New Roman"/>
          <w:b/>
          <w:sz w:val="24"/>
          <w:szCs w:val="24"/>
        </w:rPr>
        <w:t xml:space="preserve">Introduction: </w:t>
      </w:r>
      <w:r>
        <w:rPr>
          <w:rFonts w:ascii="Times New Roman" w:hAnsi="Times New Roman" w:cs="Times New Roman"/>
          <w:sz w:val="24"/>
          <w:szCs w:val="24"/>
        </w:rPr>
        <w:t xml:space="preserve">Breakfast is commonly referred to as the most important meal of the day, a meal that ends a long overnight fast, and provides the body with energy for the day’s use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&lt;EndNote&gt;&lt;Cite&gt;&lt;Author&gt;Hochberg-Garrett&lt;/Author&gt;&lt;Year&gt;2008&lt;/Year&gt;&lt;RecNum&gt;53&lt;/RecNum&gt;&lt;DisplayText&gt;(Hochberg-Garrett, 2008)&lt;/DisplayText&gt;&lt;record&gt;&lt;rec-number&gt;53&lt;/rec-number&gt;&lt;foreign-keys&gt;&lt;key app="EN" db-id="tz9rpzspgx2teie0pzs5w5a7v2exvttzvvdr"&gt;53&lt;/key&gt;&lt;/foreign-keys&gt;&lt;ref-type name="Thesis"&gt;32&lt;/ref-type&gt;&lt;contributors&gt;&lt;authors&gt;&lt;author&gt;Hochberg-Garrett, Heather F&lt;/author&gt;&lt;/authors&gt;&lt;/contributors&gt;&lt;titles&gt;&lt;title&gt;The Skip To Breakfast project: Development, implementation, and feasibility evaluation of an intervention to increase healthful breakfast consumption among fifth grade students and their families&lt;/title&gt;&lt;/titles&gt;&lt;dates&gt;&lt;year&gt;2008&lt;/year&gt;&lt;/dates&gt;&lt;publisher&gt;The University of Texas School of Public Health&lt;/publisher&gt;&lt;isbn&gt;0549455671&lt;/isbn&gt;&lt;urls&gt;&lt;/urls&gt;&lt;/record&gt;&lt;/Cite&gt;&lt;/EndNote&gt;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7" w:tooltip="Hochberg-Garrett, 2008 #53" w:history="1">
        <w:r>
          <w:rPr>
            <w:rFonts w:ascii="Times New Roman" w:hAnsi="Times New Roman" w:cs="Times New Roman"/>
            <w:sz w:val="24"/>
            <w:szCs w:val="24"/>
          </w:rPr>
          <w:t>Hochberg-Garrett, 2008</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color w:val="000000"/>
          <w:sz w:val="24"/>
          <w:szCs w:val="24"/>
        </w:rPr>
        <w:t>Breakfast of cereals in developing countries, has a recognized role in balanced diet. D</w:t>
      </w:r>
      <w:r>
        <w:rPr>
          <w:rFonts w:ascii="Times New Roman" w:hAnsi="Times New Roman" w:cs="Times New Roman"/>
          <w:sz w:val="24"/>
          <w:szCs w:val="24"/>
        </w:rPr>
        <w:t xml:space="preserve">ietary guidelines says high nutrient density of breakfast cereals makes an important source of key nutrients, as they provide vital </w:t>
      </w:r>
      <w:r>
        <w:rPr>
          <w:rFonts w:ascii="Times New Roman" w:hAnsi="Times New Roman" w:cs="Times New Roman"/>
          <w:sz w:val="24"/>
          <w:szCs w:val="24"/>
        </w:rPr>
        <w:lastRenderedPageBreak/>
        <w:t xml:space="preserve">vitamins and minerals, as well as important sources of antioxidants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&lt;EndNote&gt;&lt;Cite&gt;&lt;Author&gt;Williams&lt;/Author&gt;&lt;Year&gt;2014&lt;/Year&gt;&lt;RecNum&gt;47&lt;/RecNum&gt;&lt;DisplayText&gt;(Williams, 2014)&lt;/DisplayText&gt;&lt;record&gt;&lt;rec-number&gt;47&lt;/rec-number&gt;&lt;foreign-keys&gt;&lt;key app="EN" db-id="tz9rpzspgx2teie0pzs5w5a7v2exvttzvvdr"&gt;47&lt;/key&gt;&lt;/foreign-keys&gt;&lt;ref-type name="Journal Article"&gt;17&lt;/ref-type&gt;&lt;contributors&gt;&lt;authors&gt;&lt;author&gt;Williams, Peter G&lt;/author&gt;&lt;/authors&gt;&lt;/contributors&gt;&lt;titles&gt;&lt;title&gt;The benefits of breakfast cereal consumption: a systematic review of the evidence base&lt;/title&gt;&lt;secondary-title&gt;Advances in Nutrition&lt;/secondary-title&gt;&lt;/titles&gt;&lt;periodical&gt;&lt;full-title&gt;Advances in Nutrition&lt;/full-title&gt;&lt;/periodical&gt;&lt;pages&gt;636S-673S&lt;/pages&gt;&lt;volume&gt;5&lt;/volume&gt;&lt;number&gt;5&lt;/number&gt;&lt;dates&gt;&lt;year&gt;2014&lt;/year&gt;&lt;/dates&gt;&lt;isbn&gt;2156-5376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67" w:tooltip="Williams, 2014 #47" w:history="1">
        <w:r>
          <w:rPr>
            <w:rFonts w:ascii="Times New Roman" w:hAnsi="Times New Roman" w:cs="Times New Roman"/>
            <w:sz w:val="24"/>
            <w:szCs w:val="24"/>
          </w:rPr>
          <w:t>Williams, 2014</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Cereal account for about 35% worldwide daily calorie intake, and locally and/or fermented cereal foods (e.g. </w:t>
      </w:r>
      <w:proofErr w:type="spellStart"/>
      <w:r>
        <w:rPr>
          <w:rFonts w:ascii="Times New Roman" w:hAnsi="Times New Roman" w:cs="Times New Roman"/>
          <w:i/>
          <w:color w:val="000000"/>
          <w:sz w:val="24"/>
          <w:szCs w:val="24"/>
        </w:rPr>
        <w:t>ogi</w:t>
      </w:r>
      <w:proofErr w:type="spellEnd"/>
      <w:r>
        <w:rPr>
          <w:rFonts w:ascii="Times New Roman" w:hAnsi="Times New Roman" w:cs="Times New Roman"/>
          <w:color w:val="000000"/>
          <w:sz w:val="24"/>
          <w:szCs w:val="24"/>
        </w:rPr>
        <w:t xml:space="preserve"> or pap) are key part of human diet in Africa, and sources of nutrients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&lt;EndNote&gt;&lt;Cite&gt;&lt;Author&gt;Obinna‐Echem&lt;/Author&gt;&lt;Year&gt;2014&lt;/Year&gt;&lt;RecNum&gt;28&lt;/RecNum&gt;&lt;DisplayText&gt;(Obinna‐Echem&lt;style face="italic"&gt; et al.&lt;/style&gt;, 2014)&lt;/DisplayText&gt;&lt;record&gt;&lt;rec-number&gt;28&lt;/rec-number&gt;&lt;foreign-keys&gt;&lt;key app="EN" db-id="tz9rpzspgx2teie0pzs5w5a7v2exvttzvvdr"&gt;28&lt;/key&gt;&lt;/foreign-keys&gt;&lt;ref-type name="Journal Article"&gt;17&lt;/ref-type&gt;&lt;contributors&gt;&lt;authors&gt;&lt;author&gt;Obinna‐Echem, Patience C&lt;/author&gt;&lt;author&gt;Kuri, Victor&lt;/author&gt;&lt;author&gt;Beal, Jane&lt;/author&gt;&lt;/authors&gt;&lt;/contributors&gt;&lt;titles&gt;&lt;title&gt;Evaluation of the microbial community, acidity and proximate composition of akamu, a fermented maize food&lt;/title&gt;&lt;secondary-title&gt;Journal of the Science of Food and Agriculture&lt;/secondary-title&gt;&lt;/titles&gt;&lt;periodical&gt;&lt;full-title&gt;Journal of the Science of Food and Agriculture&lt;/full-title&gt;&lt;/periodical&gt;&lt;pages&gt;331-340&lt;/pages&gt;&lt;volume&gt;94&lt;/volume&gt;&lt;number&gt;2&lt;/number&gt;&lt;dates&gt;&lt;year&gt;2014&lt;/year&gt;&lt;/dates&gt;&lt;isbn&gt;0022-5142&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w:t>
      </w:r>
      <w:hyperlink w:anchor="_ENREF_41" w:tooltip="Obinna‐Echem, 2014 #28" w:history="1">
        <w:r>
          <w:rPr>
            <w:rFonts w:ascii="Times New Roman" w:hAnsi="Times New Roman" w:cs="Times New Roman"/>
            <w:color w:val="000000"/>
            <w:sz w:val="24"/>
            <w:szCs w:val="24"/>
          </w:rPr>
          <w:t>Obinna‐Echem</w:t>
        </w:r>
        <w:r>
          <w:rPr>
            <w:rFonts w:ascii="Times New Roman" w:hAnsi="Times New Roman" w:cs="Times New Roman"/>
            <w:i/>
            <w:color w:val="000000"/>
            <w:sz w:val="24"/>
            <w:szCs w:val="24"/>
          </w:rPr>
          <w:t xml:space="preserve"> et al.</w:t>
        </w:r>
        <w:r>
          <w:rPr>
            <w:rFonts w:ascii="Times New Roman" w:hAnsi="Times New Roman" w:cs="Times New Roman"/>
            <w:color w:val="000000"/>
            <w:sz w:val="24"/>
            <w:szCs w:val="24"/>
          </w:rPr>
          <w:t>, 2014</w:t>
        </w:r>
      </w:hyperlink>
      <w:r>
        <w:rPr>
          <w:rFonts w:ascii="Times New Roman" w:hAnsi="Times New Roman" w:cs="Times New Roman"/>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p>
    <w:p w14:paraId="5149FB8D"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bCs/>
          <w:sz w:val="24"/>
          <w:szCs w:val="24"/>
        </w:rPr>
        <w:t xml:space="preserve">Cereals are cultivated fruit grasses of the monocotyledonous family </w:t>
      </w:r>
      <w:proofErr w:type="spellStart"/>
      <w:r>
        <w:rPr>
          <w:rFonts w:ascii="Times New Roman" w:hAnsi="Times New Roman" w:cs="Times New Roman"/>
          <w:bCs/>
          <w:i/>
          <w:sz w:val="24"/>
          <w:szCs w:val="24"/>
        </w:rPr>
        <w:t>Graminae</w:t>
      </w:r>
      <w:proofErr w:type="spellEnd"/>
      <w:r>
        <w:rPr>
          <w:rFonts w:ascii="Times New Roman" w:hAnsi="Times New Roman" w:cs="Times New Roman"/>
          <w:bCs/>
          <w:i/>
          <w:sz w:val="24"/>
          <w:szCs w:val="24"/>
        </w:rPr>
        <w:t xml:space="preserve"> </w:t>
      </w:r>
      <w:r>
        <w:rPr>
          <w:rFonts w:ascii="Times New Roman" w:hAnsi="Times New Roman" w:cs="Times New Roman"/>
          <w:bCs/>
          <w:i/>
          <w:sz w:val="24"/>
          <w:szCs w:val="24"/>
        </w:rPr>
        <w:fldChar w:fldCharType="begin"/>
      </w:r>
      <w:r>
        <w:rPr>
          <w:rFonts w:ascii="Times New Roman" w:hAnsi="Times New Roman" w:cs="Times New Roman"/>
          <w:bCs/>
          <w:i/>
          <w:sz w:val="24"/>
          <w:szCs w:val="24"/>
        </w:rPr>
        <w:instrText xml:space="preserve"> ADDIN EN.CITE &lt;EndNote&gt;&lt;Cite&gt;&lt;Author&gt;Usman&lt;/Author&gt;&lt;Year&gt;2012&lt;/Year&gt;&lt;RecNum&gt;58&lt;/RecNum&gt;&lt;DisplayText&gt;(Usman, 2012)&lt;/DisplayText&gt;&lt;record&gt;&lt;rec-number&gt;58&lt;/rec-number&gt;&lt;foreign-keys&gt;&lt;key app="EN" db-id="tz9rpzspgx2teie0pzs5w5a7v2exvttzvvdr"&gt;58&lt;/key&gt;&lt;/foreign-keys&gt;&lt;ref-type name="Thesis"&gt;32&lt;/ref-type&gt;&lt;contributors&gt;&lt;authors&gt;&lt;author&gt;Usman, Grace Ojali&lt;/author&gt;&lt;/authors&gt;&lt;/contributors&gt;&lt;titles&gt;&lt;title&gt;Production and evaluation of breakfast cereals from blends of african yam bean (Sphenostylis stenocarpa), maize (Zea mays) and defatted coconut (Cocos nucifera)&lt;/title&gt;&lt;/titles&gt;&lt;dates&gt;&lt;year&gt;2012&lt;/year&gt;&lt;/dates&gt;&lt;publisher&gt;M. Sc Thesis, Department of Food Science and Technology, Nniversity of …&lt;/publisher&gt;&lt;urls&gt;&lt;/urls&gt;&lt;/record&gt;&lt;/Cite&gt;&lt;/EndNote&gt;</w:instrText>
      </w:r>
      <w:r>
        <w:rPr>
          <w:rFonts w:ascii="Times New Roman" w:hAnsi="Times New Roman" w:cs="Times New Roman"/>
          <w:bCs/>
          <w:i/>
          <w:sz w:val="24"/>
          <w:szCs w:val="24"/>
        </w:rPr>
        <w:fldChar w:fldCharType="separate"/>
      </w:r>
      <w:r>
        <w:rPr>
          <w:rFonts w:ascii="Times New Roman" w:hAnsi="Times New Roman" w:cs="Times New Roman"/>
          <w:bCs/>
          <w:sz w:val="24"/>
          <w:szCs w:val="24"/>
        </w:rPr>
        <w:t>(</w:t>
      </w:r>
      <w:hyperlink w:anchor="_ENREF_64" w:tooltip="Usman, 2012 #58" w:history="1">
        <w:r>
          <w:rPr>
            <w:rFonts w:ascii="Times New Roman" w:hAnsi="Times New Roman" w:cs="Times New Roman"/>
            <w:bCs/>
            <w:sz w:val="24"/>
            <w:szCs w:val="24"/>
          </w:rPr>
          <w:t>Usman, 2012</w:t>
        </w:r>
      </w:hyperlink>
      <w:r>
        <w:rPr>
          <w:rFonts w:ascii="Times New Roman" w:hAnsi="Times New Roman" w:cs="Times New Roman"/>
          <w:bCs/>
          <w:i/>
          <w:sz w:val="24"/>
          <w:szCs w:val="24"/>
        </w:rPr>
        <w:t>)</w:t>
      </w:r>
      <w:r>
        <w:rPr>
          <w:rFonts w:ascii="Times New Roman" w:hAnsi="Times New Roman" w:cs="Times New Roman"/>
          <w:bCs/>
          <w:i/>
          <w:sz w:val="24"/>
          <w:szCs w:val="24"/>
        </w:rPr>
        <w:fldChar w:fldCharType="end"/>
      </w:r>
      <w:r>
        <w:rPr>
          <w:rFonts w:ascii="Times New Roman" w:hAnsi="Times New Roman" w:cs="Times New Roman"/>
          <w:bCs/>
          <w:i/>
          <w:sz w:val="24"/>
          <w:szCs w:val="24"/>
        </w:rPr>
        <w:t xml:space="preserve">, </w:t>
      </w:r>
      <w:r>
        <w:rPr>
          <w:rFonts w:ascii="Times New Roman" w:hAnsi="Times New Roman" w:cs="Times New Roman"/>
          <w:bCs/>
          <w:sz w:val="24"/>
          <w:szCs w:val="24"/>
        </w:rPr>
        <w:t xml:space="preserve">and are staples providing carbohydrate, protein, B-vitamins and minerals for world’s population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EN.CITE &lt;EndNote&gt;&lt;Cite&gt;&lt;Author&gt;Uwagbale&lt;/Author&gt;&lt;Year&gt;2016&lt;/Year&gt;&lt;RecNum&gt;62&lt;/RecNum&gt;&lt;DisplayText&gt;(Uwagbale&lt;style face="italic"&gt; et al.&lt;/style&gt;, 2016)&lt;/DisplayText&gt;&lt;record&gt;&lt;rec-number&gt;62&lt;/rec-number&gt;&lt;foreign-keys&gt;&lt;key app="EN" db-id="tz9rpzspgx2teie0pzs5w5a7v2exvttzvvdr"&gt;62&lt;/key&gt;&lt;/foreign-keys&gt;&lt;ref-type name="Journal Article"&gt;17&lt;/ref-type&gt;&lt;contributors&gt;&lt;authors&gt;&lt;author&gt;Uwagbale, Edward-Ekpu Douglas&lt;/author&gt;&lt;author&gt;Saratu, Audu Stephen&lt;/author&gt;&lt;author&gt;Akagwu, Odiba Victor&lt;/author&gt;&lt;author&gt;Stephen, Okopi Ochaba&lt;/author&gt;&lt;author&gt;Lilian, Affiku Manyi&lt;/author&gt;&lt;/authors&gt;&lt;/contributors&gt;&lt;titles&gt;&lt;title&gt;African Cereals and Non-African Cereals: A Comparative Review of Their Nutritional Composition&lt;/title&gt;&lt;secondary-title&gt;World&lt;/secondary-title&gt;&lt;/titles&gt;&lt;periodical&gt;&lt;full-title&gt;World&lt;/full-title&gt;&lt;/periodical&gt;&lt;pages&gt;30-37&lt;/pages&gt;&lt;volume&gt;1&lt;/volume&gt;&lt;number&gt;1&lt;/number&gt;&lt;dates&gt;&lt;year&gt;2016&lt;/year&gt;&lt;/dates&gt;&lt;urls&gt;&lt;/urls&gt;&lt;/record&gt;&lt;/Cite&gt;&lt;/EndNote&gt;</w:instrText>
      </w:r>
      <w:r>
        <w:rPr>
          <w:rFonts w:ascii="Times New Roman" w:hAnsi="Times New Roman" w:cs="Times New Roman"/>
          <w:bCs/>
          <w:sz w:val="24"/>
          <w:szCs w:val="24"/>
        </w:rPr>
        <w:fldChar w:fldCharType="separate"/>
      </w:r>
      <w:r>
        <w:rPr>
          <w:rFonts w:ascii="Times New Roman" w:hAnsi="Times New Roman" w:cs="Times New Roman"/>
          <w:bCs/>
          <w:sz w:val="24"/>
          <w:szCs w:val="24"/>
        </w:rPr>
        <w:t>(</w:t>
      </w:r>
      <w:hyperlink w:anchor="_ENREF_65" w:tooltip="Uwagbale, 2016 #62" w:history="1">
        <w:r>
          <w:rPr>
            <w:rFonts w:ascii="Times New Roman" w:hAnsi="Times New Roman" w:cs="Times New Roman"/>
            <w:bCs/>
            <w:sz w:val="24"/>
            <w:szCs w:val="24"/>
          </w:rPr>
          <w:t>Uwagbale</w:t>
        </w:r>
        <w:r>
          <w:rPr>
            <w:rFonts w:ascii="Times New Roman" w:hAnsi="Times New Roman" w:cs="Times New Roman"/>
            <w:bCs/>
            <w:i/>
            <w:sz w:val="24"/>
            <w:szCs w:val="24"/>
          </w:rPr>
          <w:t xml:space="preserve"> et al.</w:t>
        </w:r>
        <w:r>
          <w:rPr>
            <w:rFonts w:ascii="Times New Roman" w:hAnsi="Times New Roman" w:cs="Times New Roman"/>
            <w:bCs/>
            <w:sz w:val="24"/>
            <w:szCs w:val="24"/>
          </w:rPr>
          <w:t>, 2016</w:t>
        </w:r>
      </w:hyperlink>
      <w:r>
        <w:rPr>
          <w:rFonts w:ascii="Times New Roman" w:hAnsi="Times New Roman" w:cs="Times New Roman"/>
          <w:bCs/>
          <w:sz w:val="24"/>
          <w:szCs w:val="24"/>
        </w:rPr>
        <w:t>)</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with main ones being wheat, barley, rice, maize, sorghum and millets. However, maize, rice, sorghum and millets are most common in developing countries. </w:t>
      </w:r>
      <w:r>
        <w:rPr>
          <w:rFonts w:ascii="Times New Roman" w:hAnsi="Times New Roman" w:cs="Times New Roman"/>
          <w:sz w:val="24"/>
          <w:szCs w:val="24"/>
        </w:rPr>
        <w:t xml:space="preserve">Maize is important, as it provides food and fuel for humans and animals, nutritionally rich and useful industrially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&lt;EndNote&gt;&lt;Cite&gt;&lt;Author&gt;Afzal&lt;/Author&gt;&lt;Year&gt;2009&lt;/Year&gt;&lt;RecNum&gt;29&lt;/RecNum&gt;&lt;DisplayText&gt;(Afzal&lt;style face="italic"&gt; et al.&lt;/style&gt;, 2009)&lt;/DisplayText&gt;&lt;record&gt;&lt;rec-number&gt;29&lt;/rec-number&gt;&lt;foreign-keys&gt;&lt;key app="EN" db-id="tz9rpzspgx2teie0pzs5w5a7v2exvttzvvdr"&gt;29&lt;/key&gt;&lt;/foreign-keys&gt;&lt;ref-type name="Journal Article"&gt;17&lt;/ref-type&gt;&lt;contributors&gt;&lt;authors&gt;&lt;author&gt;Afzal, Muhammad&lt;/author&gt;&lt;author&gt;Nazir, Zahid&lt;/author&gt;&lt;author&gt;Bashir, Muhammad Hamid&lt;/author&gt;&lt;author&gt;Khan, Bilal Saeed&lt;/author&gt;&lt;/authors&gt;&lt;/contributors&gt;&lt;titles&gt;&lt;title&gt;Analysis of host plant resistance in some genotypes of maize against Chilo partellus (Swinhoe)(Pyralidae: Lepidoptera)&lt;/title&gt;&lt;secondary-title&gt;Pak. J. Bot&lt;/secondary-title&gt;&lt;/titles&gt;&lt;periodical&gt;&lt;full-title&gt;Pak. J. Bot&lt;/full-title&gt;&lt;/periodical&gt;&lt;pages&gt;421-428&lt;/pages&gt;&lt;volume&gt;41&lt;/volume&gt;&lt;number&gt;1&lt;/number&gt;&lt;dates&gt;&lt;year&gt;2009&lt;/year&gt;&lt;/dates&gt;&lt;urls&gt;&lt;/urls&gt;&lt;/record&gt;&lt;/Cite&gt;&lt;/EndNote&gt;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4" w:tooltip="Afzal, 2009 #29" w:history="1">
        <w:r>
          <w:rPr>
            <w:rFonts w:ascii="Times New Roman" w:hAnsi="Times New Roman" w:cs="Times New Roman"/>
            <w:sz w:val="24"/>
            <w:szCs w:val="24"/>
          </w:rPr>
          <w:t>Afzal</w:t>
        </w:r>
        <w:r>
          <w:rPr>
            <w:rFonts w:ascii="Times New Roman" w:hAnsi="Times New Roman" w:cs="Times New Roman"/>
            <w:i/>
            <w:sz w:val="24"/>
            <w:szCs w:val="24"/>
          </w:rPr>
          <w:t xml:space="preserve"> et al.</w:t>
        </w:r>
        <w:r>
          <w:rPr>
            <w:rFonts w:ascii="Times New Roman" w:hAnsi="Times New Roman" w:cs="Times New Roman"/>
            <w:sz w:val="24"/>
            <w:szCs w:val="24"/>
          </w:rPr>
          <w:t>, 2009</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Maize has high phosphorus, small amounts of calcium, iron, thiamine, niacin, fat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&lt;EndNote&gt;&lt;Cite&gt;&lt;Author&gt;Adeyemo&lt;/Author&gt;&lt;Year&gt;1984&lt;/Year&gt;&lt;RecNum&gt;31&lt;/RecNum&gt;&lt;DisplayText&gt;(Adeyemo, 1984)&lt;/DisplayText&gt;&lt;record&gt;&lt;rec-number&gt;31&lt;/rec-number&gt;&lt;foreign-keys&gt;&lt;key app="EN" db-id="tz9rpzspgx2teie0pzs5w5a7v2exvttzvvdr"&gt;31&lt;/key&gt;&lt;/foreign-keys&gt;&lt;ref-type name="Journal Article"&gt;17&lt;/ref-type&gt;&lt;contributors&gt;&lt;authors&gt;&lt;author&gt;Adeyemo, Remi&lt;/author&gt;&lt;/authors&gt;&lt;/contributors&gt;&lt;titles&gt;&lt;title&gt;Maize-Consumption Expenditure of Rural and Urban Workers: Implications for Nigeria&lt;/title&gt;&lt;secondary-title&gt;The Journal of Modern African Studies&lt;/secondary-title&gt;&lt;/titles&gt;&lt;periodical&gt;&lt;full-title&gt;The Journal of Modern African Studies&lt;/full-title&gt;&lt;/periodical&gt;&lt;pages&gt;163-166&lt;/pages&gt;&lt;volume&gt;22&lt;/volume&gt;&lt;number&gt;1&lt;/number&gt;&lt;dates&gt;&lt;year&gt;1984&lt;/year&gt;&lt;/dates&gt;&lt;isbn&gt;1469-7777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 w:tooltip="Adeyemo, 1984 #31" w:history="1">
        <w:r>
          <w:rPr>
            <w:rFonts w:ascii="Times New Roman" w:hAnsi="Times New Roman" w:cs="Times New Roman"/>
            <w:sz w:val="24"/>
            <w:szCs w:val="24"/>
          </w:rPr>
          <w:t>Adeyemo, 1984</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but yield high energy per unit land, ensures food availability and security to consumers etc.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&lt;EndNote&gt;&lt;Cite&gt;&lt;Author&gt;Mboya&lt;/Author&gt;&lt;Year&gt;2011&lt;/Year&gt;&lt;RecNum&gt;30&lt;/RecNum&gt;&lt;DisplayText&gt;(Mboya&lt;style face="italic"&gt; et al.&lt;/style&gt;, 2011)&lt;/DisplayText&gt;&lt;record&gt;&lt;rec-number&gt;30&lt;/rec-number&gt;&lt;foreign-keys&gt;&lt;key app="EN" db-id="tz9rpzspgx2teie0pzs5w5a7v2exvttzvvdr"&gt;30&lt;/key&gt;&lt;/foreign-keys&gt;&lt;ref-type name="Journal Article"&gt;17&lt;/ref-type&gt;&lt;contributors&gt;&lt;authors&gt;&lt;author&gt;Mboya, Rose&lt;/author&gt;&lt;author&gt;Tongoona, P&lt;/author&gt;&lt;author&gt;Derera, J&lt;/author&gt;&lt;author&gt;Mudhara, M&lt;/author&gt;&lt;author&gt;Langyintuo, A&lt;/author&gt;&lt;/authors&gt;&lt;/contributors&gt;&lt;titles&gt;&lt;title&gt;The dietary importance of maize in Katumba ward, Rungwe district, Tanzania, and its contribution to household food security&lt;/title&gt;&lt;secondary-title&gt;African Journal of Agricultural Research&lt;/secondary-title&gt;&lt;/titles&gt;&lt;periodical&gt;&lt;full-title&gt;African Journal of Agricultural Research&lt;/full-title&gt;&lt;/periodical&gt;&lt;pages&gt;2617-2626&lt;/pages&gt;&lt;volume&gt;6&lt;/volume&gt;&lt;number&gt;11&lt;/number&gt;&lt;dates&gt;&lt;year&gt;2011&lt;/year&gt;&lt;/dates&gt;&lt;isbn&gt;1991-637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36" w:tooltip="Mboya, 2011 #30" w:history="1">
        <w:r>
          <w:rPr>
            <w:rFonts w:ascii="Times New Roman" w:hAnsi="Times New Roman" w:cs="Times New Roman"/>
            <w:sz w:val="24"/>
            <w:szCs w:val="24"/>
          </w:rPr>
          <w:t>Mboya</w:t>
        </w:r>
        <w:r>
          <w:rPr>
            <w:rFonts w:ascii="Times New Roman" w:hAnsi="Times New Roman" w:cs="Times New Roman"/>
            <w:i/>
            <w:sz w:val="24"/>
            <w:szCs w:val="24"/>
          </w:rPr>
          <w:t xml:space="preserve"> et al.</w:t>
        </w:r>
        <w:r>
          <w:rPr>
            <w:rFonts w:ascii="Times New Roman" w:hAnsi="Times New Roman" w:cs="Times New Roman"/>
            <w:sz w:val="24"/>
            <w:szCs w:val="24"/>
          </w:rPr>
          <w:t>, 2011</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1E4420D9"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Pap, also known as </w:t>
      </w:r>
      <w:proofErr w:type="spellStart"/>
      <w:r>
        <w:rPr>
          <w:rFonts w:ascii="Times New Roman" w:hAnsi="Times New Roman" w:cs="Times New Roman"/>
          <w:i/>
          <w:sz w:val="24"/>
          <w:szCs w:val="24"/>
        </w:rPr>
        <w:t>ogi</w:t>
      </w:r>
      <w:proofErr w:type="spellEnd"/>
      <w:r>
        <w:rPr>
          <w:rFonts w:ascii="Times New Roman" w:hAnsi="Times New Roman" w:cs="Times New Roman"/>
          <w:i/>
          <w:sz w:val="24"/>
          <w:szCs w:val="24"/>
        </w:rPr>
        <w:t>/</w:t>
      </w:r>
      <w:proofErr w:type="spellStart"/>
      <w:r>
        <w:rPr>
          <w:rFonts w:ascii="Times New Roman" w:hAnsi="Times New Roman" w:cs="Times New Roman"/>
          <w:i/>
          <w:sz w:val="24"/>
          <w:szCs w:val="24"/>
        </w:rPr>
        <w:t>akamu</w:t>
      </w:r>
      <w:proofErr w:type="spellEnd"/>
      <w:r>
        <w:rPr>
          <w:rFonts w:ascii="Times New Roman" w:hAnsi="Times New Roman" w:cs="Times New Roman"/>
          <w:i/>
          <w:sz w:val="24"/>
          <w:szCs w:val="24"/>
        </w:rPr>
        <w:t>,</w:t>
      </w:r>
      <w:r>
        <w:rPr>
          <w:rFonts w:ascii="Times New Roman" w:hAnsi="Times New Roman" w:cs="Times New Roman"/>
          <w:sz w:val="24"/>
          <w:szCs w:val="24"/>
        </w:rPr>
        <w:t xml:space="preserve"> is a lactic acid fermented cereal porridge from sorghum, millet or maize, and traditionally consumed mostly in the morning across Nigeria and West Africa, with </w:t>
      </w:r>
      <w:proofErr w:type="spellStart"/>
      <w:r>
        <w:rPr>
          <w:rFonts w:ascii="Times New Roman" w:hAnsi="Times New Roman" w:cs="Times New Roman"/>
          <w:i/>
          <w:sz w:val="24"/>
          <w:szCs w:val="24"/>
        </w:rPr>
        <w:t>moimoi</w:t>
      </w:r>
      <w:proofErr w:type="spellEnd"/>
      <w:r>
        <w:rPr>
          <w:rFonts w:ascii="Times New Roman" w:hAnsi="Times New Roman" w:cs="Times New Roman"/>
          <w:sz w:val="24"/>
          <w:szCs w:val="24"/>
        </w:rPr>
        <w:t xml:space="preserve"> (bean pudding) or </w:t>
      </w:r>
      <w:proofErr w:type="spellStart"/>
      <w:r>
        <w:rPr>
          <w:rFonts w:ascii="Times New Roman" w:hAnsi="Times New Roman" w:cs="Times New Roman"/>
          <w:i/>
          <w:sz w:val="24"/>
          <w:szCs w:val="24"/>
        </w:rPr>
        <w:t>Akara</w:t>
      </w:r>
      <w:proofErr w:type="spellEnd"/>
      <w:r>
        <w:rPr>
          <w:rFonts w:ascii="Times New Roman" w:hAnsi="Times New Roman" w:cs="Times New Roman"/>
          <w:sz w:val="24"/>
          <w:szCs w:val="24"/>
        </w:rPr>
        <w:t xml:space="preserve"> (bean cake) etc. Maize, sorghum and millet have protein contents between 9 and 13 % that is deficient in essential amino acids, lysine and tryptophan, threonine, with some lost during steeping and sieving operations of the traditional method. This led to the use of several seed protein supplements in increasing the protein content and improving the nutritional quality of </w:t>
      </w:r>
      <w:proofErr w:type="spellStart"/>
      <w:r>
        <w:rPr>
          <w:rFonts w:ascii="Times New Roman" w:hAnsi="Times New Roman" w:cs="Times New Roman"/>
          <w:i/>
          <w:sz w:val="24"/>
          <w:szCs w:val="24"/>
        </w:rPr>
        <w:t>ogi</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&lt;EndNote&gt;&lt;Cite&gt;&lt;Author&gt;Akingbala&lt;/Author&gt;&lt;Year&gt;2003&lt;/Year&gt;&lt;RecNum&gt;43&lt;/RecNum&gt;&lt;DisplayText&gt;(Akingbala&lt;style face="italic"&gt; et al.&lt;/style&gt;, 2003)&lt;/DisplayText&gt;&lt;record&gt;&lt;rec-number&gt;43&lt;/rec-number&gt;&lt;foreign-keys&gt;&lt;key app="EN" db-id="tz9rpzspgx2teie0pzs5w5a7v2exvttzvvdr"&gt;43&lt;/key&gt;&lt;/foreign-keys&gt;&lt;ref-type name="Journal Article"&gt;17&lt;/ref-type&gt;&lt;contributors&gt;&lt;authors&gt;&lt;author&gt;Akingbala, JO&lt;/author&gt;&lt;author&gt;Akinwande, BA&lt;/author&gt;&lt;author&gt;Uzo-Peters, PI&lt;/author&gt;&lt;/authors&gt;&lt;/contributors&gt;&lt;titles&gt;&lt;title&gt;Effects of color and flavor changes on acceptability of ogi supplemented with okra seed meals&lt;/title&gt;&lt;secondary-title&gt;Plant Foods for Human Nutrition&lt;/secondary-title&gt;&lt;/titles&gt;&lt;periodical&gt;&lt;full-title&gt;Plant Foods for Human Nutrition&lt;/full-title&gt;&lt;/periodical&gt;&lt;pages&gt;1-9&lt;/pages&gt;&lt;volume&gt;58&lt;/volume&gt;&lt;number&gt;3&lt;/number&gt;&lt;dates&gt;&lt;year&gt;2003&lt;/year&gt;&lt;/dates&gt;&lt;isbn&gt;0921-9668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5" w:tooltip="Akingbala, 2003 #43" w:history="1">
        <w:r>
          <w:rPr>
            <w:rFonts w:ascii="Times New Roman" w:hAnsi="Times New Roman" w:cs="Times New Roman"/>
            <w:sz w:val="24"/>
            <w:szCs w:val="24"/>
          </w:rPr>
          <w:t>Akingbala</w:t>
        </w:r>
        <w:r>
          <w:rPr>
            <w:rFonts w:ascii="Times New Roman" w:hAnsi="Times New Roman" w:cs="Times New Roman"/>
            <w:i/>
            <w:sz w:val="24"/>
            <w:szCs w:val="24"/>
          </w:rPr>
          <w:t xml:space="preserve"> et al.</w:t>
        </w:r>
        <w:r>
          <w:rPr>
            <w:rFonts w:ascii="Times New Roman" w:hAnsi="Times New Roman" w:cs="Times New Roman"/>
            <w:sz w:val="24"/>
            <w:szCs w:val="24"/>
          </w:rPr>
          <w:t>, 2003</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14:paraId="36ACE964"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Bio-fortification is the development of micronutrient-dense staple crops with the best traditional breeding practices and modern biotechnology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&lt;EndNote&gt;&lt;Cite&gt;&lt;Author&gt;Nestel&lt;/Author&gt;&lt;Year&gt;2006&lt;/Year&gt;&lt;RecNum&gt;86&lt;/RecNum&gt;&lt;DisplayText&gt;(Nestel&lt;style face="italic"&gt; et al.&lt;/style&gt;, 2006)&lt;/DisplayText&gt;&lt;record&gt;&lt;rec-number&gt;86&lt;/rec-number&gt;&lt;foreign-keys&gt;&lt;key app="EN" db-id="tz9rpzspgx2teie0pzs5w5a7v2exvttzvvdr"&gt;86&lt;/key&gt;&lt;/foreign-keys&gt;&lt;ref-type name="Journal Article"&gt;17&lt;/ref-type&gt;&lt;contributors&gt;&lt;authors&gt;&lt;author&gt;Nestel, Penelope&lt;/author&gt;&lt;author&gt;Bouis, Howarth E&lt;/author&gt;&lt;author&gt;Meenakshi, JV&lt;/author&gt;&lt;author&gt;Pfeiffer, Wolfgang&lt;/author&gt;&lt;/authors&gt;&lt;/contributors&gt;&lt;titles&gt;&lt;title&gt;Biofortification of staple food crops&lt;/title&gt;&lt;secondary-title&gt;The Journal of nutrition&lt;/secondary-title&gt;&lt;/titles&gt;&lt;periodical&gt;&lt;full-title&gt;The Journal of nutrition&lt;/full-title&gt;&lt;/periodical&gt;&lt;pages&gt;1064-1067&lt;/pages&gt;&lt;volume&gt;136&lt;/volume&gt;&lt;number&gt;4&lt;/number&gt;&lt;dates&gt;&lt;year&gt;2006&lt;/year&gt;&lt;/dates&gt;&lt;isbn&gt;0022-3166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39" w:tooltip="Nestel, 2006 #86" w:history="1">
        <w:r>
          <w:rPr>
            <w:rFonts w:ascii="Times New Roman" w:hAnsi="Times New Roman" w:cs="Times New Roman"/>
            <w:sz w:val="24"/>
            <w:szCs w:val="24"/>
          </w:rPr>
          <w:t>Nestel</w:t>
        </w:r>
        <w:r>
          <w:rPr>
            <w:rFonts w:ascii="Times New Roman" w:hAnsi="Times New Roman" w:cs="Times New Roman"/>
            <w:i/>
            <w:sz w:val="24"/>
            <w:szCs w:val="24"/>
          </w:rPr>
          <w:t xml:space="preserve"> et al.</w:t>
        </w:r>
        <w:r>
          <w:rPr>
            <w:rFonts w:ascii="Times New Roman" w:hAnsi="Times New Roman" w:cs="Times New Roman"/>
            <w:sz w:val="24"/>
            <w:szCs w:val="24"/>
          </w:rPr>
          <w:t>, 2006</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which is hinged on the regular daily intake of consistent amount of staple foods by family members. This helps to reach the undernourished people in remote areas with naturally fortified foods for people with limited access to such foods marketed and consumed in urban areas, and may have important effects by increasing farm productivity in developing countries in an environmentally beneficial way.  </w:t>
      </w:r>
    </w:p>
    <w:p w14:paraId="228282E3" w14:textId="77777777" w:rsidR="00406B68" w:rsidRDefault="001162EA">
      <w:pPr>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For vitamin A deficiency in plant-based diet, concentrating pro-vitamin A carotenoids such as beta-carotene in staple food crops could improve vitamin A potentials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&lt;EndNote&gt;&lt;Cite&gt;&lt;Author&gt;Howe&lt;/Author&gt;&lt;Year&gt;2006&lt;/Year&gt;&lt;RecNum&gt;8&lt;/RecNum&gt;&lt;DisplayText&gt;(Howe and Tanumihardjo, 2006)&lt;/DisplayText&gt;&lt;record&gt;&lt;rec-number&gt;8&lt;/rec-number&gt;&lt;foreign-keys&gt;&lt;key app="EN" db-id="tz9rpzspgx2teie0pzs5w5a7v2exvttzvvdr"&gt;8&lt;/key&gt;&lt;/foreign-keys&gt;&lt;ref-type name="Journal Article"&gt;17&lt;/ref-type&gt;&lt;contributors&gt;&lt;authors&gt;&lt;author&gt;Howe, Julie A&lt;/author&gt;&lt;author&gt;Tanumihardjo, Sherry A&lt;/author&gt;&lt;/authors&gt;&lt;/contributors&gt;&lt;titles&gt;&lt;title&gt;Evaluation of analytical methods for carotenoid extraction from biofortified maize (Zea mays sp.)&lt;/title&gt;&lt;secondary-title&gt;Journal of Agricultural and Food Chemistry&lt;/secondary-title&gt;&lt;/titles&gt;&lt;periodical&gt;&lt;full-title&gt;Journal of Agricultural and Food Chemistry&lt;/full-title&gt;&lt;/periodical&gt;&lt;pages&gt;7992-7997&lt;/pages&gt;&lt;volume&gt;54&lt;/volume&gt;&lt;number&gt;21&lt;/number&gt;&lt;dates&gt;&lt;year&gt;2006&lt;/year&gt;&lt;/dates&gt;&lt;isbn&gt;0021-8561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8" w:tooltip="Howe, 2006 #8" w:history="1">
        <w:r>
          <w:rPr>
            <w:rFonts w:ascii="Times New Roman" w:hAnsi="Times New Roman" w:cs="Times New Roman"/>
            <w:sz w:val="24"/>
            <w:szCs w:val="24"/>
          </w:rPr>
          <w:t>Howe and Tanumihardjo, 2006</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r>
        <w:rPr>
          <w:rStyle w:val="fontstyle01"/>
          <w:rFonts w:ascii="Times New Roman" w:hAnsi="Times New Roman" w:cs="Times New Roman"/>
          <w:sz w:val="24"/>
          <w:szCs w:val="24"/>
        </w:rPr>
        <w:t xml:space="preserve"> </w:t>
      </w:r>
      <w:proofErr w:type="spellStart"/>
      <w:r>
        <w:rPr>
          <w:rStyle w:val="fontstyle01"/>
          <w:rFonts w:ascii="Times New Roman" w:hAnsi="Times New Roman" w:cs="Times New Roman"/>
          <w:i/>
          <w:sz w:val="24"/>
          <w:szCs w:val="24"/>
        </w:rPr>
        <w:t>Ogi</w:t>
      </w:r>
      <w:proofErr w:type="spellEnd"/>
      <w:r>
        <w:rPr>
          <w:rStyle w:val="fontstyle01"/>
          <w:rFonts w:ascii="Times New Roman" w:hAnsi="Times New Roman" w:cs="Times New Roman"/>
          <w:i/>
          <w:sz w:val="24"/>
          <w:szCs w:val="24"/>
        </w:rPr>
        <w:t>,</w:t>
      </w:r>
      <w:r>
        <w:rPr>
          <w:rStyle w:val="fontstyle21"/>
          <w:rFonts w:ascii="Times New Roman" w:hAnsi="Times New Roman" w:cs="Times New Roman"/>
          <w:sz w:val="24"/>
          <w:szCs w:val="24"/>
        </w:rPr>
        <w:t xml:space="preserve"> is a popular </w:t>
      </w:r>
      <w:r>
        <w:rPr>
          <w:rStyle w:val="fontstyle21"/>
          <w:rFonts w:ascii="Times New Roman" w:hAnsi="Times New Roman" w:cs="Times New Roman"/>
          <w:sz w:val="24"/>
          <w:szCs w:val="24"/>
        </w:rPr>
        <w:lastRenderedPageBreak/>
        <w:t xml:space="preserve">breakfast cereal and infant weaning food among Nigerians </w:t>
      </w:r>
      <w:r>
        <w:rPr>
          <w:rStyle w:val="fontstyle21"/>
          <w:rFonts w:ascii="Times New Roman" w:hAnsi="Times New Roman" w:cs="Times New Roman"/>
          <w:sz w:val="24"/>
          <w:szCs w:val="24"/>
        </w:rPr>
        <w:fldChar w:fldCharType="begin"/>
      </w:r>
      <w:r>
        <w:rPr>
          <w:rStyle w:val="fontstyle21"/>
          <w:rFonts w:ascii="Times New Roman" w:hAnsi="Times New Roman" w:cs="Times New Roman"/>
          <w:sz w:val="24"/>
          <w:szCs w:val="24"/>
        </w:rPr>
        <w:instrText xml:space="preserve"> ADDIN EN.CITE &lt;EndNote&gt;&lt;Cite&gt;&lt;Author&gt;Nwokoro&lt;/Author&gt;&lt;Year&gt;2012&lt;/Year&gt;&lt;RecNum&gt;3&lt;/RecNum&gt;&lt;DisplayText&gt;(Nwokoro and Chukwu, 2012)&lt;/DisplayText&gt;&lt;record&gt;&lt;rec-number&gt;3&lt;/rec-number&gt;&lt;foreign-keys&gt;&lt;key app="EN" db-id="tz9rpzspgx2teie0pzs5w5a7v2exvttzvvdr"&gt;3&lt;/key&gt;&lt;/foreign-keys&gt;&lt;ref-type name="Journal Article"&gt;17&lt;/ref-type&gt;&lt;contributors&gt;&lt;authors&gt;&lt;author&gt;Nwokoro, Ogbonnaya&lt;/author&gt;&lt;author&gt;Chukwu, Bernice Chidinma&lt;/author&gt;&lt;/authors&gt;&lt;/contributors&gt;&lt;titles&gt;&lt;title&gt;Studies on Akamu, a traditional fermented maize food&lt;/title&gt;&lt;secondary-title&gt;Revista Chilena de Nutrición&lt;/secondary-title&gt;&lt;/titles&gt;&lt;periodical&gt;&lt;full-title&gt;Revista Chilena de Nutrición&lt;/full-title&gt;&lt;/periodical&gt;&lt;pages&gt;180-184&lt;/pages&gt;&lt;volume&gt;39&lt;/volume&gt;&lt;number&gt;4&lt;/number&gt;&lt;dates&gt;&lt;year&gt;2012&lt;/year&gt;&lt;/dates&gt;&lt;isbn&gt;0716-1549&lt;/isbn&gt;&lt;urls&gt;&lt;/urls&gt;&lt;/record&gt;&lt;/Cite&gt;&lt;/EndNote&gt;</w:instrText>
      </w:r>
      <w:r>
        <w:rPr>
          <w:rStyle w:val="fontstyle21"/>
          <w:rFonts w:ascii="Times New Roman" w:hAnsi="Times New Roman" w:cs="Times New Roman"/>
          <w:sz w:val="24"/>
          <w:szCs w:val="24"/>
        </w:rPr>
        <w:fldChar w:fldCharType="separate"/>
      </w:r>
      <w:r>
        <w:rPr>
          <w:rStyle w:val="fontstyle21"/>
          <w:rFonts w:ascii="Times New Roman" w:hAnsi="Times New Roman" w:cs="Times New Roman"/>
          <w:sz w:val="24"/>
          <w:szCs w:val="24"/>
        </w:rPr>
        <w:t>(</w:t>
      </w:r>
      <w:hyperlink w:anchor="_ENREF_40" w:tooltip="Nwokoro, 2012 #3" w:history="1">
        <w:r>
          <w:rPr>
            <w:rStyle w:val="fontstyle21"/>
            <w:rFonts w:ascii="Times New Roman" w:hAnsi="Times New Roman" w:cs="Times New Roman"/>
            <w:sz w:val="24"/>
            <w:szCs w:val="24"/>
          </w:rPr>
          <w:t>Nwokoro and Chukwu, 2012</w:t>
        </w:r>
      </w:hyperlink>
      <w:r>
        <w:rPr>
          <w:rStyle w:val="fontstyle21"/>
          <w:rFonts w:ascii="Times New Roman" w:hAnsi="Times New Roman" w:cs="Times New Roman"/>
          <w:sz w:val="24"/>
          <w:szCs w:val="24"/>
        </w:rPr>
        <w:t>)</w:t>
      </w:r>
      <w:r>
        <w:rPr>
          <w:rStyle w:val="fontstyle21"/>
          <w:rFonts w:ascii="Times New Roman" w:hAnsi="Times New Roman" w:cs="Times New Roman"/>
          <w:sz w:val="24"/>
          <w:szCs w:val="24"/>
        </w:rPr>
        <w:fldChar w:fldCharType="end"/>
      </w:r>
      <w:r>
        <w:rPr>
          <w:rStyle w:val="fontstyle21"/>
          <w:rFonts w:ascii="Times New Roman" w:hAnsi="Times New Roman" w:cs="Times New Roman"/>
          <w:sz w:val="24"/>
          <w:szCs w:val="24"/>
        </w:rPr>
        <w:t xml:space="preserve">. It is </w:t>
      </w:r>
      <w:r>
        <w:rPr>
          <w:rFonts w:ascii="Times New Roman" w:hAnsi="Times New Roman" w:cs="Times New Roman"/>
          <w:sz w:val="24"/>
          <w:szCs w:val="24"/>
        </w:rPr>
        <w:t xml:space="preserve">high in water, which improves water supply and makes nursing mothers lactate easily after delivery.  </w:t>
      </w:r>
    </w:p>
    <w:p w14:paraId="03E404FA"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sz w:val="24"/>
          <w:szCs w:val="24"/>
        </w:rPr>
        <w:t>Tamarind (</w:t>
      </w:r>
      <w:proofErr w:type="spellStart"/>
      <w:r>
        <w:rPr>
          <w:rFonts w:ascii="Times New Roman" w:hAnsi="Times New Roman" w:cs="Times New Roman"/>
          <w:i/>
          <w:sz w:val="24"/>
          <w:szCs w:val="24"/>
        </w:rPr>
        <w:t>Tamarindus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r>
        <w:rPr>
          <w:rFonts w:ascii="Times New Roman" w:hAnsi="Times New Roman" w:cs="Times New Roman"/>
          <w:i/>
          <w:sz w:val="24"/>
          <w:szCs w:val="24"/>
        </w:rPr>
        <w:t xml:space="preserve"> L</w:t>
      </w:r>
      <w:r>
        <w:rPr>
          <w:rFonts w:ascii="Times New Roman" w:hAnsi="Times New Roman" w:cs="Times New Roman"/>
          <w:sz w:val="24"/>
          <w:szCs w:val="24"/>
        </w:rPr>
        <w:t xml:space="preserve">.) is one of the most widespread trees of Indian subcontinent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&lt;EndNote&gt;&lt;Cite&gt;&lt;Author&gt;Rao&lt;/Author&gt;&lt;Year&gt;2012&lt;/Year&gt;&lt;RecNum&gt;4&lt;/RecNum&gt;&lt;DisplayText&gt;(Rao and Mathew, 2012)&lt;/DisplayText&gt;&lt;record&gt;&lt;rec-number&gt;4&lt;/rec-number&gt;&lt;foreign-keys&gt;&lt;key app="EN" db-id="tz9rpzspgx2teie0pzs5w5a7v2exvttzvvdr"&gt;4&lt;/key&gt;&lt;/foreign-keys&gt;&lt;ref-type name="Book Section"&gt;5&lt;/ref-type&gt;&lt;contributors&gt;&lt;authors&gt;&lt;author&gt;Rao, Y Saideswara&lt;/author&gt;&lt;author&gt;Mathew, K Mary&lt;/author&gt;&lt;/authors&gt;&lt;/contributors&gt;&lt;titles&gt;&lt;title&gt;Tamarind&lt;/title&gt;&lt;secondary-title&gt;Handbook of Herbs and Spices&lt;/secondary-title&gt;&lt;/titles&gt;&lt;pages&gt;512-533&lt;/pages&gt;&lt;dates&gt;&lt;year&gt;2012&lt;/year&gt;&lt;/dates&gt;&lt;publisher&gt;Elsevier&lt;/publisher&gt;&lt;urls&gt;&lt;/urls&gt;&lt;/record&gt;&lt;/Cite&gt;&lt;/EndNote&gt;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50" w:tooltip="Rao, 2012 #4" w:history="1">
        <w:r>
          <w:rPr>
            <w:rFonts w:ascii="Times New Roman" w:hAnsi="Times New Roman" w:cs="Times New Roman"/>
            <w:sz w:val="24"/>
            <w:szCs w:val="24"/>
          </w:rPr>
          <w:t>Rao and Mathew, 2012</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 multipurpose tropical tree useful for its fruits that are eaten fresh or processed, used as seasonings or spice, or processed for other uses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&lt;EndNote&gt;&lt;Cite&gt;&lt;Author&gt;El-Siddig&lt;/Author&gt;&lt;Year&gt;2006&lt;/Year&gt;&lt;RecNum&gt;24&lt;/RecNum&gt;&lt;DisplayText&gt;(El-Siddig, 2006)&lt;/DisplayText&gt;&lt;record&gt;&lt;rec-number&gt;24&lt;/rec-number&gt;&lt;foreign-keys&gt;&lt;key app="EN" db-id="tz9rpzspgx2teie0pzs5w5a7v2exvttzvvdr"&gt;24&lt;/key&gt;&lt;/foreign-keys&gt;&lt;ref-type name="Book"&gt;6&lt;/ref-type&gt;&lt;contributors&gt;&lt;authors&gt;&lt;author&gt;El-Siddig, K&lt;/author&gt;&lt;/authors&gt;&lt;/contributors&gt;&lt;titles&gt;&lt;title&gt;Tamarind: Tamarindus Indica L&lt;/title&gt;&lt;/titles&gt;&lt;volume&gt;1&lt;/volume&gt;&lt;dates&gt;&lt;year&gt;2006&lt;/year&gt;&lt;/dates&gt;&lt;publisher&gt;Crops for the Future&lt;/publisher&gt;&lt;isbn&gt;0854328599&lt;/isbn&gt;&lt;urls&gt;&lt;/urls&gt;&lt;/record&gt;&lt;/Cite&gt;&lt;/EndNote&gt;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0" w:tooltip="El-Siddig, 2006 #24" w:history="1">
        <w:r>
          <w:rPr>
            <w:rFonts w:ascii="Times New Roman" w:hAnsi="Times New Roman" w:cs="Times New Roman"/>
            <w:sz w:val="24"/>
            <w:szCs w:val="24"/>
          </w:rPr>
          <w:t>El-Siddig, 2006</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seed has protein, fat, sugars and carbohydrates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&lt;EndNote&gt;&lt;Cite&gt;&lt;Author&gt;El-Siddig&lt;/Author&gt;&lt;Year&gt;2006&lt;/Year&gt;&lt;RecNum&gt;24&lt;/RecNum&gt;&lt;DisplayText&gt;(El-Siddig, 2006)&lt;/DisplayText&gt;&lt;record&gt;&lt;rec-number&gt;24&lt;/rec-number&gt;&lt;foreign-keys&gt;&lt;key app="EN" db-id="tz9rpzspgx2teie0pzs5w5a7v2exvttzvvdr"&gt;24&lt;/key&gt;&lt;/foreign-keys&gt;&lt;ref-type name="Book"&gt;6&lt;/ref-type&gt;&lt;contributors&gt;&lt;authors&gt;&lt;author&gt;El-Siddig, K&lt;/author&gt;&lt;/authors&gt;&lt;/contributors&gt;&lt;titles&gt;&lt;title&gt;Tamarind: Tamarindus Indica L&lt;/title&gt;&lt;/titles&gt;&lt;volume&gt;1&lt;/volume&gt;&lt;dates&gt;&lt;year&gt;2006&lt;/year&gt;&lt;/dates&gt;&lt;publisher&gt;Crops for the Future&lt;/publisher&gt;&lt;isbn&gt;0854328599&lt;/isbn&gt;&lt;urls&gt;&lt;/urls&gt;&lt;/record&gt;&lt;/Cite&gt;&lt;/EndNote&gt;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0" w:tooltip="El-Siddig, 2006 #24" w:history="1">
        <w:r>
          <w:rPr>
            <w:rFonts w:ascii="Times New Roman" w:hAnsi="Times New Roman" w:cs="Times New Roman"/>
            <w:sz w:val="24"/>
            <w:szCs w:val="24"/>
          </w:rPr>
          <w:t>El-Siddig, 2006</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pulp and seeds rich in potassium, calcium and phosphorous, and many other minerals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&lt;EndNote&gt;&lt;Cite&gt;&lt;Author&gt;Rao&lt;/Author&gt;&lt;Year&gt;2012&lt;/Year&gt;&lt;RecNum&gt;4&lt;/RecNum&gt;&lt;DisplayText&gt;(Rao and Mathew, 2012)&lt;/DisplayText&gt;&lt;record&gt;&lt;rec-number&gt;4&lt;/rec-number&gt;&lt;foreign-keys&gt;&lt;key app="EN" db-id="tz9rpzspgx2teie0pzs5w5a7v2exvttzvvdr"&gt;4&lt;/key&gt;&lt;/foreign-keys&gt;&lt;ref-type name="Book Section"&gt;5&lt;/ref-type&gt;&lt;contributors&gt;&lt;authors&gt;&lt;author&gt;Rao, Y Saideswara&lt;/author&gt;&lt;author&gt;Mathew, K Mary&lt;/author&gt;&lt;/authors&gt;&lt;/contributors&gt;&lt;titles&gt;&lt;title&gt;Tamarind&lt;/title&gt;&lt;secondary-title&gt;Handbook of Herbs and Spices&lt;/secondary-title&gt;&lt;/titles&gt;&lt;pages&gt;512-533&lt;/pages&gt;&lt;dates&gt;&lt;year&gt;2012&lt;/year&gt;&lt;/dates&gt;&lt;publisher&gt;Elsevier&lt;/publisher&gt;&lt;urls&gt;&lt;/urls&gt;&lt;/record&gt;&lt;/Cite&gt;&lt;/EndNote&gt;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50" w:tooltip="Rao, 2012 #4" w:history="1">
        <w:r>
          <w:rPr>
            <w:rFonts w:ascii="Times New Roman" w:hAnsi="Times New Roman" w:cs="Times New Roman"/>
            <w:sz w:val="24"/>
            <w:szCs w:val="24"/>
          </w:rPr>
          <w:t>Rao and Mathew, 2012</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fruit is the most useful part of tamarind tree; the pulp constitutes 30-50% of the fruit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&lt;EndNote&gt;&lt;Cite&gt;&lt;Author&gt;Shankaracharya&lt;/Author&gt;&lt;Year&gt;1998&lt;/Year&gt;&lt;RecNum&gt;33&lt;/RecNum&gt;&lt;DisplayText&gt;(Shankaracharya, 1998)&lt;/DisplayText&gt;&lt;record&gt;&lt;rec-number&gt;33&lt;/rec-number&gt;&lt;foreign-keys&gt;&lt;key app="EN" db-id="tz9rpzspgx2teie0pzs5w5a7v2exvttzvvdr"&gt;33&lt;/key&gt;&lt;/foreign-keys&gt;&lt;ref-type name="Journal Article"&gt;17&lt;/ref-type&gt;&lt;contributors&gt;&lt;authors&gt;&lt;author&gt;Shankaracharya, NB&lt;/author&gt;&lt;/authors&gt;&lt;/contributors&gt;&lt;titles&gt;&lt;title&gt;Tamarind-chemistry, technology and uses-a critical appraisal&lt;/title&gt;&lt;secondary-title&gt;Journal of Food Science and Technology&lt;/secondary-title&gt;&lt;/titles&gt;&lt;periodical&gt;&lt;full-title&gt;Journal of Food Science and Technology&lt;/full-title&gt;&lt;/periodical&gt;&lt;pages&gt;193-208&lt;/pages&gt;&lt;volume&gt;35&lt;/volume&gt;&lt;number&gt;3&lt;/number&gt;&lt;dates&gt;&lt;year&gt;1998&lt;/year&gt;&lt;/dates&gt;&lt;isbn&gt;0022-1155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55" w:tooltip="Shankaracharya, 1998 #33" w:history="1">
        <w:r>
          <w:rPr>
            <w:rFonts w:ascii="Times New Roman" w:hAnsi="Times New Roman" w:cs="Times New Roman"/>
            <w:sz w:val="24"/>
            <w:szCs w:val="24"/>
          </w:rPr>
          <w:t>Shankaracharya, 1998</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shell and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11-30%, while the seed, 25-40%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&lt;EndNote&gt;&lt;Cite&gt;&lt;Author&gt;Duncan&lt;/Author&gt;&lt;Year&gt;1999&lt;/Year&gt;&lt;RecNum&gt;34&lt;/RecNum&gt;&lt;DisplayText&gt;(Duncan and Chapman, 1999)&lt;/DisplayText&gt;&lt;record&gt;&lt;rec-number&gt;34&lt;/rec-number&gt;&lt;foreign-keys&gt;&lt;key app="EN" db-id="tz9rpzspgx2teie0pzs5w5a7v2exvttzvvdr"&gt;34&lt;/key&gt;&lt;/foreign-keys&gt;&lt;ref-type name="Journal Article"&gt;17&lt;/ref-type&gt;&lt;contributors&gt;&lt;authors&gt;&lt;author&gt;Duncan, R Scot&lt;/author&gt;&lt;author&gt;Chapman, Colin A&lt;/author&gt;&lt;/authors&gt;&lt;/contributors&gt;&lt;titles&gt;&lt;title&gt;Seed dispersal and potential forest succession in abandoned agriculture in tropical Africa&lt;/title&gt;&lt;secondary-title&gt;Ecological applications&lt;/secondary-title&gt;&lt;/titles&gt;&lt;periodical&gt;&lt;full-title&gt;Ecological applications&lt;/full-title&gt;&lt;/periodical&gt;&lt;pages&gt;998-1008&lt;/pages&gt;&lt;volume&gt;9&lt;/volume&gt;&lt;number&gt;3&lt;/number&gt;&lt;dates&gt;&lt;year&gt;1999&lt;/year&gt;&lt;/dates&gt;&lt;isbn&gt;1939-5582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18" w:tooltip="Duncan, 1999 #34" w:history="1">
        <w:r>
          <w:rPr>
            <w:rFonts w:ascii="Times New Roman" w:hAnsi="Times New Roman" w:cs="Times New Roman"/>
            <w:sz w:val="24"/>
            <w:szCs w:val="24"/>
          </w:rPr>
          <w:t>Duncan and Chapman, 1999</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Tamarind supports the liver, as an extract of tamarind fruit stimulated production of the liver’s natural antioxidants superoxide dismutase and glutathione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&lt;EndNote&gt;&lt;Cite&gt;&lt;Author&gt;Bettermann&lt;/Author&gt;&lt;RecNum&gt;36&lt;/RecNum&gt;&lt;DisplayText&gt;(Bettermann, 2019)&lt;/DisplayText&gt;&lt;record&gt;&lt;rec-number&gt;36&lt;/rec-number&gt;&lt;foreign-keys&gt;&lt;key app="EN" db-id="tz9rpzspgx2teie0pzs5w5a7v2exvttzvvdr"&gt;36&lt;/key&gt;&lt;/foreign-keys&gt;&lt;ref-type name="Journal Article"&gt;17&lt;/ref-type&gt;&lt;contributors&gt;&lt;authors&gt;&lt;author&gt;Bettermann, Eddy&lt;/author&gt;&lt;/authors&gt;&lt;/contributors&gt;&lt;titles&gt;&lt;title&gt;What Are the Health Benefits of Tamarind?&lt;/title&gt;&lt;/titles&gt;&lt;dates&gt;&lt;year&gt;2019&lt;/year&gt;&lt;/dates&gt;&lt;urls&gt;&lt;/urls&gt;&lt;/record&gt;&lt;/Cite&gt;&lt;/EndNote&gt;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11" w:tooltip="Bettermann, 2019 #36" w:history="1">
        <w:r>
          <w:rPr>
            <w:rFonts w:ascii="Times New Roman" w:hAnsi="Times New Roman" w:cs="Times New Roman"/>
            <w:sz w:val="24"/>
            <w:szCs w:val="24"/>
          </w:rPr>
          <w:t>Bettermann, 2019</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while its consumption lowers fasting and blood glucose levels within five days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&lt;EndNote&gt;&lt;Cite&gt;&lt;Author&gt;Bettermann&lt;/Author&gt;&lt;Year&gt;2019&lt;/Year&gt;&lt;RecNum&gt;36&lt;/RecNum&gt;&lt;DisplayText&gt;(Bettermann, 2019)&lt;/DisplayText&gt;&lt;record&gt;&lt;rec-number&gt;36&lt;/rec-number&gt;&lt;foreign-keys&gt;&lt;key app="EN" db-id="tz9rpzspgx2teie0pzs5w5a7v2exvttzvvdr"&gt;36&lt;/key&gt;&lt;/foreign-keys&gt;&lt;ref-type name="Journal Article"&gt;17&lt;/ref-type&gt;&lt;contributors&gt;&lt;authors&gt;&lt;author&gt;Bettermann, Eddy&lt;/author&gt;&lt;/authors&gt;&lt;/contributors&gt;&lt;titles&gt;&lt;title&gt;What Are the Health Benefits of Tamarind?&lt;/title&gt;&lt;/titles&gt;&lt;dates&gt;&lt;year&gt;2019&lt;/year&gt;&lt;/dates&gt;&lt;urls&gt;&lt;/urls&gt;&lt;/record&gt;&lt;/Cite&gt;&lt;/EndNote&gt;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11" w:tooltip="Bettermann, 2019 #36" w:history="1">
        <w:r>
          <w:rPr>
            <w:rFonts w:ascii="Times New Roman" w:hAnsi="Times New Roman" w:cs="Times New Roman"/>
            <w:sz w:val="24"/>
            <w:szCs w:val="24"/>
          </w:rPr>
          <w:t>Bettermann, 2019</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and detox fluoride for health support. The numerous health and nutrient benefits of tamarind informed its incorporation into </w:t>
      </w:r>
      <w:proofErr w:type="spellStart"/>
      <w:r>
        <w:rPr>
          <w:rFonts w:ascii="Times New Roman" w:hAnsi="Times New Roman" w:cs="Times New Roman"/>
          <w:i/>
          <w:sz w:val="24"/>
          <w:szCs w:val="24"/>
        </w:rPr>
        <w:t>ogi</w:t>
      </w:r>
      <w:proofErr w:type="spellEnd"/>
      <w:r>
        <w:rPr>
          <w:rFonts w:ascii="Times New Roman" w:hAnsi="Times New Roman" w:cs="Times New Roman"/>
          <w:sz w:val="24"/>
          <w:szCs w:val="24"/>
        </w:rPr>
        <w:t xml:space="preserve"> product for maximum utilization, with the aims of investigating the physicochemical and sensory qualities of pap paste made from bio-fortified maize and tamarind fruit.</w:t>
      </w:r>
    </w:p>
    <w:p w14:paraId="5D9F9B5F" w14:textId="2494F91C" w:rsidR="00406B68" w:rsidRDefault="00833016">
      <w:pPr>
        <w:spacing w:line="480" w:lineRule="auto"/>
        <w:jc w:val="both"/>
        <w:rPr>
          <w:rFonts w:ascii="Times New Roman" w:hAnsi="Times New Roman" w:cs="Times New Roman"/>
          <w:sz w:val="24"/>
          <w:szCs w:val="24"/>
        </w:rPr>
      </w:pPr>
      <w:r>
        <w:rPr>
          <w:rFonts w:ascii="Times New Roman" w:hAnsi="Times New Roman" w:cs="Times New Roman"/>
          <w:sz w:val="24"/>
          <w:szCs w:val="24"/>
        </w:rPr>
        <w:t>The tr</w:t>
      </w:r>
      <w:r w:rsidR="001162EA">
        <w:rPr>
          <w:rFonts w:ascii="Times New Roman" w:hAnsi="Times New Roman" w:cs="Times New Roman"/>
          <w:sz w:val="24"/>
          <w:szCs w:val="24"/>
        </w:rPr>
        <w:t xml:space="preserve">aditional method of </w:t>
      </w:r>
      <w:proofErr w:type="spellStart"/>
      <w:r w:rsidR="001162EA">
        <w:rPr>
          <w:rFonts w:ascii="Times New Roman" w:hAnsi="Times New Roman" w:cs="Times New Roman"/>
          <w:i/>
          <w:sz w:val="24"/>
          <w:szCs w:val="24"/>
        </w:rPr>
        <w:t>ogi</w:t>
      </w:r>
      <w:proofErr w:type="spellEnd"/>
      <w:r w:rsidR="001162EA">
        <w:rPr>
          <w:rFonts w:ascii="Times New Roman" w:hAnsi="Times New Roman" w:cs="Times New Roman"/>
          <w:sz w:val="24"/>
          <w:szCs w:val="24"/>
        </w:rPr>
        <w:t xml:space="preserve"> preparation</w:t>
      </w:r>
      <w:r>
        <w:rPr>
          <w:rFonts w:ascii="Times New Roman" w:hAnsi="Times New Roman" w:cs="Times New Roman"/>
          <w:sz w:val="24"/>
          <w:szCs w:val="24"/>
        </w:rPr>
        <w:t xml:space="preserve"> as stated by </w:t>
      </w:r>
      <w:proofErr w:type="spellStart"/>
      <w:r>
        <w:rPr>
          <w:rFonts w:ascii="Times New Roman" w:hAnsi="Times New Roman" w:cs="Times New Roman"/>
          <w:sz w:val="24"/>
          <w:szCs w:val="24"/>
        </w:rPr>
        <w:t>Nwokoro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Chukwu</w:t>
      </w:r>
      <w:proofErr w:type="spellEnd"/>
      <w:r>
        <w:rPr>
          <w:rFonts w:ascii="Times New Roman" w:hAnsi="Times New Roman" w:cs="Times New Roman"/>
          <w:sz w:val="24"/>
          <w:szCs w:val="24"/>
        </w:rPr>
        <w:t>, 2012,</w:t>
      </w:r>
      <w:r w:rsidR="001162EA">
        <w:rPr>
          <w:rFonts w:ascii="Times New Roman" w:hAnsi="Times New Roman" w:cs="Times New Roman"/>
          <w:sz w:val="24"/>
          <w:szCs w:val="24"/>
        </w:rPr>
        <w:t xml:space="preserve"> was adopted. Maize grains were soaked in water for 1-3 days, wet-milled to slurry, and sieved through a screen mesh (sieve size of no. 36). The extract settled for 1 or 2days at ambient temperature (26±2°C) to sediment and turns sour. The paste is boiled in water to give gruel with about 5% solids. It is consumed by both adults and infants. Over fermented product is nutritionally inadequate </w:t>
      </w:r>
      <w:r w:rsidR="001162EA">
        <w:rPr>
          <w:rFonts w:ascii="Times New Roman" w:hAnsi="Times New Roman" w:cs="Times New Roman"/>
          <w:sz w:val="24"/>
          <w:szCs w:val="24"/>
        </w:rPr>
        <w:fldChar w:fldCharType="begin"/>
      </w:r>
      <w:r w:rsidR="001162EA">
        <w:rPr>
          <w:rFonts w:ascii="Times New Roman" w:hAnsi="Times New Roman" w:cs="Times New Roman"/>
          <w:sz w:val="24"/>
          <w:szCs w:val="24"/>
        </w:rPr>
        <w:instrText xml:space="preserve"> ADDIN EN.CITE &lt;EndNote&gt;&lt;Cite&gt;&lt;Author&gt;Ashaye&lt;/Author&gt;&lt;Year&gt;2004&lt;/Year&gt;&lt;RecNum&gt;23&lt;/RecNum&gt;&lt;DisplayText&gt;(Ashaye&lt;style face="italic"&gt; et al.&lt;/style&gt;, 2004)&lt;/DisplayText&gt;&lt;record&gt;&lt;rec-number&gt;23&lt;/rec-number&gt;&lt;foreign-keys&gt;&lt;key app="EN" db-id="tz9rpzspgx2teie0pzs5w5a7v2exvttzvvdr"&gt;23&lt;/key&gt;&lt;/foreign-keys&gt;&lt;ref-type name="Journal Article"&gt;17&lt;/ref-type&gt;&lt;contributors&gt;&lt;authors&gt;&lt;author&gt;Ashaye, OA&lt;/author&gt;&lt;author&gt;Akingbala, JO&lt;/author&gt;&lt;author&gt;Obatolu, VA&lt;/author&gt;&lt;author&gt;Fasoyiro, SB&lt;/author&gt;&lt;/authors&gt;&lt;/contributors&gt;&lt;titles&gt;&lt;title&gt;Improving processing technology and nutritional composition of Nigerian traditional breakfast gruel from corn and Okra&lt;/title&gt;&lt;secondary-title&gt;Journal of agricultural &amp;amp; food information&lt;/secondary-title&gt;&lt;/titles&gt;&lt;periodical&gt;&lt;full-title&gt;Journal of agricultural &amp;amp; food information&lt;/full-title&gt;&lt;/periodical&gt;&lt;pages&gt;77-87&lt;/pages&gt;&lt;volume&gt;6&lt;/volume&gt;&lt;number&gt;1&lt;/number&gt;&lt;dates&gt;&lt;year&gt;2004&lt;/year&gt;&lt;/dates&gt;&lt;isbn&gt;1049-6505&lt;/isbn&gt;&lt;urls&gt;&lt;/urls&gt;&lt;/record&gt;&lt;/Cite&gt;&lt;/EndNote&gt;</w:instrText>
      </w:r>
      <w:r w:rsidR="001162EA">
        <w:rPr>
          <w:rFonts w:ascii="Times New Roman" w:hAnsi="Times New Roman" w:cs="Times New Roman"/>
          <w:sz w:val="24"/>
          <w:szCs w:val="24"/>
        </w:rPr>
        <w:fldChar w:fldCharType="separate"/>
      </w:r>
      <w:r w:rsidR="001162EA">
        <w:rPr>
          <w:rFonts w:ascii="Times New Roman" w:hAnsi="Times New Roman" w:cs="Times New Roman"/>
          <w:sz w:val="24"/>
          <w:szCs w:val="24"/>
        </w:rPr>
        <w:t>(</w:t>
      </w:r>
      <w:hyperlink w:anchor="_ENREF_8" w:tooltip="Ashaye, 2004 #23" w:history="1">
        <w:r w:rsidR="001162EA">
          <w:rPr>
            <w:rFonts w:ascii="Times New Roman" w:hAnsi="Times New Roman" w:cs="Times New Roman"/>
            <w:sz w:val="24"/>
            <w:szCs w:val="24"/>
          </w:rPr>
          <w:t>Ashaye</w:t>
        </w:r>
        <w:r w:rsidR="001162EA">
          <w:rPr>
            <w:rFonts w:ascii="Times New Roman" w:hAnsi="Times New Roman" w:cs="Times New Roman"/>
            <w:i/>
            <w:sz w:val="24"/>
            <w:szCs w:val="24"/>
          </w:rPr>
          <w:t xml:space="preserve"> et al.</w:t>
        </w:r>
        <w:r w:rsidR="001162EA">
          <w:rPr>
            <w:rFonts w:ascii="Times New Roman" w:hAnsi="Times New Roman" w:cs="Times New Roman"/>
            <w:sz w:val="24"/>
            <w:szCs w:val="24"/>
          </w:rPr>
          <w:t>, 2004</w:t>
        </w:r>
      </w:hyperlink>
      <w:r w:rsidR="001162EA">
        <w:rPr>
          <w:rFonts w:ascii="Times New Roman" w:hAnsi="Times New Roman" w:cs="Times New Roman"/>
          <w:sz w:val="24"/>
          <w:szCs w:val="24"/>
        </w:rPr>
        <w:t>)</w:t>
      </w:r>
      <w:r w:rsidR="001162EA">
        <w:rPr>
          <w:rFonts w:ascii="Times New Roman" w:hAnsi="Times New Roman" w:cs="Times New Roman"/>
          <w:sz w:val="24"/>
          <w:szCs w:val="24"/>
        </w:rPr>
        <w:fldChar w:fldCharType="end"/>
      </w:r>
      <w:r w:rsidR="001162EA">
        <w:rPr>
          <w:rFonts w:ascii="Times New Roman" w:hAnsi="Times New Roman" w:cs="Times New Roman"/>
          <w:sz w:val="24"/>
          <w:szCs w:val="24"/>
        </w:rPr>
        <w:t xml:space="preserve">, and needed fortification with legumes </w:t>
      </w:r>
      <w:r w:rsidR="001162EA">
        <w:rPr>
          <w:rFonts w:ascii="Times New Roman" w:hAnsi="Times New Roman" w:cs="Times New Roman"/>
          <w:sz w:val="24"/>
          <w:szCs w:val="24"/>
        </w:rPr>
        <w:fldChar w:fldCharType="begin"/>
      </w:r>
      <w:r w:rsidR="001162EA">
        <w:rPr>
          <w:rFonts w:ascii="Times New Roman" w:hAnsi="Times New Roman" w:cs="Times New Roman"/>
          <w:sz w:val="24"/>
          <w:szCs w:val="24"/>
        </w:rPr>
        <w:instrText xml:space="preserve"> ADDIN EN.CITE &lt;EndNote&gt;&lt;Cite&gt;&lt;Author&gt;Nwokoro&lt;/Author&gt;&lt;Year&gt;2012&lt;/Year&gt;&lt;RecNum&gt;3&lt;/RecNum&gt;&lt;DisplayText&gt;(Nwokoro and Chukwu, 2012)&lt;/DisplayText&gt;&lt;record&gt;&lt;rec-number&gt;3&lt;/rec-number&gt;&lt;foreign-keys&gt;&lt;key app="EN" db-id="tz9rpzspgx2teie0pzs5w5a7v2exvttzvvdr"&gt;3&lt;/key&gt;&lt;/foreign-keys&gt;&lt;ref-type name="Journal Article"&gt;17&lt;/ref-type&gt;&lt;contributors&gt;&lt;authors&gt;&lt;author&gt;Nwokoro, Ogbonnaya&lt;/author&gt;&lt;author&gt;Chukwu, Bernice Chidinma&lt;/author&gt;&lt;/authors&gt;&lt;/contributors&gt;&lt;titles&gt;&lt;title&gt;Studies on Akamu, a traditional fermented maize food&lt;/title&gt;&lt;secondary-title&gt;Revista Chilena de Nutrición&lt;/secondary-title&gt;&lt;/titles&gt;&lt;periodical&gt;&lt;full-title&gt;Revista Chilena de Nutrición&lt;/full-title&gt;&lt;/periodical&gt;&lt;pages&gt;180-184&lt;/pages&gt;&lt;volume&gt;39&lt;/volume&gt;&lt;number&gt;4&lt;/number&gt;&lt;dates&gt;&lt;year&gt;2012&lt;/year&gt;&lt;/dates&gt;&lt;isbn&gt;0716-1549&lt;/isbn&gt;&lt;urls&gt;&lt;/urls&gt;&lt;/record&gt;&lt;/Cite&gt;&lt;/EndNote&gt;</w:instrText>
      </w:r>
      <w:r w:rsidR="001162EA">
        <w:rPr>
          <w:rFonts w:ascii="Times New Roman" w:hAnsi="Times New Roman" w:cs="Times New Roman"/>
          <w:sz w:val="24"/>
          <w:szCs w:val="24"/>
        </w:rPr>
        <w:fldChar w:fldCharType="separate"/>
      </w:r>
      <w:r w:rsidR="001162EA">
        <w:rPr>
          <w:rFonts w:ascii="Times New Roman" w:hAnsi="Times New Roman" w:cs="Times New Roman"/>
          <w:sz w:val="24"/>
          <w:szCs w:val="24"/>
        </w:rPr>
        <w:t>(</w:t>
      </w:r>
      <w:hyperlink w:anchor="_ENREF_40" w:tooltip="Nwokoro, 2012 #3" w:history="1">
        <w:r w:rsidR="001162EA">
          <w:rPr>
            <w:rFonts w:ascii="Times New Roman" w:hAnsi="Times New Roman" w:cs="Times New Roman"/>
            <w:sz w:val="24"/>
            <w:szCs w:val="24"/>
          </w:rPr>
          <w:t>Nwokoro and Chukwu, 2012</w:t>
        </w:r>
      </w:hyperlink>
      <w:r w:rsidR="001162EA">
        <w:rPr>
          <w:rFonts w:ascii="Times New Roman" w:hAnsi="Times New Roman" w:cs="Times New Roman"/>
          <w:sz w:val="24"/>
          <w:szCs w:val="24"/>
        </w:rPr>
        <w:t>)</w:t>
      </w:r>
      <w:r w:rsidR="001162EA">
        <w:rPr>
          <w:rFonts w:ascii="Times New Roman" w:hAnsi="Times New Roman" w:cs="Times New Roman"/>
          <w:sz w:val="24"/>
          <w:szCs w:val="24"/>
        </w:rPr>
        <w:fldChar w:fldCharType="end"/>
      </w:r>
      <w:r w:rsidR="001162EA">
        <w:rPr>
          <w:rFonts w:ascii="Times New Roman" w:hAnsi="Times New Roman" w:cs="Times New Roman"/>
          <w:sz w:val="24"/>
          <w:szCs w:val="24"/>
        </w:rPr>
        <w:t xml:space="preserve">. Pap of bio-fortified maize blended with tamarind pulp gives consumers a better nutrition and health benefits. Fortification helps to increase concentration and bioavailability of required nutrients from plant based foods </w:t>
      </w:r>
      <w:r w:rsidR="001162EA">
        <w:rPr>
          <w:rFonts w:ascii="Times New Roman" w:hAnsi="Times New Roman" w:cs="Times New Roman"/>
          <w:sz w:val="24"/>
          <w:szCs w:val="24"/>
        </w:rPr>
        <w:fldChar w:fldCharType="begin"/>
      </w:r>
      <w:r w:rsidR="001162EA">
        <w:rPr>
          <w:rFonts w:ascii="Times New Roman" w:hAnsi="Times New Roman" w:cs="Times New Roman"/>
          <w:sz w:val="24"/>
          <w:szCs w:val="24"/>
        </w:rPr>
        <w:instrText xml:space="preserve"> ADDIN EN.CITE &lt;EndNote&gt;&lt;Cite&gt;&lt;Author&gt;Olayiwola&lt;/Author&gt;&lt;Year&gt;2017&lt;/Year&gt;&lt;RecNum&gt;13&lt;/RecNum&gt;&lt;DisplayText&gt;(Olayiwola&lt;style face="italic"&gt; et al.&lt;/style&gt;, 2017)&lt;/DisplayText&gt;&lt;record&gt;&lt;rec-number&gt;13&lt;/rec-number&gt;&lt;foreign-keys&gt;&lt;key app="EN" db-id="tz9rpzspgx2teie0pzs5w5a7v2exvttzvvdr"&gt;13&lt;/key&gt;&lt;/foreign-keys&gt;&lt;ref-type name="Journal Article"&gt;17&lt;/ref-type&gt;&lt;contributors&gt;&lt;authors&gt;&lt;author&gt;Olayiwola, John Olusola&lt;/author&gt;&lt;author&gt;Inyang, Victoria&lt;/author&gt;&lt;author&gt;Bello, Mobolaji Akeem&lt;/author&gt;&lt;/authors&gt;&lt;/contributors&gt;&lt;titles&gt;&lt;title&gt;Bacteriological and proximate evaluation of ginger-fortified fermented Maize (OGI)&lt;/title&gt;&lt;secondary-title&gt;Am. J. Food Technol&lt;/secondary-title&gt;&lt;/titles&gt;&lt;periodical&gt;&lt;full-title&gt;Am. J. Food Technol&lt;/full-title&gt;&lt;/periodical&gt;&lt;pages&gt;374-378&lt;/pages&gt;&lt;volume&gt;12&lt;/volume&gt;&lt;dates&gt;&lt;year&gt;2017&lt;/year&gt;&lt;/dates&gt;&lt;urls&gt;&lt;/urls&gt;&lt;/record&gt;&lt;/Cite&gt;&lt;/EndNote&gt;</w:instrText>
      </w:r>
      <w:r w:rsidR="001162EA">
        <w:rPr>
          <w:rFonts w:ascii="Times New Roman" w:hAnsi="Times New Roman" w:cs="Times New Roman"/>
          <w:sz w:val="24"/>
          <w:szCs w:val="24"/>
        </w:rPr>
        <w:fldChar w:fldCharType="separate"/>
      </w:r>
      <w:r w:rsidR="001162EA">
        <w:rPr>
          <w:rFonts w:ascii="Times New Roman" w:hAnsi="Times New Roman" w:cs="Times New Roman"/>
          <w:sz w:val="24"/>
          <w:szCs w:val="24"/>
        </w:rPr>
        <w:t>(</w:t>
      </w:r>
      <w:hyperlink w:anchor="_ENREF_44" w:tooltip="Olayiwola, 2017 #13" w:history="1">
        <w:r w:rsidR="001162EA">
          <w:rPr>
            <w:rFonts w:ascii="Times New Roman" w:hAnsi="Times New Roman" w:cs="Times New Roman"/>
            <w:sz w:val="24"/>
            <w:szCs w:val="24"/>
          </w:rPr>
          <w:t>Olayiwola</w:t>
        </w:r>
        <w:r w:rsidR="001162EA">
          <w:rPr>
            <w:rFonts w:ascii="Times New Roman" w:hAnsi="Times New Roman" w:cs="Times New Roman"/>
            <w:i/>
            <w:sz w:val="24"/>
            <w:szCs w:val="24"/>
          </w:rPr>
          <w:t xml:space="preserve"> et al.</w:t>
        </w:r>
        <w:r w:rsidR="001162EA">
          <w:rPr>
            <w:rFonts w:ascii="Times New Roman" w:hAnsi="Times New Roman" w:cs="Times New Roman"/>
            <w:sz w:val="24"/>
            <w:szCs w:val="24"/>
          </w:rPr>
          <w:t>, 2017</w:t>
        </w:r>
      </w:hyperlink>
      <w:r w:rsidR="001162EA">
        <w:rPr>
          <w:rFonts w:ascii="Times New Roman" w:hAnsi="Times New Roman" w:cs="Times New Roman"/>
          <w:sz w:val="24"/>
          <w:szCs w:val="24"/>
        </w:rPr>
        <w:t>)</w:t>
      </w:r>
      <w:r w:rsidR="001162EA">
        <w:rPr>
          <w:rFonts w:ascii="Times New Roman" w:hAnsi="Times New Roman" w:cs="Times New Roman"/>
          <w:sz w:val="24"/>
          <w:szCs w:val="24"/>
        </w:rPr>
        <w:fldChar w:fldCharType="end"/>
      </w:r>
      <w:r w:rsidR="001162EA">
        <w:rPr>
          <w:rFonts w:ascii="Times New Roman" w:hAnsi="Times New Roman" w:cs="Times New Roman"/>
          <w:sz w:val="24"/>
          <w:szCs w:val="24"/>
        </w:rPr>
        <w:t xml:space="preserve"> that can solve nutrition problem peculiar with about 1/3 of children below 5yrs i.e. those having risk of vitamin A deficiency and </w:t>
      </w:r>
      <w:r w:rsidR="001162EA">
        <w:rPr>
          <w:rFonts w:ascii="Times New Roman" w:hAnsi="Times New Roman" w:cs="Times New Roman"/>
          <w:sz w:val="24"/>
          <w:szCs w:val="24"/>
        </w:rPr>
        <w:lastRenderedPageBreak/>
        <w:t>blindness. The research looked at the physicochemical and sensory qualities of pap produced from the bio-fortified maize and tamarind fruit.</w:t>
      </w:r>
    </w:p>
    <w:p w14:paraId="65FA7B2D" w14:textId="77777777" w:rsidR="00406B68" w:rsidRDefault="001162EA">
      <w:pPr>
        <w:spacing w:line="480" w:lineRule="auto"/>
        <w:jc w:val="both"/>
        <w:rPr>
          <w:rFonts w:ascii="Times New Roman" w:hAnsi="Times New Roman" w:cs="Times New Roman"/>
          <w:b/>
          <w:sz w:val="24"/>
          <w:szCs w:val="24"/>
        </w:rPr>
      </w:pPr>
      <w:r>
        <w:rPr>
          <w:rFonts w:ascii="Times New Roman" w:hAnsi="Times New Roman" w:cs="Times New Roman"/>
          <w:b/>
          <w:sz w:val="24"/>
          <w:szCs w:val="24"/>
        </w:rPr>
        <w:t>Material and methods</w:t>
      </w:r>
    </w:p>
    <w:p w14:paraId="55544F6E" w14:textId="77777777" w:rsidR="00406B68" w:rsidRDefault="001162EA">
      <w:pPr>
        <w:spacing w:line="480" w:lineRule="auto"/>
        <w:jc w:val="both"/>
        <w:rPr>
          <w:rFonts w:ascii="Times New Roman" w:hAnsi="Times New Roman" w:cs="Times New Roman"/>
          <w:sz w:val="24"/>
          <w:szCs w:val="24"/>
        </w:rPr>
      </w:pPr>
      <w:r w:rsidRPr="00C66899">
        <w:rPr>
          <w:rFonts w:ascii="Times New Roman" w:hAnsi="Times New Roman" w:cs="Times New Roman"/>
          <w:b/>
          <w:sz w:val="24"/>
          <w:szCs w:val="24"/>
        </w:rPr>
        <w:t>Material Sourcing and Preparation</w:t>
      </w:r>
      <w:r>
        <w:rPr>
          <w:rFonts w:ascii="Times New Roman" w:hAnsi="Times New Roman" w:cs="Times New Roman"/>
          <w:i/>
          <w:sz w:val="24"/>
          <w:szCs w:val="24"/>
        </w:rPr>
        <w:t xml:space="preserve">: </w:t>
      </w:r>
      <w:r>
        <w:rPr>
          <w:rFonts w:ascii="Times New Roman" w:hAnsi="Times New Roman" w:cs="Times New Roman"/>
          <w:sz w:val="24"/>
          <w:szCs w:val="24"/>
        </w:rPr>
        <w:t>Bio-fortified maize (</w:t>
      </w:r>
      <w:proofErr w:type="spellStart"/>
      <w:r>
        <w:rPr>
          <w:rFonts w:ascii="Times New Roman" w:hAnsi="Times New Roman" w:cs="Times New Roman"/>
          <w:i/>
          <w:sz w:val="24"/>
          <w:szCs w:val="24"/>
        </w:rPr>
        <w:t>Zea</w:t>
      </w:r>
      <w:proofErr w:type="spellEnd"/>
      <w:r>
        <w:rPr>
          <w:rFonts w:ascii="Times New Roman" w:hAnsi="Times New Roman" w:cs="Times New Roman"/>
          <w:i/>
          <w:sz w:val="24"/>
          <w:szCs w:val="24"/>
        </w:rPr>
        <w:t xml:space="preserve"> mays L.</w:t>
      </w:r>
      <w:r>
        <w:rPr>
          <w:rFonts w:ascii="Times New Roman" w:hAnsi="Times New Roman" w:cs="Times New Roman"/>
          <w:sz w:val="24"/>
          <w:szCs w:val="24"/>
        </w:rPr>
        <w:t>) was sourced from International Institute of Tropical Agriculture (IITA), Ibadan, Oyo State, Nigeria, Tamarind (</w:t>
      </w:r>
      <w:proofErr w:type="spellStart"/>
      <w:r>
        <w:rPr>
          <w:rFonts w:ascii="Times New Roman" w:hAnsi="Times New Roman" w:cs="Times New Roman"/>
          <w:i/>
          <w:sz w:val="24"/>
          <w:szCs w:val="24"/>
        </w:rPr>
        <w:t>Tamarindus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r>
        <w:rPr>
          <w:rFonts w:ascii="Times New Roman" w:hAnsi="Times New Roman" w:cs="Times New Roman"/>
          <w:i/>
          <w:sz w:val="24"/>
          <w:szCs w:val="24"/>
        </w:rPr>
        <w:t xml:space="preserve"> L.) </w:t>
      </w:r>
      <w:r>
        <w:rPr>
          <w:rFonts w:ascii="Times New Roman" w:hAnsi="Times New Roman" w:cs="Times New Roman"/>
          <w:sz w:val="24"/>
          <w:szCs w:val="24"/>
        </w:rPr>
        <w:t xml:space="preserve">was purchased from </w:t>
      </w:r>
      <w:proofErr w:type="spellStart"/>
      <w:r>
        <w:rPr>
          <w:rFonts w:ascii="Times New Roman" w:hAnsi="Times New Roman" w:cs="Times New Roman"/>
          <w:i/>
          <w:sz w:val="24"/>
          <w:szCs w:val="24"/>
        </w:rPr>
        <w:t>Oja-oba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market, Ilorin,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Nigeria, and the pap paste processed in the laboratory of Department of Home Economics and Food Science, University of Ilorin. </w:t>
      </w:r>
    </w:p>
    <w:p w14:paraId="7CA06188" w14:textId="77777777" w:rsidR="00406B68" w:rsidRDefault="001162EA">
      <w:pPr>
        <w:spacing w:line="480" w:lineRule="auto"/>
        <w:jc w:val="both"/>
        <w:rPr>
          <w:rFonts w:ascii="Times New Roman" w:hAnsi="Times New Roman" w:cs="Times New Roman"/>
          <w:sz w:val="24"/>
          <w:szCs w:val="24"/>
        </w:rPr>
      </w:pPr>
      <w:r w:rsidRPr="00C66899">
        <w:rPr>
          <w:rFonts w:ascii="Times New Roman" w:hAnsi="Times New Roman" w:cs="Times New Roman"/>
          <w:b/>
          <w:sz w:val="24"/>
          <w:szCs w:val="24"/>
        </w:rPr>
        <w:t>Production of Pap and Product Formulation</w:t>
      </w:r>
      <w:r>
        <w:rPr>
          <w:rFonts w:ascii="Times New Roman" w:hAnsi="Times New Roman" w:cs="Times New Roman"/>
          <w:i/>
          <w:sz w:val="24"/>
          <w:szCs w:val="24"/>
        </w:rPr>
        <w:t xml:space="preserve">: </w:t>
      </w:r>
      <w:r>
        <w:rPr>
          <w:rFonts w:ascii="Times New Roman" w:hAnsi="Times New Roman" w:cs="Times New Roman"/>
          <w:sz w:val="24"/>
          <w:szCs w:val="24"/>
        </w:rPr>
        <w:t xml:space="preserve">Cleaned maize grains and tamarind fruit were wet-milled with an attrition mill to obtain slurry, which was sieved with a muslin cloth to obtained a suspension left for 24-48hrs, and supernatant decanted to collect the pap for analyses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&lt;EndNote&gt;&lt;Cite&gt;&lt;Author&gt;Akingbala&lt;/Author&gt;&lt;Year&gt;2003&lt;/Year&gt;&lt;RecNum&gt;43&lt;/RecNum&gt;&lt;DisplayText&gt;(Akingbala&lt;style face="italic"&gt; et al.&lt;/style&gt;, 2003)&lt;/DisplayText&gt;&lt;record&gt;&lt;rec-number&gt;43&lt;/rec-number&gt;&lt;foreign-keys&gt;&lt;key app="EN" db-id="tz9rpzspgx2teie0pzs5w5a7v2exvttzvvdr"&gt;43&lt;/key&gt;&lt;/foreign-keys&gt;&lt;ref-type name="Journal Article"&gt;17&lt;/ref-type&gt;&lt;contributors&gt;&lt;authors&gt;&lt;author&gt;Akingbala, JO&lt;/author&gt;&lt;author&gt;Akinwande, BA&lt;/author&gt;&lt;author&gt;Uzo-Peters, PI&lt;/author&gt;&lt;/authors&gt;&lt;/contributors&gt;&lt;titles&gt;&lt;title&gt;Effects of color and flavor changes on acceptability of ogi supplemented with okra seed meals&lt;/title&gt;&lt;secondary-title&gt;Plant Foods for Human Nutrition&lt;/secondary-title&gt;&lt;/titles&gt;&lt;periodical&gt;&lt;full-title&gt;Plant Foods for Human Nutrition&lt;/full-title&gt;&lt;/periodical&gt;&lt;pages&gt;1-9&lt;/pages&gt;&lt;volume&gt;58&lt;/volume&gt;&lt;number&gt;3&lt;/number&gt;&lt;dates&gt;&lt;year&gt;2003&lt;/year&gt;&lt;/dates&gt;&lt;isbn&gt;0921-9668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5" w:tooltip="Akingbala, 2003 #43" w:history="1">
        <w:r>
          <w:rPr>
            <w:rFonts w:ascii="Times New Roman" w:hAnsi="Times New Roman" w:cs="Times New Roman"/>
            <w:sz w:val="24"/>
            <w:szCs w:val="24"/>
          </w:rPr>
          <w:t>Akingbala</w:t>
        </w:r>
        <w:r>
          <w:rPr>
            <w:rFonts w:ascii="Times New Roman" w:hAnsi="Times New Roman" w:cs="Times New Roman"/>
            <w:i/>
            <w:sz w:val="24"/>
            <w:szCs w:val="24"/>
          </w:rPr>
          <w:t xml:space="preserve"> et al.</w:t>
        </w:r>
        <w:r>
          <w:rPr>
            <w:rFonts w:ascii="Times New Roman" w:hAnsi="Times New Roman" w:cs="Times New Roman"/>
            <w:sz w:val="24"/>
            <w:szCs w:val="24"/>
          </w:rPr>
          <w:t>, 2003</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Six samples were formulated (Table 1). The control had only bio-fortified maize.</w:t>
      </w:r>
    </w:p>
    <w:p w14:paraId="09E347A1" w14:textId="77777777" w:rsidR="00406B68" w:rsidRDefault="001162E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Table 1: Product formulation of the pap paste samples</w:t>
      </w:r>
    </w:p>
    <w:tbl>
      <w:tblPr>
        <w:tblStyle w:val="TableGrid"/>
        <w:tblW w:w="9715" w:type="dxa"/>
        <w:tblBorders>
          <w:left w:val="none" w:sz="0" w:space="0" w:color="auto"/>
          <w:right w:val="none" w:sz="0" w:space="0" w:color="auto"/>
          <w:insideV w:val="none" w:sz="0" w:space="0" w:color="auto"/>
        </w:tblBorders>
        <w:tblLook w:val="04A0" w:firstRow="1" w:lastRow="0" w:firstColumn="1" w:lastColumn="0" w:noHBand="0" w:noVBand="1"/>
      </w:tblPr>
      <w:tblGrid>
        <w:gridCol w:w="1349"/>
        <w:gridCol w:w="1251"/>
        <w:gridCol w:w="1168"/>
        <w:gridCol w:w="1168"/>
        <w:gridCol w:w="1170"/>
        <w:gridCol w:w="1168"/>
        <w:gridCol w:w="1181"/>
        <w:gridCol w:w="1260"/>
      </w:tblGrid>
      <w:tr w:rsidR="00406B68" w14:paraId="2348327C" w14:textId="77777777">
        <w:tc>
          <w:tcPr>
            <w:tcW w:w="1350" w:type="dxa"/>
          </w:tcPr>
          <w:p w14:paraId="6F3F9BE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Ingredients </w:t>
            </w:r>
          </w:p>
        </w:tc>
        <w:tc>
          <w:tcPr>
            <w:tcW w:w="1252" w:type="dxa"/>
          </w:tcPr>
          <w:p w14:paraId="764C60B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A</w:t>
            </w:r>
          </w:p>
        </w:tc>
        <w:tc>
          <w:tcPr>
            <w:tcW w:w="1168" w:type="dxa"/>
          </w:tcPr>
          <w:p w14:paraId="6B26C25D"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B</w:t>
            </w:r>
          </w:p>
        </w:tc>
        <w:tc>
          <w:tcPr>
            <w:tcW w:w="1168" w:type="dxa"/>
          </w:tcPr>
          <w:p w14:paraId="48FB560E"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C</w:t>
            </w:r>
          </w:p>
        </w:tc>
        <w:tc>
          <w:tcPr>
            <w:tcW w:w="1168" w:type="dxa"/>
          </w:tcPr>
          <w:p w14:paraId="6D21430E"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D</w:t>
            </w:r>
          </w:p>
        </w:tc>
        <w:tc>
          <w:tcPr>
            <w:tcW w:w="1168" w:type="dxa"/>
          </w:tcPr>
          <w:p w14:paraId="30166679"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E</w:t>
            </w:r>
          </w:p>
        </w:tc>
        <w:tc>
          <w:tcPr>
            <w:tcW w:w="1181" w:type="dxa"/>
          </w:tcPr>
          <w:p w14:paraId="6666097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F</w:t>
            </w:r>
          </w:p>
        </w:tc>
        <w:tc>
          <w:tcPr>
            <w:tcW w:w="1260" w:type="dxa"/>
          </w:tcPr>
          <w:p w14:paraId="7387294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 G</w:t>
            </w:r>
          </w:p>
        </w:tc>
      </w:tr>
      <w:tr w:rsidR="00406B68" w14:paraId="037C8546" w14:textId="77777777">
        <w:tc>
          <w:tcPr>
            <w:tcW w:w="1350" w:type="dxa"/>
            <w:tcBorders>
              <w:bottom w:val="nil"/>
            </w:tcBorders>
          </w:tcPr>
          <w:p w14:paraId="23C58BD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Bio-fortified maize</w:t>
            </w:r>
          </w:p>
        </w:tc>
        <w:tc>
          <w:tcPr>
            <w:tcW w:w="1252" w:type="dxa"/>
            <w:tcBorders>
              <w:bottom w:val="nil"/>
            </w:tcBorders>
          </w:tcPr>
          <w:p w14:paraId="6C92E4A3"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1168" w:type="dxa"/>
            <w:tcBorders>
              <w:bottom w:val="nil"/>
            </w:tcBorders>
          </w:tcPr>
          <w:p w14:paraId="5A5A352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95</w:t>
            </w:r>
          </w:p>
        </w:tc>
        <w:tc>
          <w:tcPr>
            <w:tcW w:w="1168" w:type="dxa"/>
            <w:tcBorders>
              <w:bottom w:val="nil"/>
            </w:tcBorders>
          </w:tcPr>
          <w:p w14:paraId="51B50CD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90</w:t>
            </w:r>
          </w:p>
        </w:tc>
        <w:tc>
          <w:tcPr>
            <w:tcW w:w="1168" w:type="dxa"/>
            <w:tcBorders>
              <w:bottom w:val="nil"/>
            </w:tcBorders>
          </w:tcPr>
          <w:p w14:paraId="29B9F2B0"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85</w:t>
            </w:r>
          </w:p>
        </w:tc>
        <w:tc>
          <w:tcPr>
            <w:tcW w:w="1168" w:type="dxa"/>
            <w:tcBorders>
              <w:bottom w:val="nil"/>
            </w:tcBorders>
          </w:tcPr>
          <w:p w14:paraId="5DA02353"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80</w:t>
            </w:r>
          </w:p>
        </w:tc>
        <w:tc>
          <w:tcPr>
            <w:tcW w:w="1181" w:type="dxa"/>
            <w:tcBorders>
              <w:bottom w:val="nil"/>
            </w:tcBorders>
          </w:tcPr>
          <w:p w14:paraId="63781BBD"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75</w:t>
            </w:r>
          </w:p>
        </w:tc>
        <w:tc>
          <w:tcPr>
            <w:tcW w:w="1260" w:type="dxa"/>
            <w:tcBorders>
              <w:bottom w:val="nil"/>
            </w:tcBorders>
          </w:tcPr>
          <w:p w14:paraId="11CD13C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70</w:t>
            </w:r>
          </w:p>
        </w:tc>
      </w:tr>
      <w:tr w:rsidR="00406B68" w14:paraId="30B9E888" w14:textId="77777777">
        <w:tc>
          <w:tcPr>
            <w:tcW w:w="1350" w:type="dxa"/>
            <w:tcBorders>
              <w:top w:val="nil"/>
            </w:tcBorders>
          </w:tcPr>
          <w:p w14:paraId="5B1188F3"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Tamarind </w:t>
            </w:r>
          </w:p>
        </w:tc>
        <w:tc>
          <w:tcPr>
            <w:tcW w:w="1252" w:type="dxa"/>
            <w:tcBorders>
              <w:top w:val="nil"/>
            </w:tcBorders>
          </w:tcPr>
          <w:p w14:paraId="4ABFA6C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1168" w:type="dxa"/>
            <w:tcBorders>
              <w:top w:val="nil"/>
            </w:tcBorders>
          </w:tcPr>
          <w:p w14:paraId="356EB5C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168" w:type="dxa"/>
            <w:tcBorders>
              <w:top w:val="nil"/>
            </w:tcBorders>
          </w:tcPr>
          <w:p w14:paraId="733F7830"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68" w:type="dxa"/>
            <w:tcBorders>
              <w:top w:val="nil"/>
            </w:tcBorders>
          </w:tcPr>
          <w:p w14:paraId="64F2C9C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1168" w:type="dxa"/>
            <w:tcBorders>
              <w:top w:val="nil"/>
            </w:tcBorders>
          </w:tcPr>
          <w:p w14:paraId="51342A1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1181" w:type="dxa"/>
            <w:tcBorders>
              <w:top w:val="nil"/>
            </w:tcBorders>
          </w:tcPr>
          <w:p w14:paraId="593EA64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1260" w:type="dxa"/>
            <w:tcBorders>
              <w:top w:val="nil"/>
            </w:tcBorders>
          </w:tcPr>
          <w:p w14:paraId="537E5619"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30</w:t>
            </w:r>
          </w:p>
        </w:tc>
      </w:tr>
    </w:tbl>
    <w:p w14:paraId="671A6F03" w14:textId="77777777" w:rsidR="00406B68" w:rsidRDefault="00406B68">
      <w:pPr>
        <w:spacing w:line="480" w:lineRule="auto"/>
        <w:jc w:val="both"/>
        <w:rPr>
          <w:rFonts w:ascii="Times New Roman" w:hAnsi="Times New Roman" w:cs="Times New Roman"/>
          <w:i/>
          <w:sz w:val="10"/>
          <w:szCs w:val="24"/>
        </w:rPr>
      </w:pPr>
    </w:p>
    <w:p w14:paraId="7C21BC79" w14:textId="77777777" w:rsidR="00406B68" w:rsidRDefault="001162EA">
      <w:pPr>
        <w:spacing w:line="480" w:lineRule="auto"/>
        <w:jc w:val="both"/>
        <w:rPr>
          <w:rFonts w:ascii="Times New Roman" w:hAnsi="Times New Roman" w:cs="Times New Roman"/>
          <w:sz w:val="24"/>
          <w:szCs w:val="24"/>
        </w:rPr>
      </w:pPr>
      <w:r w:rsidRPr="00FD7E7D">
        <w:rPr>
          <w:rFonts w:ascii="Times New Roman" w:hAnsi="Times New Roman" w:cs="Times New Roman"/>
          <w:b/>
          <w:sz w:val="24"/>
          <w:szCs w:val="24"/>
        </w:rPr>
        <w:t>Determination of Proximate Composition of the Pap Samples</w:t>
      </w:r>
      <w:r>
        <w:rPr>
          <w:rFonts w:ascii="Times New Roman" w:hAnsi="Times New Roman" w:cs="Times New Roman"/>
          <w:i/>
          <w:sz w:val="24"/>
          <w:szCs w:val="24"/>
        </w:rPr>
        <w:t xml:space="preserve">: </w:t>
      </w:r>
      <w:r>
        <w:rPr>
          <w:rFonts w:ascii="Times New Roman" w:hAnsi="Times New Roman" w:cs="Times New Roman"/>
          <w:sz w:val="24"/>
          <w:szCs w:val="24"/>
        </w:rPr>
        <w:t xml:space="preserve">Proximate composition of the pap samples was determined with standard method of Association of Official Analytical Chemists (AOAC, 2010). The moisture,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crude protein, crude fat, ash and carbohydrate were determined.</w:t>
      </w:r>
    </w:p>
    <w:p w14:paraId="6987885F" w14:textId="2372AA36" w:rsidR="00406B68" w:rsidRDefault="001162EA">
      <w:pPr>
        <w:spacing w:line="480" w:lineRule="auto"/>
        <w:jc w:val="both"/>
        <w:rPr>
          <w:rFonts w:ascii="Times New Roman" w:hAnsi="Times New Roman" w:cs="Times New Roman"/>
          <w:b/>
          <w:sz w:val="24"/>
          <w:szCs w:val="24"/>
        </w:rPr>
      </w:pPr>
      <w:r>
        <w:rPr>
          <w:rFonts w:ascii="Times New Roman" w:hAnsi="Times New Roman" w:cs="Times New Roman"/>
          <w:sz w:val="24"/>
          <w:szCs w:val="24"/>
        </w:rPr>
        <w:t>The</w:t>
      </w:r>
      <w:r w:rsidR="00FD7E7D">
        <w:rPr>
          <w:rFonts w:ascii="Times New Roman" w:hAnsi="Times New Roman" w:cs="Times New Roman"/>
          <w:sz w:val="24"/>
          <w:szCs w:val="24"/>
        </w:rPr>
        <w:t xml:space="preserve"> percentage</w:t>
      </w:r>
      <w:r>
        <w:rPr>
          <w:rFonts w:ascii="Times New Roman" w:hAnsi="Times New Roman" w:cs="Times New Roman"/>
          <w:sz w:val="24"/>
          <w:szCs w:val="24"/>
        </w:rPr>
        <w:t xml:space="preserve"> moisture content</w:t>
      </w:r>
      <w:r w:rsidR="00FD7E7D">
        <w:rPr>
          <w:rFonts w:ascii="Times New Roman" w:hAnsi="Times New Roman" w:cs="Times New Roman"/>
          <w:sz w:val="24"/>
          <w:szCs w:val="24"/>
        </w:rPr>
        <w:t xml:space="preserve"> was </w:t>
      </w:r>
      <w:r>
        <w:rPr>
          <w:rFonts w:ascii="Times New Roman" w:hAnsi="Times New Roman" w:cs="Times New Roman"/>
          <w:sz w:val="24"/>
          <w:szCs w:val="24"/>
        </w:rPr>
        <w:t>calculated thus:</w:t>
      </w:r>
    </w:p>
    <w:p w14:paraId="7CC75C89" w14:textId="6201268A" w:rsidR="00406B68" w:rsidRDefault="001162EA">
      <w:pPr>
        <w:autoSpaceDE w:val="0"/>
        <w:autoSpaceDN w:val="0"/>
        <w:adjustRightInd w:val="0"/>
        <w:spacing w:after="0" w:line="480" w:lineRule="auto"/>
        <w:jc w:val="both"/>
        <w:rPr>
          <w:rFonts w:ascii="Times New Roman" w:hAnsi="Times New Roman" w:cs="Times New Roman"/>
          <w:sz w:val="20"/>
          <w:szCs w:val="24"/>
        </w:rPr>
      </w:pPr>
      <w:r>
        <w:rPr>
          <w:rFonts w:ascii="Times New Roman" w:hAnsi="Times New Roman" w:cs="Times New Roman"/>
          <w:sz w:val="24"/>
          <w:szCs w:val="24"/>
        </w:rPr>
        <w:lastRenderedPageBreak/>
        <w:t>% moisture content =   </w:t>
      </w:r>
      <w:r w:rsidR="00FA7CAD">
        <w:rPr>
          <w:rFonts w:ascii="Times New Roman" w:hAnsi="Times New Roman" w:cs="Times New Roman"/>
          <w:sz w:val="24"/>
          <w:szCs w:val="24"/>
        </w:rPr>
        <w:t xml:space="preserve">=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num>
          <m:den>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den>
        </m:f>
        <m:r>
          <w:rPr>
            <w:rFonts w:ascii="Cambria Math" w:hAnsi="Cambria Math" w:cs="Times New Roman"/>
            <w:sz w:val="24"/>
            <w:szCs w:val="24"/>
          </w:rPr>
          <m:t xml:space="preserve"> ×    100</m:t>
        </m:r>
      </m:oMath>
      <w:r>
        <w:rPr>
          <w:rFonts w:ascii="Times New Roman" w:hAnsi="Times New Roman" w:cs="Times New Roman"/>
          <w:sz w:val="24"/>
          <w:szCs w:val="24"/>
        </w:rPr>
        <w:t>        </w:t>
      </w:r>
      <w:commentRangeStart w:id="0"/>
      <w:commentRangeEnd w:id="0"/>
      <w:r>
        <w:rPr>
          <w:rFonts w:ascii="Times New Roman" w:hAnsi="Times New Roman" w:cs="Times New Roman"/>
          <w:sz w:val="24"/>
          <w:szCs w:val="24"/>
        </w:rPr>
        <w:t>  </w:t>
      </w:r>
      <w:r>
        <w:rPr>
          <w:rFonts w:ascii="Times New Roman" w:hAnsi="Times New Roman" w:cs="Times New Roman"/>
          <w:sz w:val="20"/>
          <w:szCs w:val="24"/>
        </w:rPr>
        <w:t>Where, W</w:t>
      </w:r>
      <w:r>
        <w:rPr>
          <w:rFonts w:ascii="Times New Roman" w:hAnsi="Times New Roman" w:cs="Times New Roman"/>
          <w:sz w:val="20"/>
          <w:szCs w:val="24"/>
          <w:vertAlign w:val="subscript"/>
        </w:rPr>
        <w:t>1</w:t>
      </w:r>
      <w:r>
        <w:rPr>
          <w:rFonts w:ascii="Times New Roman" w:hAnsi="Times New Roman" w:cs="Times New Roman"/>
          <w:sz w:val="20"/>
          <w:szCs w:val="24"/>
        </w:rPr>
        <w:t xml:space="preserve"> = Initial weight of the empty dish; W</w:t>
      </w:r>
      <w:r>
        <w:rPr>
          <w:rFonts w:ascii="Times New Roman" w:hAnsi="Times New Roman" w:cs="Times New Roman"/>
          <w:sz w:val="20"/>
          <w:szCs w:val="24"/>
          <w:vertAlign w:val="subscript"/>
        </w:rPr>
        <w:t>2</w:t>
      </w:r>
      <w:r>
        <w:rPr>
          <w:rFonts w:ascii="Times New Roman" w:hAnsi="Times New Roman" w:cs="Times New Roman"/>
          <w:sz w:val="20"/>
          <w:szCs w:val="24"/>
        </w:rPr>
        <w:t xml:space="preserve"> = weight of dish + sample before drying; W</w:t>
      </w:r>
      <w:r>
        <w:rPr>
          <w:rFonts w:ascii="Times New Roman" w:hAnsi="Times New Roman" w:cs="Times New Roman"/>
          <w:sz w:val="20"/>
          <w:szCs w:val="24"/>
          <w:vertAlign w:val="subscript"/>
        </w:rPr>
        <w:t>3</w:t>
      </w:r>
      <w:r>
        <w:rPr>
          <w:rFonts w:ascii="Times New Roman" w:hAnsi="Times New Roman" w:cs="Times New Roman"/>
          <w:sz w:val="20"/>
          <w:szCs w:val="24"/>
        </w:rPr>
        <w:t xml:space="preserve"> = weight of dish + sample after drying.</w:t>
      </w:r>
    </w:p>
    <w:p w14:paraId="0735EA3C"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Fat content was determined with </w:t>
      </w:r>
      <w:proofErr w:type="spellStart"/>
      <w:r>
        <w:rPr>
          <w:rFonts w:ascii="Times New Roman" w:hAnsi="Times New Roman" w:cs="Times New Roman"/>
          <w:sz w:val="24"/>
          <w:szCs w:val="24"/>
        </w:rPr>
        <w:t>Soxhlet</w:t>
      </w:r>
      <w:proofErr w:type="spellEnd"/>
      <w:r>
        <w:rPr>
          <w:rFonts w:ascii="Times New Roman" w:hAnsi="Times New Roman" w:cs="Times New Roman"/>
          <w:sz w:val="24"/>
          <w:szCs w:val="24"/>
        </w:rPr>
        <w:t xml:space="preserve"> extraction method of AOAC (2010), and percentage fat content calculated thus: </w:t>
      </w:r>
    </w:p>
    <w:p w14:paraId="3A67BA04" w14:textId="0F3C780E" w:rsidR="00406B68" w:rsidRDefault="001162E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%fat =  </w:t>
      </w:r>
      <m:oMath>
        <m:f>
          <m:fPr>
            <m:ctrlPr>
              <w:rPr>
                <w:rFonts w:ascii="Cambria Math" w:hAnsi="Cambria Math" w:cs="Times New Roman"/>
                <w:sz w:val="24"/>
                <w:szCs w:val="24"/>
              </w:rPr>
            </m:ctrlPr>
          </m:fPr>
          <m:num>
            <m:r>
              <m:rPr>
                <m:sty m:val="p"/>
              </m:rPr>
              <w:rPr>
                <w:rFonts w:ascii="Cambria Math" w:hAnsi="Cambria Math" w:cs="Times New Roman"/>
                <w:sz w:val="24"/>
                <w:szCs w:val="24"/>
              </w:rPr>
              <m:t>weight of fat</m:t>
            </m:r>
          </m:num>
          <m:den>
            <m:r>
              <m:rPr>
                <m:sty m:val="p"/>
              </m:rPr>
              <w:rPr>
                <w:rFonts w:ascii="Cambria Math" w:hAnsi="Cambria Math" w:cs="Times New Roman"/>
                <w:sz w:val="24"/>
                <w:szCs w:val="24"/>
              </w:rPr>
              <m:t>weight of sample</m:t>
            </m:r>
          </m:den>
        </m:f>
      </m:oMath>
      <w:r w:rsidRPr="00D32A1B">
        <w:rPr>
          <w:rFonts w:ascii="Times New Roman" w:hAnsi="Times New Roman" w:cs="Times New Roman"/>
          <w:sz w:val="24"/>
          <w:szCs w:val="24"/>
        </w:rPr>
        <w:t> </w:t>
      </w:r>
      <w:r w:rsidRPr="00480BDA">
        <w:rPr>
          <w:rFonts w:ascii="Times New Roman" w:hAnsi="Times New Roman" w:cs="Times New Roman"/>
          <w:sz w:val="20"/>
          <w:szCs w:val="24"/>
        </w:rPr>
        <w:t>X     100</w:t>
      </w:r>
      <w:commentRangeStart w:id="1"/>
      <w:commentRangeEnd w:id="1"/>
      <w:r w:rsidRPr="00480BDA">
        <w:rPr>
          <w:rFonts w:ascii="Times New Roman" w:hAnsi="Times New Roman" w:cs="Times New Roman"/>
          <w:sz w:val="20"/>
          <w:szCs w:val="24"/>
        </w:rPr>
        <w:t>%</w:t>
      </w:r>
    </w:p>
    <w:p w14:paraId="31C89E38" w14:textId="6B31EFC9" w:rsidR="00406B68" w:rsidRDefault="001162EA" w:rsidP="00D32A1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FD7E7D">
        <w:rPr>
          <w:rFonts w:ascii="Times New Roman" w:hAnsi="Times New Roman" w:cs="Times New Roman"/>
          <w:b/>
          <w:bCs/>
          <w:sz w:val="24"/>
          <w:szCs w:val="24"/>
        </w:rPr>
        <w:t>Determination of Crude Protein</w:t>
      </w:r>
      <w:r>
        <w:rPr>
          <w:rFonts w:ascii="Times New Roman" w:hAnsi="Times New Roman" w:cs="Times New Roman"/>
          <w:bCs/>
          <w:i/>
          <w:sz w:val="24"/>
          <w:szCs w:val="24"/>
        </w:rPr>
        <w:t xml:space="preserve">: </w:t>
      </w:r>
      <w:r w:rsidR="00FD7E7D">
        <w:rPr>
          <w:rFonts w:ascii="Times New Roman" w:hAnsi="Times New Roman" w:cs="Times New Roman"/>
          <w:bCs/>
          <w:sz w:val="24"/>
          <w:szCs w:val="24"/>
        </w:rPr>
        <w:t xml:space="preserve">The </w:t>
      </w:r>
      <w:r>
        <w:rPr>
          <w:rFonts w:ascii="Times New Roman" w:hAnsi="Times New Roman" w:cs="Times New Roman"/>
          <w:bCs/>
          <w:sz w:val="24"/>
          <w:szCs w:val="24"/>
        </w:rPr>
        <w:t>M</w:t>
      </w:r>
      <w:r>
        <w:rPr>
          <w:rFonts w:ascii="Times New Roman" w:hAnsi="Times New Roman" w:cs="Times New Roman"/>
          <w:sz w:val="24"/>
          <w:szCs w:val="24"/>
        </w:rPr>
        <w:t>icro-</w:t>
      </w:r>
      <w:proofErr w:type="spellStart"/>
      <w:r>
        <w:rPr>
          <w:rFonts w:ascii="Times New Roman" w:hAnsi="Times New Roman" w:cs="Times New Roman"/>
          <w:sz w:val="24"/>
          <w:szCs w:val="24"/>
        </w:rPr>
        <w:t>Kjeldahl</w:t>
      </w:r>
      <w:proofErr w:type="spellEnd"/>
      <w:r>
        <w:rPr>
          <w:rFonts w:ascii="Times New Roman" w:hAnsi="Times New Roman" w:cs="Times New Roman"/>
          <w:sz w:val="24"/>
          <w:szCs w:val="24"/>
        </w:rPr>
        <w:t xml:space="preserve"> method (AOAC, 2010) was adopted, with percentage crude protein content determined thus: </w:t>
      </w:r>
    </w:p>
    <w:p w14:paraId="786A8C0E" w14:textId="7AC185C9" w:rsidR="00406B68" w:rsidRDefault="001162EA">
      <w:pPr>
        <w:autoSpaceDE w:val="0"/>
        <w:autoSpaceDN w:val="0"/>
        <w:adjustRightInd w:val="0"/>
        <w:spacing w:after="0" w:line="480" w:lineRule="auto"/>
        <w:jc w:val="both"/>
        <w:rPr>
          <w:rFonts w:ascii="Times New Roman" w:hAnsi="Times New Roman" w:cs="Times New Roman"/>
          <w:sz w:val="24"/>
          <w:szCs w:val="24"/>
          <w:u w:val="single"/>
        </w:rPr>
      </w:pPr>
      <w:r>
        <w:rPr>
          <w:rFonts w:ascii="Times New Roman" w:hAnsi="Times New Roman" w:cs="Times New Roman"/>
          <w:sz w:val="24"/>
          <w:szCs w:val="24"/>
        </w:rPr>
        <w:t>% Nitrogen =</w:t>
      </w:r>
      <w:r w:rsidR="009546AA">
        <w:rPr>
          <w:rFonts w:ascii="Times New Roman" w:hAnsi="Times New Roman" w:cs="Times New Roman"/>
          <w:sz w:val="24"/>
          <w:szCs w:val="24"/>
        </w:rPr>
        <w:t xml:space="preserve"> </w:t>
      </w:r>
      <m:oMath>
        <m:f>
          <m:fPr>
            <m:ctrlPr>
              <w:rPr>
                <w:rFonts w:ascii="Cambria Math" w:hAnsi="Cambria Math" w:cs="Times New Roman"/>
                <w:sz w:val="32"/>
                <w:szCs w:val="24"/>
              </w:rPr>
            </m:ctrlPr>
          </m:fPr>
          <m:num>
            <m:r>
              <m:rPr>
                <m:sty m:val="p"/>
              </m:rPr>
              <w:rPr>
                <w:rFonts w:ascii="Cambria Math" w:hAnsi="Cambria Math" w:cs="Times New Roman"/>
                <w:sz w:val="32"/>
                <w:szCs w:val="24"/>
              </w:rPr>
              <m:t xml:space="preserve">T </m:t>
            </m:r>
            <m:r>
              <m:rPr>
                <m:sty m:val="p"/>
              </m:rPr>
              <w:rPr>
                <w:rFonts w:ascii="Cambria Math" w:hAnsi="Cambria Math" w:cs="Times New Roman"/>
                <w:sz w:val="32"/>
                <w:szCs w:val="24"/>
              </w:rPr>
              <m:t>×</m:t>
            </m:r>
            <m:r>
              <m:rPr>
                <m:sty m:val="p"/>
              </m:rPr>
              <w:rPr>
                <w:rFonts w:ascii="Cambria Math" w:hAnsi="Cambria Math" w:cs="Times New Roman"/>
                <w:sz w:val="32"/>
                <w:szCs w:val="24"/>
              </w:rPr>
              <m:t xml:space="preserve"> 14.01 x 0.01 x 20</m:t>
            </m:r>
          </m:num>
          <m:den>
            <m:r>
              <m:rPr>
                <m:sty m:val="p"/>
              </m:rPr>
              <w:rPr>
                <w:rFonts w:ascii="Cambria Math" w:hAnsi="Cambria Math" w:cs="Times New Roman"/>
                <w:sz w:val="32"/>
                <w:szCs w:val="24"/>
              </w:rPr>
              <m:t>1.0x100</m:t>
            </m:r>
          </m:den>
        </m:f>
      </m:oMath>
      <w:r w:rsidRPr="009546AA">
        <w:rPr>
          <w:rFonts w:ascii="Times New Roman" w:hAnsi="Times New Roman" w:cs="Times New Roman"/>
          <w:sz w:val="24"/>
          <w:szCs w:val="24"/>
        </w:rPr>
        <w:t xml:space="preserve"> x</w:t>
      </w:r>
      <w:r w:rsidR="009546AA">
        <w:rPr>
          <w:rFonts w:ascii="Times New Roman" w:hAnsi="Times New Roman" w:cs="Times New Roman"/>
          <w:sz w:val="24"/>
          <w:szCs w:val="24"/>
        </w:rPr>
        <w:t xml:space="preserve"> 100</w:t>
      </w:r>
      <w:commentRangeStart w:id="2"/>
    </w:p>
    <w:p w14:paraId="6147473A" w14:textId="2CD074D1" w:rsidR="00406B68" w:rsidRDefault="001162EA" w:rsidP="00325BEB">
      <w:pPr>
        <w:autoSpaceDE w:val="0"/>
        <w:autoSpaceDN w:val="0"/>
        <w:adjustRightInd w:val="0"/>
        <w:spacing w:line="480" w:lineRule="auto"/>
        <w:jc w:val="both"/>
        <w:rPr>
          <w:rFonts w:ascii="Times New Roman" w:hAnsi="Times New Roman" w:cs="Times New Roman"/>
          <w:sz w:val="20"/>
          <w:szCs w:val="24"/>
        </w:rPr>
      </w:pPr>
      <w:r>
        <w:rPr>
          <w:rFonts w:ascii="Times New Roman" w:hAnsi="Times New Roman" w:cs="Times New Roman"/>
          <w:sz w:val="20"/>
          <w:szCs w:val="24"/>
        </w:rPr>
        <w:t xml:space="preserve">Where T = </w:t>
      </w:r>
      <w:proofErr w:type="spellStart"/>
      <w:r>
        <w:rPr>
          <w:rFonts w:ascii="Times New Roman" w:hAnsi="Times New Roman" w:cs="Times New Roman"/>
          <w:sz w:val="20"/>
          <w:szCs w:val="24"/>
        </w:rPr>
        <w:t>Titre</w:t>
      </w:r>
      <w:proofErr w:type="spellEnd"/>
      <w:r>
        <w:rPr>
          <w:rFonts w:ascii="Times New Roman" w:hAnsi="Times New Roman" w:cs="Times New Roman"/>
          <w:sz w:val="20"/>
          <w:szCs w:val="24"/>
        </w:rPr>
        <w:t xml:space="preserve"> value</w:t>
      </w:r>
      <w:proofErr w:type="gramStart"/>
      <w:r>
        <w:rPr>
          <w:rFonts w:ascii="Times New Roman" w:hAnsi="Times New Roman" w:cs="Times New Roman"/>
          <w:sz w:val="20"/>
          <w:szCs w:val="24"/>
        </w:rPr>
        <w:t>;  1</w:t>
      </w:r>
      <w:proofErr w:type="gramEnd"/>
      <w:r>
        <w:rPr>
          <w:rFonts w:ascii="Times New Roman" w:hAnsi="Times New Roman" w:cs="Times New Roman"/>
          <w:sz w:val="20"/>
          <w:szCs w:val="24"/>
        </w:rPr>
        <w:t xml:space="preserve"> .0g = Weight of the sample; 20 = Dilution factor (i.e. from 10015)</w:t>
      </w:r>
    </w:p>
    <w:p w14:paraId="06845D42" w14:textId="77777777" w:rsidR="00406B68" w:rsidRDefault="001162EA">
      <w:pPr>
        <w:autoSpaceDE w:val="0"/>
        <w:autoSpaceDN w:val="0"/>
        <w:adjustRightInd w:val="0"/>
        <w:spacing w:after="0" w:line="480" w:lineRule="auto"/>
        <w:jc w:val="both"/>
        <w:rPr>
          <w:rFonts w:ascii="Times New Roman" w:hAnsi="Times New Roman" w:cs="Times New Roman"/>
          <w:sz w:val="20"/>
          <w:szCs w:val="24"/>
        </w:rPr>
      </w:pPr>
      <w:r>
        <w:rPr>
          <w:rFonts w:ascii="Times New Roman" w:hAnsi="Times New Roman" w:cs="Times New Roman"/>
          <w:sz w:val="20"/>
          <w:szCs w:val="24"/>
        </w:rPr>
        <w:t xml:space="preserve">0.01 = Normality of </w:t>
      </w:r>
      <w:proofErr w:type="spellStart"/>
      <w:r>
        <w:rPr>
          <w:rFonts w:ascii="Times New Roman" w:hAnsi="Times New Roman" w:cs="Times New Roman"/>
          <w:sz w:val="20"/>
          <w:szCs w:val="24"/>
        </w:rPr>
        <w:t>HCl</w:t>
      </w:r>
      <w:proofErr w:type="spellEnd"/>
      <w:r>
        <w:rPr>
          <w:rFonts w:ascii="Times New Roman" w:hAnsi="Times New Roman" w:cs="Times New Roman"/>
          <w:sz w:val="20"/>
          <w:szCs w:val="24"/>
        </w:rPr>
        <w:t xml:space="preserve">; 14.01 = Atomic </w:t>
      </w:r>
      <w:r>
        <w:rPr>
          <w:rFonts w:ascii="Times New Roman" w:hAnsi="Times New Roman" w:cs="Times New Roman"/>
          <w:bCs/>
          <w:sz w:val="20"/>
          <w:szCs w:val="24"/>
        </w:rPr>
        <w:t>mass</w:t>
      </w:r>
      <w:r>
        <w:rPr>
          <w:rFonts w:ascii="Times New Roman" w:hAnsi="Times New Roman" w:cs="Times New Roman"/>
          <w:b/>
          <w:bCs/>
          <w:sz w:val="20"/>
          <w:szCs w:val="24"/>
        </w:rPr>
        <w:t xml:space="preserve"> </w:t>
      </w:r>
      <w:r>
        <w:rPr>
          <w:rFonts w:ascii="Times New Roman" w:hAnsi="Times New Roman" w:cs="Times New Roman"/>
          <w:sz w:val="20"/>
          <w:szCs w:val="24"/>
        </w:rPr>
        <w:t xml:space="preserve">of nitrogen;  </w:t>
      </w:r>
    </w:p>
    <w:p w14:paraId="1EFA50A5" w14:textId="77777777" w:rsidR="00406B68" w:rsidRDefault="001162EA">
      <w:pPr>
        <w:autoSpaceDE w:val="0"/>
        <w:autoSpaceDN w:val="0"/>
        <w:adjustRightInd w:val="0"/>
        <w:spacing w:after="0" w:line="480" w:lineRule="auto"/>
        <w:jc w:val="both"/>
        <w:rPr>
          <w:rFonts w:ascii="Times New Roman" w:hAnsi="Times New Roman" w:cs="Times New Roman"/>
          <w:sz w:val="20"/>
          <w:szCs w:val="24"/>
        </w:rPr>
      </w:pPr>
      <w:r>
        <w:rPr>
          <w:rFonts w:ascii="Times New Roman" w:hAnsi="Times New Roman" w:cs="Times New Roman"/>
          <w:sz w:val="20"/>
          <w:szCs w:val="24"/>
        </w:rPr>
        <w:t>% Protein = %Nitrogen x 6.25   (where: 6.25 =&gt; Conversion factor of protein).</w:t>
      </w:r>
    </w:p>
    <w:p w14:paraId="03F48F1B"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b/>
          <w:bCs/>
          <w:i/>
          <w:sz w:val="24"/>
          <w:szCs w:val="24"/>
        </w:rPr>
        <w:t>Determination of Total Ash Content</w:t>
      </w:r>
      <w:r>
        <w:rPr>
          <w:rFonts w:ascii="Times New Roman" w:hAnsi="Times New Roman" w:cs="Times New Roman"/>
          <w:bCs/>
          <w:i/>
          <w:sz w:val="24"/>
          <w:szCs w:val="24"/>
        </w:rPr>
        <w:t xml:space="preserve">: </w:t>
      </w:r>
      <w:r>
        <w:rPr>
          <w:rFonts w:ascii="Times New Roman" w:hAnsi="Times New Roman" w:cs="Times New Roman"/>
          <w:bCs/>
          <w:sz w:val="24"/>
          <w:szCs w:val="24"/>
        </w:rPr>
        <w:t>The</w:t>
      </w:r>
      <w:r>
        <w:rPr>
          <w:rFonts w:ascii="Times New Roman" w:hAnsi="Times New Roman" w:cs="Times New Roman"/>
          <w:sz w:val="24"/>
          <w:szCs w:val="24"/>
        </w:rPr>
        <w:t xml:space="preserve"> AOAC, 2010 method was used to determine the percentage ash content with the formula:                                                         </w:t>
      </w:r>
    </w:p>
    <w:p w14:paraId="714C4B42" w14:textId="163C2CA6" w:rsidR="00325BEB" w:rsidRDefault="001162EA" w:rsidP="00325BEB">
      <w:pPr>
        <w:autoSpaceDE w:val="0"/>
        <w:autoSpaceDN w:val="0"/>
        <w:adjustRightInd w:val="0"/>
        <w:spacing w:after="0" w:line="480" w:lineRule="auto"/>
        <w:jc w:val="both"/>
        <w:rPr>
          <w:rFonts w:ascii="Times New Roman" w:hAnsi="Times New Roman" w:cs="Times New Roman"/>
          <w:sz w:val="24"/>
          <w:szCs w:val="24"/>
          <w:u w:val="single"/>
        </w:rPr>
      </w:pPr>
      <w:r>
        <w:rPr>
          <w:rFonts w:ascii="Times New Roman" w:hAnsi="Times New Roman" w:cs="Times New Roman"/>
          <w:sz w:val="24"/>
          <w:szCs w:val="24"/>
        </w:rPr>
        <w:t>% ash: =</w:t>
      </w:r>
      <w:r w:rsidR="00325BEB">
        <w:rPr>
          <w:rFonts w:ascii="Times New Roman" w:hAnsi="Times New Roman" w:cs="Times New Roman"/>
          <w:sz w:val="24"/>
          <w:szCs w:val="24"/>
        </w:rPr>
        <w:t xml:space="preserve"> </w:t>
      </w:r>
      <w:r w:rsidR="00325BEB">
        <w:rPr>
          <w:rFonts w:ascii="Times New Roman" w:hAnsi="Times New Roman" w:cs="Times New Roman"/>
          <w:sz w:val="24"/>
          <w:szCs w:val="24"/>
        </w:rPr>
        <w:t xml:space="preserve"> </w:t>
      </w:r>
      <m:oMath>
        <m:f>
          <m:fPr>
            <m:ctrlPr>
              <w:rPr>
                <w:rFonts w:ascii="Cambria Math" w:hAnsi="Cambria Math" w:cs="Times New Roman"/>
                <w:sz w:val="32"/>
                <w:szCs w:val="24"/>
              </w:rPr>
            </m:ctrlPr>
          </m:fPr>
          <m:num>
            <m:r>
              <m:rPr>
                <m:sty m:val="p"/>
              </m:rPr>
              <w:rPr>
                <w:rFonts w:ascii="Cambria Math" w:hAnsi="Cambria Math" w:cs="Times New Roman"/>
                <w:sz w:val="32"/>
                <w:szCs w:val="24"/>
              </w:rPr>
              <m:t>weight of ash</m:t>
            </m:r>
          </m:num>
          <m:den>
            <m:r>
              <m:rPr>
                <m:sty m:val="p"/>
              </m:rPr>
              <w:rPr>
                <w:rFonts w:ascii="Cambria Math" w:hAnsi="Cambria Math" w:cs="Times New Roman"/>
                <w:sz w:val="32"/>
                <w:szCs w:val="24"/>
              </w:rPr>
              <m:t>weight of sample used</m:t>
            </m:r>
          </m:den>
        </m:f>
      </m:oMath>
      <w:r w:rsidR="00325BEB" w:rsidRPr="009546AA">
        <w:rPr>
          <w:rFonts w:ascii="Times New Roman" w:hAnsi="Times New Roman" w:cs="Times New Roman"/>
          <w:sz w:val="24"/>
          <w:szCs w:val="24"/>
        </w:rPr>
        <w:t xml:space="preserve"> x</w:t>
      </w:r>
      <w:r w:rsidR="00325BEB">
        <w:rPr>
          <w:rFonts w:ascii="Times New Roman" w:hAnsi="Times New Roman" w:cs="Times New Roman"/>
          <w:sz w:val="24"/>
          <w:szCs w:val="24"/>
        </w:rPr>
        <w:t xml:space="preserve"> 100</w:t>
      </w:r>
    </w:p>
    <w:p w14:paraId="408B4B23" w14:textId="447FB93F" w:rsidR="00406B68" w:rsidRDefault="00325BEB">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162EA" w:rsidRPr="00FD7E7D">
        <w:rPr>
          <w:rFonts w:ascii="Times New Roman" w:hAnsi="Times New Roman" w:cs="Times New Roman"/>
          <w:b/>
          <w:bCs/>
          <w:sz w:val="24"/>
          <w:szCs w:val="24"/>
        </w:rPr>
        <w:t>Determination of Crude Fiber Content</w:t>
      </w:r>
      <w:r w:rsidR="001162EA" w:rsidRPr="00FD7E7D">
        <w:rPr>
          <w:rFonts w:ascii="Times New Roman" w:hAnsi="Times New Roman" w:cs="Times New Roman"/>
          <w:bCs/>
          <w:sz w:val="24"/>
          <w:szCs w:val="24"/>
        </w:rPr>
        <w:t>:</w:t>
      </w:r>
      <w:r w:rsidR="001162EA">
        <w:rPr>
          <w:rFonts w:ascii="Times New Roman" w:hAnsi="Times New Roman" w:cs="Times New Roman"/>
          <w:bCs/>
          <w:i/>
          <w:sz w:val="24"/>
          <w:szCs w:val="24"/>
        </w:rPr>
        <w:t xml:space="preserve"> </w:t>
      </w:r>
      <w:r w:rsidR="001162EA">
        <w:rPr>
          <w:rFonts w:ascii="Times New Roman" w:hAnsi="Times New Roman" w:cs="Times New Roman"/>
          <w:bCs/>
          <w:sz w:val="24"/>
          <w:szCs w:val="24"/>
        </w:rPr>
        <w:t>This</w:t>
      </w:r>
      <w:r w:rsidR="001162EA">
        <w:rPr>
          <w:rFonts w:ascii="Times New Roman" w:hAnsi="Times New Roman" w:cs="Times New Roman"/>
          <w:sz w:val="24"/>
          <w:szCs w:val="24"/>
        </w:rPr>
        <w:t xml:space="preserve"> was determined by AOAC (2010) method, and the crude </w:t>
      </w:r>
      <w:proofErr w:type="spellStart"/>
      <w:r w:rsidR="001162EA">
        <w:rPr>
          <w:rFonts w:ascii="Times New Roman" w:hAnsi="Times New Roman" w:cs="Times New Roman"/>
          <w:sz w:val="24"/>
          <w:szCs w:val="24"/>
        </w:rPr>
        <w:t>fibre</w:t>
      </w:r>
      <w:proofErr w:type="spellEnd"/>
      <w:r w:rsidR="001162EA">
        <w:rPr>
          <w:rFonts w:ascii="Times New Roman" w:hAnsi="Times New Roman" w:cs="Times New Roman"/>
          <w:sz w:val="24"/>
          <w:szCs w:val="24"/>
        </w:rPr>
        <w:t xml:space="preserve"> content of the samples was determined thus: </w:t>
      </w:r>
    </w:p>
    <w:p w14:paraId="2AA5E60A" w14:textId="581CD081" w:rsidR="00406B68" w:rsidRDefault="001162EA" w:rsidP="00454EC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Crude fiber =</w:t>
      </w:r>
      <w:r w:rsidR="00454ECD">
        <w:rPr>
          <w:rFonts w:ascii="Times New Roman" w:hAnsi="Times New Roman" w:cs="Times New Roman"/>
          <w:sz w:val="24"/>
          <w:szCs w:val="24"/>
        </w:rPr>
        <w:t xml:space="preserve">  </w:t>
      </w:r>
      <w:r w:rsidR="00454ECD">
        <w:rPr>
          <w:rFonts w:ascii="Times New Roman" w:hAnsi="Times New Roman" w:cs="Times New Roman"/>
          <w:sz w:val="24"/>
          <w:szCs w:val="24"/>
        </w:rPr>
        <w:t xml:space="preserve">  </w:t>
      </w:r>
      <m:oMath>
        <m:f>
          <m:fPr>
            <m:ctrlPr>
              <w:rPr>
                <w:rFonts w:ascii="Cambria Math" w:hAnsi="Cambria Math" w:cs="Times New Roman"/>
                <w:sz w:val="32"/>
                <w:szCs w:val="24"/>
              </w:rPr>
            </m:ctrlPr>
          </m:fPr>
          <m:num>
            <m:r>
              <m:rPr>
                <m:sty m:val="p"/>
              </m:rPr>
              <w:rPr>
                <w:rFonts w:ascii="Cambria Math" w:hAnsi="Cambria Math" w:cs="Times New Roman"/>
                <w:sz w:val="32"/>
                <w:szCs w:val="24"/>
              </w:rPr>
              <m:t>loss in weight on ignition</m:t>
            </m:r>
          </m:num>
          <m:den>
            <m:r>
              <m:rPr>
                <m:sty m:val="p"/>
              </m:rPr>
              <w:rPr>
                <w:rFonts w:ascii="Cambria Math" w:hAnsi="Cambria Math" w:cs="Times New Roman"/>
                <w:sz w:val="32"/>
                <w:szCs w:val="24"/>
              </w:rPr>
              <m:t>weight of sample used</m:t>
            </m:r>
          </m:den>
        </m:f>
      </m:oMath>
      <w:r w:rsidR="00454ECD" w:rsidRPr="009546AA">
        <w:rPr>
          <w:rFonts w:ascii="Times New Roman" w:hAnsi="Times New Roman" w:cs="Times New Roman"/>
          <w:sz w:val="24"/>
          <w:szCs w:val="24"/>
        </w:rPr>
        <w:t xml:space="preserve"> x</w:t>
      </w:r>
      <w:r w:rsidR="00454ECD">
        <w:rPr>
          <w:rFonts w:ascii="Times New Roman" w:hAnsi="Times New Roman" w:cs="Times New Roman"/>
          <w:sz w:val="24"/>
          <w:szCs w:val="24"/>
        </w:rPr>
        <w:t xml:space="preserve"> 100</w:t>
      </w:r>
      <w:r w:rsidR="00454ECD">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3" w:name="_GoBack"/>
      <w:bookmarkEnd w:id="3"/>
    </w:p>
    <w:p w14:paraId="3976C501"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sidRPr="00FD7E7D">
        <w:rPr>
          <w:rFonts w:ascii="Times New Roman" w:hAnsi="Times New Roman" w:cs="Times New Roman"/>
          <w:b/>
          <w:bCs/>
          <w:sz w:val="24"/>
          <w:szCs w:val="24"/>
        </w:rPr>
        <w:t>Determination of Carbohydrate Content:</w:t>
      </w:r>
      <w:r>
        <w:rPr>
          <w:rFonts w:ascii="Times New Roman" w:hAnsi="Times New Roman" w:cs="Times New Roman"/>
          <w:bCs/>
          <w:i/>
          <w:sz w:val="24"/>
          <w:szCs w:val="24"/>
        </w:rPr>
        <w:t xml:space="preserve"> </w:t>
      </w:r>
      <w:r>
        <w:rPr>
          <w:rFonts w:ascii="Times New Roman" w:hAnsi="Times New Roman" w:cs="Times New Roman"/>
          <w:sz w:val="24"/>
          <w:szCs w:val="24"/>
        </w:rPr>
        <w:t>Carbohydrate content was estimated by the difference.</w:t>
      </w:r>
    </w:p>
    <w:p w14:paraId="1C709A1F"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sidRPr="00FD7E7D">
        <w:rPr>
          <w:rFonts w:ascii="Times New Roman" w:hAnsi="Times New Roman" w:cs="Times New Roman"/>
          <w:b/>
          <w:sz w:val="24"/>
          <w:szCs w:val="24"/>
        </w:rPr>
        <w:t>Determination of mineral content:</w:t>
      </w:r>
      <w:r>
        <w:rPr>
          <w:rFonts w:ascii="Times New Roman" w:hAnsi="Times New Roman" w:cs="Times New Roman"/>
          <w:i/>
          <w:sz w:val="24"/>
          <w:szCs w:val="24"/>
        </w:rPr>
        <w:t xml:space="preserve">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Mg, Na, K, Cu, and Zn were analyzed with standard methods of AOAC (2010) using atomic absorption spectrometer. </w:t>
      </w:r>
    </w:p>
    <w:p w14:paraId="26D55A2D"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sidRPr="00FD7E7D">
        <w:rPr>
          <w:rFonts w:ascii="Times New Roman" w:hAnsi="Times New Roman" w:cs="Times New Roman"/>
          <w:b/>
          <w:sz w:val="24"/>
          <w:szCs w:val="24"/>
        </w:rPr>
        <w:lastRenderedPageBreak/>
        <w:t>Swelling capacity and Solubility</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Tester and Morrison method of 1990 was adopted, where 1 g sample was weighed into a clean, dry test tube (W1), with slurry heated at 40°C, 50°C, 60°C and 70°C respectively for 30mins using thermostatically controlled water bath, cooled to room temperature and centrifuged at 2,200 rpm for 15mins. It was processed and the residue obtained after centrifugation was poured to clean dried test tube and weighed (W2).</w:t>
      </w:r>
    </w:p>
    <w:p w14:paraId="61F12BB0"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Swelling capacity of starch=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num>
          <m:den>
            <m:r>
              <w:rPr>
                <w:rFonts w:ascii="Cambria Math" w:hAnsi="Cambria Math" w:cs="Times New Roman"/>
                <w:sz w:val="24"/>
                <w:szCs w:val="24"/>
              </w:rPr>
              <m:t>Weight of flour</m:t>
            </m:r>
          </m:den>
        </m:f>
        <m:r>
          <w:rPr>
            <w:rFonts w:ascii="Cambria Math" w:hAnsi="Cambria Math" w:cs="Times New Roman"/>
            <w:sz w:val="24"/>
            <w:szCs w:val="24"/>
          </w:rPr>
          <m:t xml:space="preserve"> ×    100</m:t>
        </m:r>
      </m:oMath>
    </w:p>
    <w:p w14:paraId="48A75ACD"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b/>
          <w:i/>
          <w:sz w:val="24"/>
          <w:szCs w:val="24"/>
        </w:rPr>
        <w:t>Beta-carotene</w:t>
      </w:r>
      <w:r>
        <w:rPr>
          <w:rFonts w:ascii="Times New Roman" w:hAnsi="Times New Roman" w:cs="Times New Roman"/>
          <w:i/>
          <w:sz w:val="24"/>
          <w:szCs w:val="24"/>
        </w:rPr>
        <w:t xml:space="preserve">: </w:t>
      </w:r>
      <w:r>
        <w:rPr>
          <w:rFonts w:ascii="Times New Roman" w:hAnsi="Times New Roman" w:cs="Times New Roman"/>
          <w:sz w:val="24"/>
          <w:szCs w:val="24"/>
        </w:rPr>
        <w:t xml:space="preserve">High performance liquid chromatography UV detector was used to analyze carotenoid content of the extracted sample using N200 chromatography software. </w:t>
      </w:r>
    </w:p>
    <w:p w14:paraId="57534A9B" w14:textId="77777777" w:rsidR="00406B68" w:rsidRDefault="001162EA">
      <w:pPr>
        <w:spacing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Determination of Anti-nutritional Factor </w:t>
      </w:r>
    </w:p>
    <w:p w14:paraId="3161F7DF" w14:textId="77777777" w:rsidR="00406B68" w:rsidRDefault="001162EA">
      <w:pPr>
        <w:spacing w:line="480" w:lineRule="auto"/>
        <w:jc w:val="both"/>
        <w:rPr>
          <w:rFonts w:ascii="Times New Roman" w:hAnsi="Times New Roman" w:cs="Times New Roman"/>
          <w:sz w:val="24"/>
          <w:szCs w:val="24"/>
        </w:rPr>
      </w:pPr>
      <w:proofErr w:type="spellStart"/>
      <w:r w:rsidRPr="00FD7E7D">
        <w:rPr>
          <w:rFonts w:ascii="Times New Roman" w:hAnsi="Times New Roman" w:cs="Times New Roman"/>
          <w:b/>
          <w:bCs/>
          <w:sz w:val="24"/>
          <w:szCs w:val="24"/>
        </w:rPr>
        <w:t>Phytates</w:t>
      </w:r>
      <w:proofErr w:type="spellEnd"/>
      <w:r>
        <w:rPr>
          <w:rFonts w:ascii="Times New Roman" w:hAnsi="Times New Roman" w:cs="Times New Roman"/>
          <w:bCs/>
          <w:sz w:val="24"/>
          <w:szCs w:val="24"/>
        </w:rPr>
        <w:t>:</w:t>
      </w:r>
      <w:r>
        <w:rPr>
          <w:rFonts w:ascii="Times New Roman" w:hAnsi="Times New Roman" w:cs="Times New Roman"/>
          <w:bCs/>
          <w:i/>
          <w:sz w:val="24"/>
          <w:szCs w:val="24"/>
        </w:rPr>
        <w:t xml:space="preserve"> </w:t>
      </w:r>
      <w:proofErr w:type="spellStart"/>
      <w:r>
        <w:rPr>
          <w:rFonts w:ascii="Times New Roman" w:hAnsi="Times New Roman" w:cs="Times New Roman"/>
          <w:sz w:val="24"/>
          <w:szCs w:val="24"/>
        </w:rPr>
        <w:t>Phytate</w:t>
      </w:r>
      <w:proofErr w:type="spellEnd"/>
      <w:r>
        <w:rPr>
          <w:rFonts w:ascii="Times New Roman" w:hAnsi="Times New Roman" w:cs="Times New Roman"/>
          <w:sz w:val="24"/>
          <w:szCs w:val="24"/>
        </w:rPr>
        <w:t xml:space="preserve"> was determined by </w:t>
      </w:r>
      <w:hyperlink w:anchor="_ENREF_16" w:tooltip="Dahdouh, 2019 #16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AuthorYear="1"&gt;&lt;Author&gt;Dahdouh&lt;/Author&gt;&lt;Year&gt;2019&lt;/Year&gt;&lt;RecNum&gt;162&lt;/RecNum&gt;&lt;DisplayText&gt;Dahdouh&lt;style face="italic"&gt; et al.&lt;/style&gt; (2019)&lt;/DisplayText&gt;&lt;record&gt;&lt;rec-number&gt;162&lt;/rec-number&gt;&lt;foreign-keys&gt;&lt;key app="EN" db-id="tz9rpzspgx2teie0pzs5w5a7v2exvttzvvdr"&gt;162&lt;/key&gt;&lt;/foreign-keys&gt;&lt;ref-type name="Journal Article"&gt;17&lt;/ref-type&gt;&lt;contributors&gt;&lt;authors&gt;&lt;author&gt;Dahdouh, Sergio&lt;/author&gt;&lt;author&gt;Grande, Fernanda&lt;/author&gt;&lt;author&gt;Espinosa, Sarah Nájera&lt;/author&gt;&lt;author&gt;Vincent, Anna&lt;/author&gt;&lt;author&gt;Gibson, Rosalind&lt;/author&gt;&lt;author&gt;Bailey, Karl&lt;/author&gt;&lt;author&gt;King, Janet&lt;/author&gt;&lt;author&gt;Rittenschober, Doris&lt;/author&gt;&lt;author&gt;Charrondière, U Ruth&lt;/author&gt;&lt;/authors&gt;&lt;/contributors&gt;&lt;titles&gt;&lt;title&gt;Development of the FAO/INFOODS/IZINCG global food composition database for phytate&lt;/title&gt;&lt;secondary-title&gt;Journal of Food Composition and Analysis&lt;/secondary-title&gt;&lt;/titles&gt;&lt;periodical&gt;&lt;full-title&gt;Journal of Food Composition and Analysis&lt;/full-title&gt;&lt;/periodical&gt;&lt;pages&gt;42-48&lt;/pages&gt;&lt;volume&gt;78&lt;/volume&gt;&lt;dates&gt;&lt;year&gt;2019&lt;/year&gt;&lt;/dates&gt;&lt;isbn&gt;0889-1575&lt;/isbn&gt;&lt;urls&gt;&lt;/urls&gt;&lt;/record&gt;&lt;/Cite&gt;&lt;/EndNote&gt;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Dahdouh</w:t>
        </w:r>
        <w:r>
          <w:rPr>
            <w:rFonts w:ascii="Times New Roman" w:hAnsi="Times New Roman" w:cs="Times New Roman"/>
            <w:i/>
            <w:sz w:val="24"/>
            <w:szCs w:val="24"/>
          </w:rPr>
          <w:t xml:space="preserve"> et al.</w:t>
        </w:r>
        <w:r>
          <w:rPr>
            <w:rFonts w:ascii="Times New Roman" w:hAnsi="Times New Roman" w:cs="Times New Roman"/>
            <w:sz w:val="24"/>
            <w:szCs w:val="24"/>
          </w:rPr>
          <w:t xml:space="preserve"> (2019)</w:t>
        </w:r>
        <w:r>
          <w:rPr>
            <w:rFonts w:ascii="Times New Roman" w:hAnsi="Times New Roman" w:cs="Times New Roman"/>
            <w:sz w:val="24"/>
            <w:szCs w:val="24"/>
          </w:rPr>
          <w:fldChar w:fldCharType="end"/>
        </w:r>
      </w:hyperlink>
      <w:r>
        <w:rPr>
          <w:rFonts w:ascii="Times New Roman" w:hAnsi="Times New Roman" w:cs="Times New Roman"/>
          <w:sz w:val="24"/>
          <w:szCs w:val="24"/>
        </w:rPr>
        <w:t xml:space="preserve"> method and calculated thus:.</w:t>
      </w:r>
    </w:p>
    <w:p w14:paraId="166EFE81" w14:textId="77777777" w:rsidR="00406B68" w:rsidRDefault="001162EA">
      <w:pPr>
        <w:autoSpaceDE w:val="0"/>
        <w:autoSpaceDN w:val="0"/>
        <w:adjustRightInd w:val="0"/>
        <w:spacing w:after="0" w:line="480" w:lineRule="auto"/>
        <w:jc w:val="both"/>
        <w:rPr>
          <w:rFonts w:ascii="Times New Roman" w:hAnsi="Times New Roman" w:cs="Times New Roman"/>
          <w:i/>
          <w:iCs/>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085FEAC" wp14:editId="7F87D65C">
                <wp:simplePos x="0" y="0"/>
                <wp:positionH relativeFrom="column">
                  <wp:posOffset>1019810</wp:posOffset>
                </wp:positionH>
                <wp:positionV relativeFrom="paragraph">
                  <wp:posOffset>225425</wp:posOffset>
                </wp:positionV>
                <wp:extent cx="3226435" cy="20955"/>
                <wp:effectExtent l="0" t="0" r="12065" b="36195"/>
                <wp:wrapNone/>
                <wp:docPr id="18" name="Straight Connector 18"/>
                <wp:cNvGraphicFramePr/>
                <a:graphic xmlns:a="http://schemas.openxmlformats.org/drawingml/2006/main">
                  <a:graphicData uri="http://schemas.microsoft.com/office/word/2010/wordprocessingShape">
                    <wps:wsp>
                      <wps:cNvCnPr/>
                      <wps:spPr>
                        <a:xfrm flipV="1">
                          <a:off x="0" y="0"/>
                          <a:ext cx="3226435" cy="209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9FC91C" id="Straight Connector 18"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0.3pt,17.75pt" to="334.3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" strokecolor="black [3213]" strokeweight=".5pt">
                <v:stroke joinstyle="miter"/>
              </v:line>
            </w:pict>
          </mc:Fallback>
        </mc:AlternateContent>
      </w:r>
      <w:proofErr w:type="spellStart"/>
      <w:r>
        <w:rPr>
          <w:rFonts w:ascii="Times New Roman" w:hAnsi="Times New Roman" w:cs="Times New Roman"/>
          <w:sz w:val="24"/>
          <w:szCs w:val="24"/>
        </w:rPr>
        <w:t>Phytate</w:t>
      </w:r>
      <w:proofErr w:type="spellEnd"/>
      <w:r>
        <w:rPr>
          <w:rFonts w:ascii="Times New Roman" w:hAnsi="Times New Roman" w:cs="Times New Roman"/>
          <w:sz w:val="24"/>
          <w:szCs w:val="24"/>
        </w:rPr>
        <w:t xml:space="preserve"> = </w:t>
      </w:r>
      <w:r>
        <w:rPr>
          <w:rFonts w:ascii="Times New Roman" w:hAnsi="Times New Roman" w:cs="Times New Roman"/>
          <w:sz w:val="24"/>
          <w:szCs w:val="24"/>
        </w:rPr>
        <w:tab/>
        <w:t xml:space="preserve"> </w:t>
      </w:r>
      <w:r>
        <w:rPr>
          <w:rFonts w:ascii="Times New Roman" w:hAnsi="Times New Roman" w:cs="Times New Roman"/>
          <w:i/>
          <w:iCs/>
          <w:sz w:val="24"/>
          <w:szCs w:val="24"/>
        </w:rPr>
        <w:t xml:space="preserve">X </w:t>
      </w:r>
      <w:proofErr w:type="spellStart"/>
      <w:r>
        <w:rPr>
          <w:rFonts w:ascii="Times New Roman" w:hAnsi="Times New Roman" w:cs="Times New Roman"/>
          <w:i/>
          <w:iCs/>
          <w:sz w:val="24"/>
          <w:szCs w:val="24"/>
        </w:rPr>
        <w:t>x</w:t>
      </w:r>
      <w:proofErr w:type="spellEnd"/>
      <w:r>
        <w:rPr>
          <w:rFonts w:ascii="Times New Roman" w:hAnsi="Times New Roman" w:cs="Times New Roman"/>
          <w:i/>
          <w:iCs/>
          <w:sz w:val="24"/>
          <w:szCs w:val="24"/>
        </w:rPr>
        <w:t xml:space="preserve"> dilutions (if any) x original volume of digest          x            100%</w:t>
      </w:r>
    </w:p>
    <w:p w14:paraId="3B266232" w14:textId="77777777" w:rsidR="00406B68" w:rsidRDefault="001162EA">
      <w:pPr>
        <w:pStyle w:val="ListParagraph"/>
        <w:autoSpaceDE w:val="0"/>
        <w:autoSpaceDN w:val="0"/>
        <w:adjustRightInd w:val="0"/>
        <w:spacing w:after="0" w:line="480" w:lineRule="auto"/>
        <w:ind w:left="2160" w:firstLine="720"/>
        <w:jc w:val="both"/>
        <w:rPr>
          <w:rFonts w:ascii="Times New Roman" w:hAnsi="Times New Roman" w:cs="Times New Roman"/>
          <w:i/>
          <w:iCs/>
          <w:sz w:val="24"/>
          <w:szCs w:val="24"/>
        </w:rPr>
      </w:pPr>
      <w:r>
        <w:rPr>
          <w:rFonts w:ascii="Times New Roman" w:hAnsi="Times New Roman" w:cs="Times New Roman"/>
          <w:i/>
          <w:iCs/>
          <w:sz w:val="24"/>
          <w:szCs w:val="24"/>
        </w:rPr>
        <w:t>Weight of sample x 106</w:t>
      </w:r>
    </w:p>
    <w:p w14:paraId="4A91EF01" w14:textId="77777777" w:rsidR="00406B68" w:rsidRDefault="001162EA">
      <w:pPr>
        <w:spacing w:line="480" w:lineRule="auto"/>
        <w:jc w:val="both"/>
        <w:rPr>
          <w:rFonts w:ascii="Times New Roman" w:hAnsi="Times New Roman" w:cs="Times New Roman"/>
          <w:sz w:val="20"/>
          <w:szCs w:val="24"/>
        </w:rPr>
      </w:pPr>
      <w:r>
        <w:rPr>
          <w:rFonts w:ascii="Times New Roman" w:hAnsi="Times New Roman" w:cs="Times New Roman"/>
          <w:sz w:val="20"/>
          <w:szCs w:val="24"/>
        </w:rPr>
        <w:t>Where X = value of the curve or optical density X reading from spectrophotometer</w:t>
      </w:r>
      <w:r>
        <w:rPr>
          <w:rFonts w:ascii="Times New Roman" w:hAnsi="Times New Roman" w:cs="Times New Roman"/>
          <w:b/>
          <w:sz w:val="20"/>
          <w:szCs w:val="24"/>
        </w:rPr>
        <w:t xml:space="preserve"> </w:t>
      </w:r>
    </w:p>
    <w:p w14:paraId="5B8AE735"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b/>
          <w:i/>
          <w:sz w:val="24"/>
          <w:szCs w:val="24"/>
        </w:rPr>
        <w:t>Tannins</w:t>
      </w:r>
      <w:r>
        <w:rPr>
          <w:rFonts w:ascii="Times New Roman" w:hAnsi="Times New Roman" w:cs="Times New Roman"/>
          <w:i/>
          <w:sz w:val="24"/>
          <w:szCs w:val="24"/>
        </w:rPr>
        <w:t>:</w:t>
      </w:r>
      <w:r>
        <w:rPr>
          <w:rFonts w:ascii="Times New Roman" w:hAnsi="Times New Roman" w:cs="Times New Roman"/>
          <w:sz w:val="24"/>
          <w:szCs w:val="24"/>
        </w:rPr>
        <w:t xml:space="preserve"> AOAC, 2010 method was adopted, with absorbance of Tannic acid standard solutions and samples read after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development on a </w:t>
      </w:r>
      <w:proofErr w:type="spellStart"/>
      <w:r>
        <w:rPr>
          <w:rFonts w:ascii="Times New Roman" w:hAnsi="Times New Roman" w:cs="Times New Roman"/>
          <w:sz w:val="24"/>
          <w:szCs w:val="24"/>
        </w:rPr>
        <w:t>spectronic</w:t>
      </w:r>
      <w:proofErr w:type="spellEnd"/>
      <w:r>
        <w:rPr>
          <w:rFonts w:ascii="Times New Roman" w:hAnsi="Times New Roman" w:cs="Times New Roman"/>
          <w:sz w:val="24"/>
          <w:szCs w:val="24"/>
        </w:rPr>
        <w:t xml:space="preserve"> 21D spectrophotometer at wavelength of 760nm.</w:t>
      </w:r>
    </w:p>
    <w:p w14:paraId="7AD4C107" w14:textId="5901AF8A" w:rsidR="00406B68" w:rsidRDefault="001162EA" w:rsidP="00350AB5">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Tannin = </w:t>
      </w:r>
      <w:r>
        <w:rPr>
          <w:rFonts w:ascii="Times New Roman" w:hAnsi="Times New Roman" w:cs="Times New Roman"/>
          <w:sz w:val="24"/>
          <w:szCs w:val="24"/>
          <w:u w:val="single"/>
        </w:rPr>
        <w:t xml:space="preserve">A × </w:t>
      </w:r>
      <w:r w:rsidR="00EE18D8">
        <w:rPr>
          <w:rFonts w:ascii="Times New Roman" w:hAnsi="Times New Roman" w:cs="Times New Roman"/>
          <w:sz w:val="24"/>
          <w:szCs w:val="24"/>
          <w:u w:val="single"/>
        </w:rPr>
        <w:t>B</w:t>
      </w:r>
      <w:r>
        <w:rPr>
          <w:rFonts w:ascii="Times New Roman" w:hAnsi="Times New Roman" w:cs="Times New Roman"/>
          <w:sz w:val="24"/>
          <w:szCs w:val="24"/>
          <w:u w:val="single"/>
        </w:rPr>
        <w:t xml:space="preserve"> × </w:t>
      </w:r>
      <w:r w:rsidR="00EE18D8">
        <w:rPr>
          <w:rFonts w:ascii="Times New Roman" w:hAnsi="Times New Roman" w:cs="Times New Roman"/>
          <w:sz w:val="24"/>
          <w:szCs w:val="24"/>
          <w:u w:val="single"/>
        </w:rPr>
        <w:t>T</w:t>
      </w:r>
    </w:p>
    <w:p w14:paraId="0957A1C2" w14:textId="3A201D76" w:rsidR="00406B68" w:rsidRDefault="001162EA" w:rsidP="00350AB5">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E18D8">
        <w:rPr>
          <w:rFonts w:ascii="Times New Roman" w:hAnsi="Times New Roman" w:cs="Times New Roman"/>
          <w:sz w:val="24"/>
          <w:szCs w:val="24"/>
        </w:rPr>
        <w:t>                </w:t>
      </w:r>
      <w:r>
        <w:rPr>
          <w:rFonts w:ascii="Times New Roman" w:hAnsi="Times New Roman" w:cs="Times New Roman"/>
          <w:sz w:val="24"/>
          <w:szCs w:val="24"/>
        </w:rPr>
        <w:t>W × 10,000</w:t>
      </w:r>
    </w:p>
    <w:p w14:paraId="4FDC98B4" w14:textId="58C464F0" w:rsidR="00FD7E7D" w:rsidRPr="00291427" w:rsidRDefault="00FD7E7D" w:rsidP="00FD7E7D">
      <w:pPr>
        <w:autoSpaceDE w:val="0"/>
        <w:autoSpaceDN w:val="0"/>
        <w:adjustRightInd w:val="0"/>
        <w:spacing w:line="480" w:lineRule="auto"/>
        <w:jc w:val="both"/>
        <w:rPr>
          <w:rFonts w:ascii="Times New Roman" w:hAnsi="Times New Roman" w:cs="Times New Roman"/>
          <w:sz w:val="20"/>
          <w:szCs w:val="24"/>
        </w:rPr>
      </w:pPr>
      <w:r w:rsidRPr="00291427">
        <w:rPr>
          <w:rFonts w:ascii="Times New Roman" w:hAnsi="Times New Roman" w:cs="Times New Roman"/>
          <w:sz w:val="20"/>
          <w:szCs w:val="24"/>
        </w:rPr>
        <w:t>Where A= Absorbance of sample; B=Average gradient</w:t>
      </w:r>
      <w:r w:rsidR="00EE18D8" w:rsidRPr="00291427">
        <w:rPr>
          <w:rFonts w:ascii="Times New Roman" w:hAnsi="Times New Roman" w:cs="Times New Roman"/>
          <w:sz w:val="20"/>
          <w:szCs w:val="24"/>
        </w:rPr>
        <w:t>; T= dilution factor; W= weight of sample</w:t>
      </w:r>
    </w:p>
    <w:p w14:paraId="01E547AD" w14:textId="77777777" w:rsidR="00406B68" w:rsidRDefault="001162E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i/>
          <w:sz w:val="24"/>
          <w:szCs w:val="24"/>
        </w:rPr>
        <w:t>Oxalates</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Method of </w:t>
      </w:r>
      <w:hyperlink w:anchor="_ENREF_16" w:tooltip="Dahdouh, 2019 #16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AuthorYear="1"&gt;&lt;Author&gt;Dahdouh&lt;/Author&gt;&lt;Year&gt;2019&lt;/Year&gt;&lt;RecNum&gt;162&lt;/RecNum&gt;&lt;DisplayText&gt;Dahdouh&lt;style face="italic"&gt; et al.&lt;/style&gt; (2019)&lt;/DisplayText&gt;&lt;record&gt;&lt;rec-number&gt;162&lt;/rec-number&gt;&lt;foreign-keys&gt;&lt;key app="EN" db-id="tz9rpzspgx2teie0pzs5w5a7v2exvttzvvdr"&gt;162&lt;/key&gt;&lt;/foreign-keys&gt;&lt;ref-type name="Journal Article"&gt;17&lt;/ref-type&gt;&lt;contributors&gt;&lt;authors&gt;&lt;author&gt;Dahdouh, Sergio&lt;/author&gt;&lt;author&gt;Grande, Fernanda&lt;/author&gt;&lt;author&gt;Espinosa, Sarah Nájera&lt;/author&gt;&lt;author&gt;Vincent, Anna&lt;/author&gt;&lt;author&gt;Gibson, Rosalind&lt;/author&gt;&lt;author&gt;Bailey, Karl&lt;/author&gt;&lt;author&gt;King, Janet&lt;/author&gt;&lt;author&gt;Rittenschober, Doris&lt;/author&gt;&lt;author&gt;Charrondière, U Ruth&lt;/author&gt;&lt;/authors&gt;&lt;/contributors&gt;&lt;titles&gt;&lt;title&gt;Development of the FAO/INFOODS/IZINCG global food composition database for phytate&lt;/title&gt;&lt;secondary-title&gt;Journal of Food Composition and Analysis&lt;/secondary-title&gt;&lt;/titles&gt;&lt;periodical&gt;&lt;full-title&gt;Journal of Food Composition and Analysis&lt;/full-title&gt;&lt;/periodical&gt;&lt;pages&gt;42-48&lt;/pages&gt;&lt;volume&gt;78&lt;/volume&gt;&lt;dates&gt;&lt;year&gt;2019&lt;/year&gt;&lt;/dates&gt;&lt;isbn&gt;0889-1575&lt;/isbn&gt;&lt;urls&gt;&lt;/urls&gt;&lt;/record&gt;&lt;/Cite&gt;&lt;/EndNote&gt;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Dahdouh</w:t>
        </w:r>
        <w:r>
          <w:rPr>
            <w:rFonts w:ascii="Times New Roman" w:hAnsi="Times New Roman" w:cs="Times New Roman"/>
            <w:i/>
            <w:sz w:val="24"/>
            <w:szCs w:val="24"/>
          </w:rPr>
          <w:t xml:space="preserve"> et al.</w:t>
        </w:r>
        <w:r>
          <w:rPr>
            <w:rFonts w:ascii="Times New Roman" w:hAnsi="Times New Roman" w:cs="Times New Roman"/>
            <w:sz w:val="24"/>
            <w:szCs w:val="24"/>
          </w:rPr>
          <w:t xml:space="preserve"> (2019)</w:t>
        </w:r>
        <w:r>
          <w:rPr>
            <w:rFonts w:ascii="Times New Roman" w:hAnsi="Times New Roman" w:cs="Times New Roman"/>
            <w:sz w:val="24"/>
            <w:szCs w:val="24"/>
          </w:rPr>
          <w:fldChar w:fldCharType="end"/>
        </w:r>
      </w:hyperlink>
      <w:r>
        <w:rPr>
          <w:rFonts w:ascii="Times New Roman" w:hAnsi="Times New Roman" w:cs="Times New Roman"/>
          <w:sz w:val="24"/>
          <w:szCs w:val="24"/>
        </w:rPr>
        <w:t xml:space="preserve"> was used, where 1 mL 0.05m KMnO</w:t>
      </w:r>
      <w:r>
        <w:rPr>
          <w:rFonts w:ascii="Times New Roman" w:hAnsi="Times New Roman" w:cs="Times New Roman"/>
          <w:sz w:val="24"/>
          <w:szCs w:val="24"/>
          <w:vertAlign w:val="subscript"/>
        </w:rPr>
        <w:t>4</w:t>
      </w:r>
      <w:r>
        <w:rPr>
          <w:rFonts w:ascii="Times New Roman" w:hAnsi="Times New Roman" w:cs="Times New Roman"/>
          <w:sz w:val="24"/>
          <w:szCs w:val="24"/>
        </w:rPr>
        <w:t xml:space="preserve"> was equated to 2.2mg oxalate.</w:t>
      </w:r>
    </w:p>
    <w:p w14:paraId="53FB742A" w14:textId="77777777" w:rsidR="00406B68" w:rsidRDefault="001162EA">
      <w:pPr>
        <w:autoSpaceDE w:val="0"/>
        <w:autoSpaceDN w:val="0"/>
        <w:adjustRightInd w:val="0"/>
        <w:spacing w:after="0" w:line="480" w:lineRule="auto"/>
        <w:jc w:val="both"/>
        <w:rPr>
          <w:rFonts w:ascii="Times New Roman" w:hAnsi="Times New Roman" w:cs="Times New Roman"/>
          <w:sz w:val="24"/>
          <w:szCs w:val="24"/>
        </w:rPr>
      </w:pPr>
      <w:proofErr w:type="spellStart"/>
      <w:r>
        <w:rPr>
          <w:rFonts w:ascii="Times New Roman" w:hAnsi="Times New Roman" w:cs="Times New Roman"/>
          <w:b/>
          <w:i/>
          <w:sz w:val="24"/>
          <w:szCs w:val="24"/>
        </w:rPr>
        <w:t>Colour</w:t>
      </w:r>
      <w:proofErr w:type="spellEnd"/>
      <w:r>
        <w:rPr>
          <w:rFonts w:ascii="Times New Roman" w:hAnsi="Times New Roman" w:cs="Times New Roman"/>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values (L*, a*, b*) of samples were determined with Lab scan XE </w:t>
      </w:r>
      <w:proofErr w:type="spellStart"/>
      <w:r>
        <w:rPr>
          <w:rFonts w:ascii="Times New Roman" w:hAnsi="Times New Roman" w:cs="Times New Roman"/>
          <w:sz w:val="24"/>
          <w:szCs w:val="24"/>
        </w:rPr>
        <w:t>spectro</w:t>
      </w:r>
      <w:proofErr w:type="spellEnd"/>
      <w:r>
        <w:rPr>
          <w:rFonts w:ascii="Times New Roman" w:hAnsi="Times New Roman" w:cs="Times New Roman"/>
          <w:sz w:val="24"/>
          <w:szCs w:val="24"/>
        </w:rPr>
        <w:t>-colorimeter (Hunter Associate Laboratory Virginia, ModelLX16244).</w:t>
      </w:r>
    </w:p>
    <w:p w14:paraId="70A45190" w14:textId="77777777" w:rsidR="00406B68" w:rsidRDefault="001162EA">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b/>
          <w:i/>
          <w:sz w:val="24"/>
          <w:szCs w:val="24"/>
        </w:rPr>
        <w:lastRenderedPageBreak/>
        <w:t>Sensory evaluation of the Samples</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Samples were assessed by 35-man panelists familiar with pap by using A 9-point hedonic scale, with 9= extremely acceptable, and 1=</w:t>
      </w:r>
      <w:r>
        <w:rPr>
          <w:rFonts w:ascii="Times New Roman" w:hAnsi="Times New Roman" w:cs="Times New Roman"/>
          <w:b/>
          <w:sz w:val="24"/>
          <w:szCs w:val="24"/>
        </w:rPr>
        <w:t xml:space="preserve"> e</w:t>
      </w:r>
      <w:r>
        <w:rPr>
          <w:rFonts w:ascii="Times New Roman" w:hAnsi="Times New Roman" w:cs="Times New Roman"/>
          <w:sz w:val="24"/>
          <w:szCs w:val="24"/>
        </w:rPr>
        <w:t xml:space="preserve">xtremely unacceptable used to assess appearance, </w:t>
      </w:r>
      <w:proofErr w:type="spellStart"/>
      <w:r>
        <w:rPr>
          <w:rFonts w:ascii="Times New Roman" w:hAnsi="Times New Roman" w:cs="Times New Roman"/>
          <w:sz w:val="24"/>
          <w:szCs w:val="24"/>
        </w:rPr>
        <w:t>flavour</w:t>
      </w:r>
      <w:proofErr w:type="spellEnd"/>
      <w:r>
        <w:rPr>
          <w:rFonts w:ascii="Times New Roman" w:hAnsi="Times New Roman" w:cs="Times New Roman"/>
          <w:sz w:val="24"/>
          <w:szCs w:val="24"/>
        </w:rPr>
        <w:t xml:space="preserve">, taste and overall acceptability with data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with ANOVA.</w:t>
      </w:r>
    </w:p>
    <w:p w14:paraId="6AD9FE24" w14:textId="77777777" w:rsidR="00406B68" w:rsidRDefault="001162EA">
      <w:pPr>
        <w:autoSpaceDE w:val="0"/>
        <w:autoSpaceDN w:val="0"/>
        <w:adjustRightInd w:val="0"/>
        <w:spacing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Results and Discussion</w:t>
      </w:r>
    </w:p>
    <w:p w14:paraId="47F79C98" w14:textId="7A770838" w:rsidR="00406B68" w:rsidRDefault="001162EA">
      <w:pPr>
        <w:autoSpaceDE w:val="0"/>
        <w:autoSpaceDN w:val="0"/>
        <w:adjustRightInd w:val="0"/>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b/>
          <w:i/>
          <w:sz w:val="24"/>
          <w:szCs w:val="24"/>
        </w:rPr>
        <w:t>Beta carotene contents of pap paste samples</w:t>
      </w:r>
      <w:r>
        <w:rPr>
          <w:rFonts w:ascii="Times New Roman" w:eastAsiaTheme="minorEastAsia" w:hAnsi="Times New Roman" w:cs="Times New Roman"/>
          <w:sz w:val="24"/>
          <w:szCs w:val="24"/>
        </w:rPr>
        <w: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Raw bio-fortified maize sourced had 41.5µg/ml of beta carotene, which reduced slightly in the pap, perhaps due to leaching or heating effect, with nutrients discarded with water during processing. In Table 2, significant differences (p&lt;0.05) were noticed in the β-carotene content of the samples. It decreased with added tamarind pulp from 33.62±0.07 to 26.34±0.07 in the bio-fortified maize and tamarind, as against 35.98±0.07 recorded in the control, and different from </w:t>
      </w:r>
      <w:proofErr w:type="spellStart"/>
      <w:r>
        <w:rPr>
          <w:rFonts w:ascii="Times New Roman" w:eastAsiaTheme="minorEastAsia" w:hAnsi="Times New Roman" w:cs="Times New Roman"/>
          <w:sz w:val="24"/>
          <w:szCs w:val="24"/>
        </w:rPr>
        <w:t>moringa</w:t>
      </w:r>
      <w:proofErr w:type="spellEnd"/>
      <w:r>
        <w:rPr>
          <w:rFonts w:ascii="Times New Roman" w:eastAsiaTheme="minorEastAsia" w:hAnsi="Times New Roman" w:cs="Times New Roman"/>
          <w:sz w:val="24"/>
          <w:szCs w:val="24"/>
        </w:rPr>
        <w:t xml:space="preserve"> fortified maize-</w:t>
      </w:r>
      <w:proofErr w:type="spellStart"/>
      <w:r>
        <w:rPr>
          <w:rFonts w:ascii="Times New Roman" w:eastAsiaTheme="minorEastAsia" w:hAnsi="Times New Roman" w:cs="Times New Roman"/>
          <w:i/>
          <w:sz w:val="24"/>
          <w:szCs w:val="24"/>
        </w:rPr>
        <w:t>ogi</w:t>
      </w:r>
      <w:proofErr w:type="spellEnd"/>
      <w:r>
        <w:rPr>
          <w:rFonts w:ascii="Times New Roman" w:eastAsiaTheme="minorEastAsia" w:hAnsi="Times New Roman" w:cs="Times New Roman"/>
          <w:sz w:val="24"/>
          <w:szCs w:val="24"/>
        </w:rPr>
        <w:t xml:space="preserve"> by </w:t>
      </w:r>
      <w:proofErr w:type="spellStart"/>
      <w:r>
        <w:rPr>
          <w:rFonts w:ascii="Times New Roman" w:eastAsiaTheme="minorEastAsia" w:hAnsi="Times New Roman" w:cs="Times New Roman"/>
          <w:sz w:val="24"/>
          <w:szCs w:val="24"/>
        </w:rPr>
        <w:t>Abioye</w:t>
      </w:r>
      <w:proofErr w:type="spellEnd"/>
      <w:r>
        <w:rPr>
          <w:rFonts w:ascii="Times New Roman" w:eastAsiaTheme="minorEastAsia" w:hAnsi="Times New Roman" w:cs="Times New Roman"/>
          <w:sz w:val="24"/>
          <w:szCs w:val="24"/>
        </w:rPr>
        <w:t xml:space="preserve"> and Aka (2015),</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having beta-carotene increased with </w:t>
      </w:r>
      <w:proofErr w:type="spellStart"/>
      <w:r>
        <w:rPr>
          <w:rFonts w:ascii="Times New Roman" w:eastAsiaTheme="minorEastAsia" w:hAnsi="Times New Roman" w:cs="Times New Roman"/>
          <w:sz w:val="24"/>
          <w:szCs w:val="24"/>
        </w:rPr>
        <w:t>moringa</w:t>
      </w:r>
      <w:proofErr w:type="spellEnd"/>
      <w:r>
        <w:rPr>
          <w:rFonts w:ascii="Times New Roman" w:eastAsiaTheme="minorEastAsia" w:hAnsi="Times New Roman" w:cs="Times New Roman"/>
          <w:sz w:val="24"/>
          <w:szCs w:val="24"/>
        </w:rPr>
        <w:t xml:space="preserve"> addition. Recorded results was however similar to that of </w:t>
      </w:r>
      <w:proofErr w:type="spellStart"/>
      <w:r>
        <w:rPr>
          <w:rFonts w:ascii="Times New Roman" w:eastAsiaTheme="minorEastAsia" w:hAnsi="Times New Roman" w:cs="Times New Roman"/>
          <w:sz w:val="24"/>
          <w:szCs w:val="24"/>
        </w:rPr>
        <w:t>Ukom</w:t>
      </w:r>
      <w:proofErr w:type="spellEnd"/>
      <w:r>
        <w:rPr>
          <w:rFonts w:ascii="Times New Roman" w:eastAsiaTheme="minorEastAsia" w:hAnsi="Times New Roman" w:cs="Times New Roman"/>
          <w:sz w:val="24"/>
          <w:szCs w:val="24"/>
        </w:rPr>
        <w:t xml:space="preserve"> </w:t>
      </w:r>
      <w:r>
        <w:rPr>
          <w:rFonts w:ascii="Times New Roman" w:eastAsiaTheme="minorEastAsia" w:hAnsi="Times New Roman" w:cs="Times New Roman"/>
          <w:i/>
          <w:sz w:val="24"/>
          <w:szCs w:val="24"/>
        </w:rPr>
        <w:t>et al.</w:t>
      </w:r>
      <w:r w:rsidR="00073441">
        <w:rPr>
          <w:rFonts w:ascii="Times New Roman" w:eastAsiaTheme="minorEastAsia" w:hAnsi="Times New Roman" w:cs="Times New Roman"/>
          <w:i/>
          <w:sz w:val="24"/>
          <w:szCs w:val="24"/>
        </w:rPr>
        <w: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(2019) on yellow maize-</w:t>
      </w:r>
      <w:proofErr w:type="spellStart"/>
      <w:r>
        <w:rPr>
          <w:rFonts w:ascii="Times New Roman" w:eastAsiaTheme="minorEastAsia" w:hAnsi="Times New Roman" w:cs="Times New Roman"/>
          <w:i/>
          <w:sz w:val="24"/>
          <w:szCs w:val="24"/>
        </w:rPr>
        <w:t>ogi</w:t>
      </w:r>
      <w:proofErr w:type="spellEnd"/>
      <w:r>
        <w:rPr>
          <w:rFonts w:ascii="Times New Roman" w:eastAsiaTheme="minorEastAsia" w:hAnsi="Times New Roman" w:cs="Times New Roman"/>
          <w:sz w:val="24"/>
          <w:szCs w:val="24"/>
        </w:rPr>
        <w:t xml:space="preserve"> porridge enriched with orange-fleshed sweet potato and African yam bean, where β-carotene decreased with increased addition of African yam bean. According to Ortiz </w:t>
      </w:r>
      <w:r>
        <w:rPr>
          <w:rFonts w:ascii="Times New Roman" w:eastAsiaTheme="minorEastAsia" w:hAnsi="Times New Roman" w:cs="Times New Roman"/>
          <w:i/>
          <w:sz w:val="24"/>
          <w:szCs w:val="24"/>
        </w:rPr>
        <w:t>et al</w:t>
      </w:r>
      <w:r>
        <w:rPr>
          <w:rFonts w:ascii="Times New Roman" w:eastAsiaTheme="minorEastAsia" w:hAnsi="Times New Roman" w:cs="Times New Roman"/>
          <w:sz w:val="24"/>
          <w:szCs w:val="24"/>
        </w:rPr>
        <w:t xml:space="preserve">., </w:t>
      </w:r>
      <w:r w:rsidR="004D3A27">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2019</w:t>
      </w:r>
      <w:r w:rsidR="004D3A27">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light, oxygen, extremes of pH, or a combination of these, as well as anaerobic fermentation, degrade carotenoid. </w:t>
      </w:r>
    </w:p>
    <w:p w14:paraId="3004D628"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Table 2:     Beta Carotene Content of Pap Paste Samples (µg/ml)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375"/>
      </w:tblGrid>
      <w:tr w:rsidR="00406B68" w14:paraId="1BBA83F7" w14:textId="77777777">
        <w:tc>
          <w:tcPr>
            <w:tcW w:w="1975" w:type="dxa"/>
            <w:tcBorders>
              <w:top w:val="single" w:sz="4" w:space="0" w:color="auto"/>
              <w:bottom w:val="single" w:sz="4" w:space="0" w:color="auto"/>
            </w:tcBorders>
          </w:tcPr>
          <w:p w14:paraId="449893F9" w14:textId="77777777" w:rsidR="00406B68" w:rsidRDefault="001162EA">
            <w:pPr>
              <w:tabs>
                <w:tab w:val="left" w:pos="4770"/>
              </w:tabs>
              <w:autoSpaceDE w:val="0"/>
              <w:autoSpaceDN w:val="0"/>
              <w:adjustRightInd w:val="0"/>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Samples </w:t>
            </w:r>
          </w:p>
        </w:tc>
        <w:tc>
          <w:tcPr>
            <w:tcW w:w="7375" w:type="dxa"/>
            <w:tcBorders>
              <w:top w:val="single" w:sz="4" w:space="0" w:color="auto"/>
              <w:bottom w:val="single" w:sz="4" w:space="0" w:color="auto"/>
            </w:tcBorders>
          </w:tcPr>
          <w:p w14:paraId="2C719053" w14:textId="77777777" w:rsidR="00406B68" w:rsidRDefault="001162EA">
            <w:pPr>
              <w:tabs>
                <w:tab w:val="left" w:pos="4770"/>
              </w:tabs>
              <w:autoSpaceDE w:val="0"/>
              <w:autoSpaceDN w:val="0"/>
              <w:adjustRightInd w:val="0"/>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Beta carotene (µg/ml)</w:t>
            </w:r>
          </w:p>
        </w:tc>
      </w:tr>
      <w:tr w:rsidR="00406B68" w14:paraId="33D691F3" w14:textId="77777777">
        <w:tc>
          <w:tcPr>
            <w:tcW w:w="1975" w:type="dxa"/>
          </w:tcPr>
          <w:p w14:paraId="5D655CF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7375" w:type="dxa"/>
          </w:tcPr>
          <w:p w14:paraId="14AC5F7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35.98±0.07</w:t>
            </w:r>
            <w:r>
              <w:rPr>
                <w:rFonts w:ascii="Times New Roman" w:hAnsi="Times New Roman" w:cs="Times New Roman"/>
                <w:sz w:val="24"/>
                <w:szCs w:val="24"/>
                <w:vertAlign w:val="superscript"/>
              </w:rPr>
              <w:t>a</w:t>
            </w:r>
          </w:p>
        </w:tc>
      </w:tr>
      <w:tr w:rsidR="00406B68" w14:paraId="0D4BC4A5" w14:textId="77777777">
        <w:tc>
          <w:tcPr>
            <w:tcW w:w="1975" w:type="dxa"/>
          </w:tcPr>
          <w:p w14:paraId="49A9E29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7375" w:type="dxa"/>
          </w:tcPr>
          <w:p w14:paraId="156636A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33.62±0.07</w:t>
            </w:r>
            <w:r>
              <w:rPr>
                <w:rFonts w:ascii="Times New Roman" w:hAnsi="Times New Roman" w:cs="Times New Roman"/>
                <w:sz w:val="24"/>
                <w:szCs w:val="24"/>
                <w:vertAlign w:val="superscript"/>
              </w:rPr>
              <w:t>b</w:t>
            </w:r>
          </w:p>
        </w:tc>
      </w:tr>
      <w:tr w:rsidR="00406B68" w14:paraId="7FA781ED" w14:textId="77777777">
        <w:tc>
          <w:tcPr>
            <w:tcW w:w="1975" w:type="dxa"/>
          </w:tcPr>
          <w:p w14:paraId="2EC399D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7375" w:type="dxa"/>
          </w:tcPr>
          <w:p w14:paraId="20F2049B"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34.53±0.07</w:t>
            </w:r>
            <w:r>
              <w:rPr>
                <w:rFonts w:ascii="Times New Roman" w:hAnsi="Times New Roman" w:cs="Times New Roman"/>
                <w:sz w:val="24"/>
                <w:szCs w:val="24"/>
                <w:vertAlign w:val="superscript"/>
              </w:rPr>
              <w:t>b</w:t>
            </w:r>
          </w:p>
        </w:tc>
      </w:tr>
      <w:tr w:rsidR="00406B68" w14:paraId="24677363" w14:textId="77777777">
        <w:tc>
          <w:tcPr>
            <w:tcW w:w="1975" w:type="dxa"/>
          </w:tcPr>
          <w:p w14:paraId="58305636"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7375" w:type="dxa"/>
          </w:tcPr>
          <w:p w14:paraId="51682BD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28.02±0.07</w:t>
            </w:r>
            <w:r>
              <w:rPr>
                <w:rFonts w:ascii="Times New Roman" w:hAnsi="Times New Roman" w:cs="Times New Roman"/>
                <w:sz w:val="24"/>
                <w:szCs w:val="24"/>
                <w:vertAlign w:val="superscript"/>
              </w:rPr>
              <w:t>d</w:t>
            </w:r>
          </w:p>
        </w:tc>
      </w:tr>
      <w:tr w:rsidR="00406B68" w14:paraId="6472BE81" w14:textId="77777777">
        <w:tc>
          <w:tcPr>
            <w:tcW w:w="1975" w:type="dxa"/>
          </w:tcPr>
          <w:p w14:paraId="2FC255FD"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7375" w:type="dxa"/>
          </w:tcPr>
          <w:p w14:paraId="4D69872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31.92±0.07</w:t>
            </w:r>
            <w:r>
              <w:rPr>
                <w:rFonts w:ascii="Times New Roman" w:hAnsi="Times New Roman" w:cs="Times New Roman"/>
                <w:sz w:val="24"/>
                <w:szCs w:val="24"/>
                <w:vertAlign w:val="superscript"/>
              </w:rPr>
              <w:t>c</w:t>
            </w:r>
          </w:p>
        </w:tc>
      </w:tr>
      <w:tr w:rsidR="00406B68" w14:paraId="12B0C0B3" w14:textId="77777777">
        <w:tc>
          <w:tcPr>
            <w:tcW w:w="1975" w:type="dxa"/>
          </w:tcPr>
          <w:p w14:paraId="210344D0"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7375" w:type="dxa"/>
          </w:tcPr>
          <w:p w14:paraId="1573B34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26.79±0.07</w:t>
            </w:r>
            <w:r>
              <w:rPr>
                <w:rFonts w:ascii="Times New Roman" w:hAnsi="Times New Roman" w:cs="Times New Roman"/>
                <w:sz w:val="24"/>
                <w:szCs w:val="24"/>
                <w:vertAlign w:val="superscript"/>
              </w:rPr>
              <w:t>d</w:t>
            </w:r>
          </w:p>
        </w:tc>
      </w:tr>
      <w:tr w:rsidR="00406B68" w14:paraId="1C422088" w14:textId="77777777">
        <w:tc>
          <w:tcPr>
            <w:tcW w:w="1975" w:type="dxa"/>
          </w:tcPr>
          <w:p w14:paraId="21DD3EB6"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7375" w:type="dxa"/>
          </w:tcPr>
          <w:p w14:paraId="3FBBA1F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26.34±0.07</w:t>
            </w:r>
            <w:r>
              <w:rPr>
                <w:rFonts w:ascii="Times New Roman" w:hAnsi="Times New Roman" w:cs="Times New Roman"/>
                <w:sz w:val="24"/>
                <w:szCs w:val="24"/>
                <w:vertAlign w:val="superscript"/>
              </w:rPr>
              <w:t>e</w:t>
            </w:r>
          </w:p>
        </w:tc>
      </w:tr>
    </w:tbl>
    <w:p w14:paraId="2FE6CF09"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44A146A4"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lastRenderedPageBreak/>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w:t>
      </w:r>
    </w:p>
    <w:p w14:paraId="7A1FC828"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Biofortifies</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304EAAC8"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rPr>
      </w:pPr>
      <w:r>
        <w:rPr>
          <w:rFonts w:ascii="Times New Roman" w:eastAsiaTheme="minorEastAsia" w:hAnsi="Times New Roman" w:cs="Times New Roman"/>
          <w:b/>
          <w:i/>
          <w:sz w:val="24"/>
          <w:szCs w:val="24"/>
        </w:rPr>
        <w:t>Proximate Composition of Pap Paste Samples</w:t>
      </w:r>
      <w:r>
        <w:rPr>
          <w:rFonts w:ascii="Times New Roman" w:eastAsiaTheme="minorEastAsia" w:hAnsi="Times New Roman" w:cs="Times New Roman"/>
          <w:sz w:val="24"/>
          <w:szCs w:val="24"/>
        </w:rPr>
        <w: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In Table 3, the control was different from sample G, and both were significant to others</w:t>
      </w:r>
      <w:r>
        <w:rPr>
          <w:rFonts w:ascii="Times New Roman" w:eastAsia="Calibri" w:hAnsi="Times New Roman" w:cs="Times New Roman"/>
          <w:sz w:val="24"/>
          <w:szCs w:val="24"/>
        </w:rPr>
        <w:t xml:space="preserve">. Moisture content, an index of water activity of foods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&lt;EndNote&gt;&lt;Cite&gt;&lt;Author&gt;Asouzu&lt;/Author&gt;&lt;Year&gt;2020&lt;/Year&gt;&lt;RecNum&gt;100&lt;/RecNum&gt;&lt;DisplayText&gt;(Asouzu and Umerah, 2020)&lt;/DisplayText&gt;&lt;record&gt;&lt;rec-number&gt;100&lt;/rec-number&gt;&lt;foreign-keys&gt;&lt;key app="EN" db-id="tz9rpzspgx2teie0pzs5w5a7v2exvttzvvdr"&gt;100&lt;/key&gt;&lt;/foreign-keys&gt;&lt;ref-type name="Journal Article"&gt;17&lt;/ref-type&gt;&lt;contributors&gt;&lt;authors&gt;&lt;author&gt;Asouzu, AI&lt;/author&gt;&lt;author&gt;Umerah, NN&lt;/author&gt;&lt;/authors&gt;&lt;/contributors&gt;&lt;titles&gt;&lt;title&gt;Rheology and acceptance of pap (Zea mays) enriched with Jatropha carcus Leaves to improve iron status in children&lt;/title&gt;&lt;secondary-title&gt;Asian Journal of Biochemistry, Genetics and Molecular Biology&lt;/secondary-title&gt;&lt;/titles&gt;&lt;periodical&gt;&lt;full-title&gt;Asian Journal of Biochemistry, Genetics and Molecular Biology&lt;/full-title&gt;&lt;/periodical&gt;&lt;pages&gt;22-34&lt;/pages&gt;&lt;dates&gt;&lt;year&gt;2020&lt;/year&gt;&lt;/dates&gt;&lt;isbn&gt;2582-3698&lt;/isbn&gt;&lt;urls&gt;&lt;/urls&gt;&lt;/record&gt;&lt;/Cite&gt;&lt;/EndNote&gt;</w:instrText>
      </w:r>
      <w:r>
        <w:rPr>
          <w:rFonts w:ascii="Times New Roman" w:eastAsia="Calibri" w:hAnsi="Times New Roman" w:cs="Times New Roman"/>
          <w:sz w:val="24"/>
          <w:szCs w:val="24"/>
        </w:rPr>
        <w:fldChar w:fldCharType="separate"/>
      </w:r>
      <w:r>
        <w:rPr>
          <w:rFonts w:ascii="Times New Roman" w:eastAsia="Calibri" w:hAnsi="Times New Roman" w:cs="Times New Roman"/>
          <w:sz w:val="24"/>
          <w:szCs w:val="24"/>
        </w:rPr>
        <w:t>(</w:t>
      </w:r>
      <w:hyperlink w:anchor="_ENREF_9" w:tooltip="Asouzu, 2020 #100" w:history="1">
        <w:r>
          <w:rPr>
            <w:rFonts w:ascii="Times New Roman" w:eastAsia="Calibri" w:hAnsi="Times New Roman" w:cs="Times New Roman"/>
            <w:sz w:val="24"/>
            <w:szCs w:val="24"/>
          </w:rPr>
          <w:t>Asouzu and Umerah, 2020</w:t>
        </w:r>
      </w:hyperlink>
      <w:r>
        <w:rPr>
          <w:rFonts w:ascii="Times New Roman" w:eastAsia="Calibri" w:hAnsi="Times New Roman" w:cs="Times New Roman"/>
          <w:sz w:val="24"/>
          <w:szCs w:val="24"/>
        </w:rPr>
        <w:t>)</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was &lt;82%. Moisture variation may be due to processing method, quantity of water retained (</w:t>
      </w:r>
      <w:proofErr w:type="spellStart"/>
      <w:r w:rsidR="00FD7E7D">
        <w:fldChar w:fldCharType="begin"/>
      </w:r>
      <w:r w:rsidR="00FD7E7D">
        <w:instrText xml:space="preserve"> HYPERLINK \l "_ENREF_7" \o "Asouzu, 2020 #100" </w:instrText>
      </w:r>
      <w:r w:rsidR="00FD7E7D">
        <w:fldChar w:fldCharType="separate"/>
      </w:r>
      <w:r>
        <w:rPr>
          <w:rFonts w:ascii="Times New Roman" w:eastAsia="Calibri" w:hAnsi="Times New Roman" w:cs="Times New Roman"/>
          <w:sz w:val="24"/>
          <w:szCs w:val="24"/>
        </w:rPr>
        <w:t>Asouzu</w:t>
      </w:r>
      <w:proofErr w:type="spellEnd"/>
      <w:r>
        <w:rPr>
          <w:rFonts w:ascii="Times New Roman" w:eastAsia="Calibri" w:hAnsi="Times New Roman" w:cs="Times New Roman"/>
          <w:sz w:val="24"/>
          <w:szCs w:val="24"/>
        </w:rPr>
        <w:t xml:space="preserve"> and </w:t>
      </w:r>
      <w:proofErr w:type="spellStart"/>
      <w:r>
        <w:rPr>
          <w:rFonts w:ascii="Times New Roman" w:eastAsia="Calibri" w:hAnsi="Times New Roman" w:cs="Times New Roman"/>
          <w:sz w:val="24"/>
          <w:szCs w:val="24"/>
        </w:rPr>
        <w:t>Umerah</w:t>
      </w:r>
      <w:proofErr w:type="spellEnd"/>
      <w:r>
        <w:rPr>
          <w:rFonts w:ascii="Times New Roman" w:eastAsia="Calibri" w:hAnsi="Times New Roman" w:cs="Times New Roman"/>
          <w:sz w:val="24"/>
          <w:szCs w:val="24"/>
        </w:rPr>
        <w:t>, 2020</w:t>
      </w:r>
      <w:r w:rsidR="00FD7E7D">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and added tamarind. The tamarind could have been soaked in water before milling. Crude protein of treated samples were significant (p&lt;0.05) with values of </w:t>
      </w:r>
      <w:r>
        <w:rPr>
          <w:rFonts w:ascii="Times New Roman" w:hAnsi="Times New Roman" w:cs="Times New Roman"/>
          <w:sz w:val="24"/>
          <w:szCs w:val="24"/>
        </w:rPr>
        <w:t xml:space="preserve">10.24±0.07% to 9.74±0.07%; the </w:t>
      </w:r>
      <w:r>
        <w:rPr>
          <w:rFonts w:ascii="Times New Roman" w:eastAsia="Calibri" w:hAnsi="Times New Roman" w:cs="Times New Roman"/>
          <w:sz w:val="24"/>
          <w:szCs w:val="24"/>
        </w:rPr>
        <w:t>control had the highest value</w:t>
      </w:r>
      <w:r>
        <w:rPr>
          <w:rFonts w:ascii="Times New Roman" w:hAnsi="Times New Roman" w:cs="Times New Roman"/>
          <w:sz w:val="24"/>
          <w:szCs w:val="24"/>
        </w:rPr>
        <w:t xml:space="preserve"> not significant to samples B and C, but significant to others. Germ removal and processing steps could have influenced the loss</w:t>
      </w:r>
      <w:r>
        <w:rPr>
          <w:rFonts w:ascii="Times New Roman" w:eastAsia="Calibri" w:hAnsi="Times New Roman" w:cs="Times New Roman"/>
          <w:sz w:val="24"/>
          <w:szCs w:val="24"/>
        </w:rPr>
        <w:t xml:space="preserve">, though </w:t>
      </w:r>
      <w:proofErr w:type="spellStart"/>
      <w:r>
        <w:rPr>
          <w:rFonts w:ascii="Times New Roman" w:eastAsia="Calibri" w:hAnsi="Times New Roman" w:cs="Times New Roman"/>
          <w:sz w:val="24"/>
          <w:szCs w:val="24"/>
        </w:rPr>
        <w:t>Abioye</w:t>
      </w:r>
      <w:proofErr w:type="spellEnd"/>
      <w:r>
        <w:rPr>
          <w:rFonts w:ascii="Times New Roman" w:eastAsia="Calibri" w:hAnsi="Times New Roman" w:cs="Times New Roman"/>
          <w:sz w:val="24"/>
          <w:szCs w:val="24"/>
        </w:rPr>
        <w:t xml:space="preserve"> and </w:t>
      </w:r>
      <w:proofErr w:type="gramStart"/>
      <w:r>
        <w:rPr>
          <w:rFonts w:ascii="Times New Roman" w:eastAsia="Calibri" w:hAnsi="Times New Roman" w:cs="Times New Roman"/>
          <w:sz w:val="24"/>
          <w:szCs w:val="24"/>
        </w:rPr>
        <w:t>Aka</w:t>
      </w:r>
      <w:proofErr w:type="gramEnd"/>
      <w:r>
        <w:rPr>
          <w:rFonts w:ascii="Times New Roman" w:eastAsia="Calibri" w:hAnsi="Times New Roman" w:cs="Times New Roman"/>
          <w:sz w:val="24"/>
          <w:szCs w:val="24"/>
        </w:rPr>
        <w:t xml:space="preserve"> (2015) reported increased value in </w:t>
      </w:r>
      <w:proofErr w:type="spellStart"/>
      <w:r>
        <w:rPr>
          <w:rFonts w:ascii="Times New Roman" w:eastAsia="Calibri" w:hAnsi="Times New Roman" w:cs="Times New Roman"/>
          <w:i/>
          <w:sz w:val="24"/>
          <w:szCs w:val="24"/>
        </w:rPr>
        <w:t>ogi</w:t>
      </w:r>
      <w:proofErr w:type="spellEnd"/>
      <w:r>
        <w:rPr>
          <w:rFonts w:ascii="Times New Roman" w:eastAsia="Calibri" w:hAnsi="Times New Roman" w:cs="Times New Roman"/>
          <w:sz w:val="24"/>
          <w:szCs w:val="24"/>
        </w:rPr>
        <w:t xml:space="preserve"> fortified with </w:t>
      </w:r>
      <w:proofErr w:type="spellStart"/>
      <w:r>
        <w:rPr>
          <w:rFonts w:ascii="Times New Roman" w:eastAsia="Calibri" w:hAnsi="Times New Roman" w:cs="Times New Roman"/>
          <w:sz w:val="24"/>
          <w:szCs w:val="24"/>
        </w:rPr>
        <w:t>moringa</w:t>
      </w:r>
      <w:proofErr w:type="spellEnd"/>
      <w:r>
        <w:rPr>
          <w:rFonts w:ascii="Times New Roman" w:eastAsia="Calibri" w:hAnsi="Times New Roman" w:cs="Times New Roman"/>
          <w:sz w:val="24"/>
          <w:szCs w:val="24"/>
        </w:rPr>
        <w:t xml:space="preserve"> leaf.  </w:t>
      </w:r>
    </w:p>
    <w:p w14:paraId="54FA850F"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Fat content of the samples was significant to the control by increasing with tamarind addition, however, </w:t>
      </w:r>
      <w:hyperlink w:anchor="_ENREF_62" w:tooltip="Ukom, 2019 #95"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AuthorYear="1"&gt;&lt;Author&gt;Ukom&lt;/Author&gt;&lt;Year&gt;2019&lt;/Year&gt;&lt;RecNum&gt;95&lt;/RecNum&gt;&lt;DisplayText&gt;Ukom&lt;style face="italic"&gt; et al.&lt;/style&gt; (2019)&lt;/DisplayText&gt;&lt;record&gt;&lt;rec-number&gt;95&lt;/rec-number&gt;&lt;foreign-keys&gt;&lt;key app="EN" db-id="tz9rpzspgx2teie0pzs5w5a7v2exvttzvvdr"&gt;95&lt;/key&gt;&lt;/foreign-keys&gt;&lt;ref-type name="Journal Article"&gt;17&lt;/ref-type&gt;&lt;contributors&gt;&lt;authors&gt;&lt;author&gt;Ukom, AN&lt;/author&gt;&lt;author&gt;Adiegwu, EC&lt;/author&gt;&lt;author&gt;Ojimelukwe, PC&lt;/author&gt;&lt;author&gt;Okwunodulu, IN&lt;/author&gt;&lt;/authors&gt;&lt;/contributors&gt;&lt;titles&gt;&lt;title&gt;Quality and sensory acceptability of yellow maize ogi porridge enriched with orange-fleshed sweet potato and African yam bean seed flours for infants&lt;/title&gt;&lt;secondary-title&gt;Scientific African&lt;/secondary-title&gt;&lt;/titles&gt;&lt;periodical&gt;&lt;full-title&gt;Scientific African&lt;/full-title&gt;&lt;/periodical&gt;&lt;pages&gt;e00194&lt;/pages&gt;&lt;volume&gt;6&lt;/volume&gt;&lt;dates&gt;&lt;year&gt;2019&lt;/year&gt;&lt;/dates&gt;&lt;isbn&gt;2468-2276&lt;/isbn&gt;&lt;urls&gt;&lt;/urls&gt;&lt;/record&gt;&lt;/Cite&gt;&lt;/EndNote&gt;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Ukom</w:t>
        </w:r>
        <w:r>
          <w:rPr>
            <w:rFonts w:ascii="Times New Roman" w:hAnsi="Times New Roman" w:cs="Times New Roman"/>
            <w:i/>
            <w:sz w:val="24"/>
            <w:szCs w:val="24"/>
          </w:rPr>
          <w:t xml:space="preserve"> et al.</w:t>
        </w:r>
        <w:r>
          <w:rPr>
            <w:rFonts w:ascii="Times New Roman" w:hAnsi="Times New Roman" w:cs="Times New Roman"/>
            <w:sz w:val="24"/>
            <w:szCs w:val="24"/>
          </w:rPr>
          <w:t xml:space="preserve"> (2019)</w:t>
        </w:r>
        <w:r>
          <w:rPr>
            <w:rFonts w:ascii="Times New Roman" w:hAnsi="Times New Roman" w:cs="Times New Roman"/>
            <w:sz w:val="24"/>
            <w:szCs w:val="24"/>
          </w:rPr>
          <w:fldChar w:fldCharType="end"/>
        </w:r>
      </w:hyperlink>
      <w:r>
        <w:rPr>
          <w:rFonts w:ascii="Times New Roman" w:hAnsi="Times New Roman" w:cs="Times New Roman"/>
          <w:sz w:val="24"/>
          <w:szCs w:val="24"/>
        </w:rPr>
        <w:t>, opined that the increase may have resulted from the fermentation process. C</w:t>
      </w:r>
      <w:r>
        <w:rPr>
          <w:rFonts w:ascii="Times New Roman" w:eastAsia="Calibri" w:hAnsi="Times New Roman" w:cs="Times New Roman"/>
          <w:sz w:val="24"/>
          <w:szCs w:val="24"/>
        </w:rPr>
        <w:t xml:space="preserve">rude </w:t>
      </w:r>
      <w:proofErr w:type="spellStart"/>
      <w:r>
        <w:rPr>
          <w:rFonts w:ascii="Times New Roman" w:eastAsia="Calibri" w:hAnsi="Times New Roman" w:cs="Times New Roman"/>
          <w:sz w:val="24"/>
          <w:szCs w:val="24"/>
        </w:rPr>
        <w:t>fibre</w:t>
      </w:r>
      <w:proofErr w:type="spellEnd"/>
      <w:r>
        <w:rPr>
          <w:rFonts w:ascii="Times New Roman" w:eastAsia="Calibri" w:hAnsi="Times New Roman" w:cs="Times New Roman"/>
          <w:sz w:val="24"/>
          <w:szCs w:val="24"/>
        </w:rPr>
        <w:t xml:space="preserve"> of treated samples was not significantly different (p&lt;0.05) from one another, but was significant to the control. The control had crude </w:t>
      </w:r>
      <w:proofErr w:type="spellStart"/>
      <w:r>
        <w:rPr>
          <w:rFonts w:ascii="Times New Roman" w:eastAsia="Calibri" w:hAnsi="Times New Roman" w:cs="Times New Roman"/>
          <w:sz w:val="24"/>
          <w:szCs w:val="24"/>
        </w:rPr>
        <w:t>fibre</w:t>
      </w:r>
      <w:proofErr w:type="spellEnd"/>
      <w:r>
        <w:rPr>
          <w:rFonts w:ascii="Times New Roman" w:eastAsia="Calibri" w:hAnsi="Times New Roman" w:cs="Times New Roman"/>
          <w:sz w:val="24"/>
          <w:szCs w:val="24"/>
        </w:rPr>
        <w:t xml:space="preserve"> content of </w:t>
      </w:r>
      <w:r>
        <w:rPr>
          <w:rFonts w:ascii="Times New Roman" w:hAnsi="Times New Roman" w:cs="Times New Roman"/>
          <w:sz w:val="24"/>
          <w:szCs w:val="24"/>
        </w:rPr>
        <w:t>0.61±0.07%,</w:t>
      </w:r>
      <w:r>
        <w:rPr>
          <w:rFonts w:ascii="Times New Roman" w:eastAsia="Calibri" w:hAnsi="Times New Roman" w:cs="Times New Roman"/>
          <w:sz w:val="24"/>
          <w:szCs w:val="24"/>
        </w:rPr>
        <w:t xml:space="preserve"> while others ranged from 0.84±0.07% to 1.02±0.07%. Sieving process may have contributed to the low content, though </w:t>
      </w:r>
      <w:hyperlink w:anchor="_ENREF_21" w:tooltip="Farinde, 2015 #89" w:history="1">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 AuthorYear="1"&gt;&lt;Author&gt;Farinde&lt;/Author&gt;&lt;Year&gt;2015&lt;/Year&gt;&lt;RecNum&gt;89&lt;/RecNum&gt;&lt;DisplayText&gt;Farinde (2015)&lt;/DisplayText&gt;&lt;record&gt;&lt;rec-number&gt;89&lt;/rec-number&gt;&lt;foreign-keys&gt;&lt;key app="EN" db-id="tz9rpzspgx2teie0pzs5w5a7v2exvttzvvdr"&gt;89&lt;/key&gt;&lt;/foreign-keys&gt;&lt;ref-type name="Journal Article"&gt;17&lt;/ref-type&gt;&lt;contributors&gt;&lt;authors&gt;&lt;author&gt;Farinde, Elizabeth Oluremi&lt;/author&gt;&lt;/authors&gt;&lt;/contributors&gt;&lt;titles&gt;&lt;title&gt;Chemical and sensory properties of sieved and unsieved fortified „ogi‟&lt;/title&gt;&lt;secondary-title&gt;Nat Sci&lt;/secondary-title&gt;&lt;/titles&gt;&lt;periodical&gt;&lt;full-title&gt;Nat Sci&lt;/full-title&gt;&lt;/periodical&gt;&lt;pages&gt;49-53&lt;/pages&gt;&lt;volume&gt;13&lt;/volume&gt;&lt;number&gt;1&lt;/number&gt;&lt;dates&gt;&lt;year&gt;2015&lt;/year&gt;&lt;/dates&gt;&lt;urls&gt;&lt;/urls&gt;&lt;/record&gt;&lt;/Cite&gt;&lt;/EndNote&gt;</w:instrText>
        </w:r>
        <w:r>
          <w:rPr>
            <w:rFonts w:ascii="Times New Roman" w:eastAsia="Calibri" w:hAnsi="Times New Roman" w:cs="Times New Roman"/>
            <w:sz w:val="24"/>
            <w:szCs w:val="24"/>
          </w:rPr>
          <w:fldChar w:fldCharType="separate"/>
        </w:r>
        <w:r>
          <w:rPr>
            <w:rFonts w:ascii="Times New Roman" w:eastAsia="Calibri" w:hAnsi="Times New Roman" w:cs="Times New Roman"/>
            <w:sz w:val="24"/>
            <w:szCs w:val="24"/>
          </w:rPr>
          <w:t>Farinde (2015)</w:t>
        </w:r>
        <w:r>
          <w:rPr>
            <w:rFonts w:ascii="Times New Roman" w:eastAsia="Calibri" w:hAnsi="Times New Roman" w:cs="Times New Roman"/>
            <w:sz w:val="24"/>
            <w:szCs w:val="24"/>
          </w:rPr>
          <w:fldChar w:fldCharType="end"/>
        </w:r>
      </w:hyperlink>
      <w:r>
        <w:rPr>
          <w:rFonts w:ascii="Times New Roman" w:eastAsia="Calibri" w:hAnsi="Times New Roman" w:cs="Times New Roman"/>
          <w:sz w:val="24"/>
          <w:szCs w:val="24"/>
        </w:rPr>
        <w:t xml:space="preserve"> opined that fibrous removal is highly plausible, and linked to enzymatic breakdown during the fermentation process. </w:t>
      </w:r>
    </w:p>
    <w:p w14:paraId="29CF7874"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Ash content of control and sample with 5% tamarind (0.88±0.07 and 0.94±0.07 respectively) were not significant from each other, but were significant to the others. Since Tamarind was said to be rich in minerals, high values of the treated samples were justified. Carbohydrate content was significant, though with no particular trend. However, sample B had the highest value and sample G, the least.  </w:t>
      </w:r>
    </w:p>
    <w:p w14:paraId="174CB21D"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Table 3: Proximate Composition of Pap Paste Samples.</w:t>
      </w:r>
    </w:p>
    <w:tbl>
      <w:tblPr>
        <w:tblStyle w:val="TableGrid"/>
        <w:tblW w:w="10684" w:type="dxa"/>
        <w:tblLook w:val="04A0" w:firstRow="1" w:lastRow="0" w:firstColumn="1" w:lastColumn="0" w:noHBand="0" w:noVBand="1"/>
      </w:tblPr>
      <w:tblGrid>
        <w:gridCol w:w="1212"/>
        <w:gridCol w:w="1580"/>
        <w:gridCol w:w="1580"/>
        <w:gridCol w:w="1440"/>
        <w:gridCol w:w="1440"/>
        <w:gridCol w:w="1520"/>
        <w:gridCol w:w="1912"/>
      </w:tblGrid>
      <w:tr w:rsidR="00406B68" w14:paraId="66EEDF3C" w14:textId="77777777">
        <w:tc>
          <w:tcPr>
            <w:tcW w:w="1212" w:type="dxa"/>
            <w:tcBorders>
              <w:top w:val="single" w:sz="4" w:space="0" w:color="auto"/>
              <w:left w:val="nil"/>
              <w:bottom w:val="single" w:sz="4" w:space="0" w:color="auto"/>
              <w:right w:val="nil"/>
            </w:tcBorders>
          </w:tcPr>
          <w:p w14:paraId="7459D04F"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Samples</w:t>
            </w:r>
          </w:p>
        </w:tc>
        <w:tc>
          <w:tcPr>
            <w:tcW w:w="1580" w:type="dxa"/>
            <w:tcBorders>
              <w:top w:val="single" w:sz="4" w:space="0" w:color="auto"/>
              <w:left w:val="nil"/>
              <w:bottom w:val="single" w:sz="4" w:space="0" w:color="auto"/>
              <w:right w:val="nil"/>
            </w:tcBorders>
          </w:tcPr>
          <w:p w14:paraId="3499555F"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Moisture</w:t>
            </w:r>
          </w:p>
          <w:p w14:paraId="796CDBEC"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1580" w:type="dxa"/>
            <w:tcBorders>
              <w:top w:val="single" w:sz="4" w:space="0" w:color="auto"/>
              <w:left w:val="nil"/>
              <w:bottom w:val="single" w:sz="4" w:space="0" w:color="auto"/>
              <w:right w:val="nil"/>
            </w:tcBorders>
          </w:tcPr>
          <w:p w14:paraId="603DF8B3"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Protein</w:t>
            </w:r>
          </w:p>
          <w:p w14:paraId="447AD08E"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1440" w:type="dxa"/>
            <w:tcBorders>
              <w:top w:val="single" w:sz="4" w:space="0" w:color="auto"/>
              <w:left w:val="nil"/>
              <w:bottom w:val="single" w:sz="4" w:space="0" w:color="auto"/>
              <w:right w:val="nil"/>
            </w:tcBorders>
          </w:tcPr>
          <w:p w14:paraId="369FB625"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Fat</w:t>
            </w:r>
          </w:p>
          <w:p w14:paraId="281B8C20"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1440" w:type="dxa"/>
            <w:tcBorders>
              <w:top w:val="single" w:sz="4" w:space="0" w:color="auto"/>
              <w:left w:val="nil"/>
              <w:bottom w:val="single" w:sz="4" w:space="0" w:color="auto"/>
              <w:right w:val="nil"/>
            </w:tcBorders>
          </w:tcPr>
          <w:p w14:paraId="43DB6391"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Fibre</w:t>
            </w:r>
            <w:proofErr w:type="spellEnd"/>
          </w:p>
          <w:p w14:paraId="52879781"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1520" w:type="dxa"/>
            <w:tcBorders>
              <w:top w:val="single" w:sz="4" w:space="0" w:color="auto"/>
              <w:left w:val="nil"/>
              <w:bottom w:val="single" w:sz="4" w:space="0" w:color="auto"/>
              <w:right w:val="nil"/>
            </w:tcBorders>
          </w:tcPr>
          <w:p w14:paraId="36CC03EF"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Ash</w:t>
            </w:r>
          </w:p>
          <w:p w14:paraId="4BBFBA05"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1912" w:type="dxa"/>
            <w:tcBorders>
              <w:top w:val="single" w:sz="4" w:space="0" w:color="auto"/>
              <w:left w:val="nil"/>
              <w:bottom w:val="single" w:sz="4" w:space="0" w:color="auto"/>
              <w:right w:val="nil"/>
            </w:tcBorders>
          </w:tcPr>
          <w:p w14:paraId="155035A0"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Carbohydrate</w:t>
            </w:r>
          </w:p>
          <w:p w14:paraId="4125EC81"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406B68" w14:paraId="1562E890" w14:textId="77777777">
        <w:tc>
          <w:tcPr>
            <w:tcW w:w="1212" w:type="dxa"/>
            <w:tcBorders>
              <w:top w:val="single" w:sz="4" w:space="0" w:color="auto"/>
              <w:left w:val="nil"/>
              <w:bottom w:val="nil"/>
              <w:right w:val="nil"/>
            </w:tcBorders>
          </w:tcPr>
          <w:p w14:paraId="74F700D9"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w:t>
            </w:r>
          </w:p>
        </w:tc>
        <w:tc>
          <w:tcPr>
            <w:tcW w:w="1580" w:type="dxa"/>
            <w:tcBorders>
              <w:top w:val="single" w:sz="4" w:space="0" w:color="auto"/>
              <w:left w:val="nil"/>
              <w:bottom w:val="nil"/>
              <w:right w:val="nil"/>
            </w:tcBorders>
          </w:tcPr>
          <w:p w14:paraId="42E86EEE"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66.70±0.07</w:t>
            </w:r>
            <w:r>
              <w:rPr>
                <w:rFonts w:ascii="Times New Roman" w:eastAsia="Calibri" w:hAnsi="Times New Roman" w:cs="Times New Roman"/>
                <w:sz w:val="24"/>
                <w:szCs w:val="24"/>
                <w:vertAlign w:val="superscript"/>
              </w:rPr>
              <w:t>a</w:t>
            </w:r>
          </w:p>
        </w:tc>
        <w:tc>
          <w:tcPr>
            <w:tcW w:w="1580" w:type="dxa"/>
            <w:tcBorders>
              <w:top w:val="single" w:sz="4" w:space="0" w:color="auto"/>
              <w:left w:val="nil"/>
              <w:bottom w:val="nil"/>
              <w:right w:val="nil"/>
            </w:tcBorders>
          </w:tcPr>
          <w:p w14:paraId="69F48217"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10.40±0.07</w:t>
            </w:r>
            <w:r>
              <w:rPr>
                <w:rFonts w:ascii="Times New Roman" w:eastAsia="Calibri" w:hAnsi="Times New Roman" w:cs="Times New Roman"/>
                <w:sz w:val="24"/>
                <w:szCs w:val="24"/>
                <w:vertAlign w:val="superscript"/>
              </w:rPr>
              <w:t>a</w:t>
            </w:r>
          </w:p>
        </w:tc>
        <w:tc>
          <w:tcPr>
            <w:tcW w:w="1440" w:type="dxa"/>
            <w:tcBorders>
              <w:top w:val="single" w:sz="4" w:space="0" w:color="auto"/>
              <w:left w:val="nil"/>
              <w:bottom w:val="nil"/>
              <w:right w:val="nil"/>
            </w:tcBorders>
          </w:tcPr>
          <w:p w14:paraId="642FA031"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5.56±0.07</w:t>
            </w:r>
            <w:r>
              <w:rPr>
                <w:rFonts w:ascii="Times New Roman" w:eastAsia="Calibri" w:hAnsi="Times New Roman" w:cs="Times New Roman"/>
                <w:sz w:val="24"/>
                <w:szCs w:val="24"/>
                <w:vertAlign w:val="superscript"/>
              </w:rPr>
              <w:t>e</w:t>
            </w:r>
          </w:p>
        </w:tc>
        <w:tc>
          <w:tcPr>
            <w:tcW w:w="1440" w:type="dxa"/>
            <w:tcBorders>
              <w:top w:val="single" w:sz="4" w:space="0" w:color="auto"/>
              <w:left w:val="nil"/>
              <w:bottom w:val="nil"/>
              <w:right w:val="nil"/>
            </w:tcBorders>
          </w:tcPr>
          <w:p w14:paraId="122170F7"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0.61±0.07</w:t>
            </w:r>
            <w:r>
              <w:rPr>
                <w:rFonts w:ascii="Times New Roman" w:eastAsia="Calibri" w:hAnsi="Times New Roman" w:cs="Times New Roman"/>
                <w:sz w:val="24"/>
                <w:szCs w:val="24"/>
                <w:vertAlign w:val="superscript"/>
              </w:rPr>
              <w:t>b</w:t>
            </w:r>
          </w:p>
        </w:tc>
        <w:tc>
          <w:tcPr>
            <w:tcW w:w="1520" w:type="dxa"/>
            <w:tcBorders>
              <w:top w:val="single" w:sz="4" w:space="0" w:color="auto"/>
              <w:left w:val="nil"/>
              <w:bottom w:val="nil"/>
              <w:right w:val="nil"/>
            </w:tcBorders>
          </w:tcPr>
          <w:p w14:paraId="27F75C32"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0.88±0.07</w:t>
            </w:r>
            <w:r>
              <w:rPr>
                <w:rFonts w:ascii="Times New Roman" w:eastAsia="Calibri" w:hAnsi="Times New Roman" w:cs="Times New Roman"/>
                <w:sz w:val="24"/>
                <w:szCs w:val="24"/>
                <w:vertAlign w:val="superscript"/>
              </w:rPr>
              <w:t>b</w:t>
            </w:r>
          </w:p>
        </w:tc>
        <w:tc>
          <w:tcPr>
            <w:tcW w:w="1912" w:type="dxa"/>
            <w:tcBorders>
              <w:top w:val="single" w:sz="4" w:space="0" w:color="auto"/>
              <w:left w:val="nil"/>
              <w:bottom w:val="nil"/>
              <w:right w:val="nil"/>
            </w:tcBorders>
          </w:tcPr>
          <w:p w14:paraId="5798A0EF"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 xml:space="preserve"> 15.85±0.07</w:t>
            </w:r>
            <w:r>
              <w:rPr>
                <w:rFonts w:ascii="Times New Roman" w:eastAsia="Calibri" w:hAnsi="Times New Roman" w:cs="Times New Roman"/>
                <w:sz w:val="24"/>
                <w:szCs w:val="24"/>
                <w:vertAlign w:val="superscript"/>
              </w:rPr>
              <w:t>d</w:t>
            </w:r>
          </w:p>
        </w:tc>
      </w:tr>
      <w:tr w:rsidR="00406B68" w14:paraId="46B389E9" w14:textId="77777777">
        <w:tc>
          <w:tcPr>
            <w:tcW w:w="1212" w:type="dxa"/>
            <w:tcBorders>
              <w:top w:val="nil"/>
              <w:left w:val="nil"/>
              <w:bottom w:val="nil"/>
              <w:right w:val="nil"/>
            </w:tcBorders>
          </w:tcPr>
          <w:p w14:paraId="0E8099D5"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B</w:t>
            </w:r>
          </w:p>
        </w:tc>
        <w:tc>
          <w:tcPr>
            <w:tcW w:w="1580" w:type="dxa"/>
            <w:tcBorders>
              <w:top w:val="nil"/>
              <w:left w:val="nil"/>
              <w:bottom w:val="nil"/>
              <w:right w:val="nil"/>
            </w:tcBorders>
          </w:tcPr>
          <w:p w14:paraId="769A38B9"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63.00±0.07</w:t>
            </w:r>
            <w:r>
              <w:rPr>
                <w:rFonts w:ascii="Times New Roman" w:eastAsia="Calibri" w:hAnsi="Times New Roman" w:cs="Times New Roman"/>
                <w:sz w:val="24"/>
                <w:szCs w:val="24"/>
                <w:vertAlign w:val="superscript"/>
              </w:rPr>
              <w:t>bc</w:t>
            </w:r>
          </w:p>
        </w:tc>
        <w:tc>
          <w:tcPr>
            <w:tcW w:w="1580" w:type="dxa"/>
            <w:tcBorders>
              <w:top w:val="nil"/>
              <w:left w:val="nil"/>
              <w:bottom w:val="nil"/>
              <w:right w:val="nil"/>
            </w:tcBorders>
          </w:tcPr>
          <w:p w14:paraId="157F01D4"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10.24±0.07</w:t>
            </w:r>
            <w:r>
              <w:rPr>
                <w:rFonts w:ascii="Times New Roman" w:eastAsia="Calibri" w:hAnsi="Times New Roman" w:cs="Times New Roman"/>
                <w:sz w:val="24"/>
                <w:szCs w:val="24"/>
                <w:vertAlign w:val="superscript"/>
              </w:rPr>
              <w:t>a</w:t>
            </w:r>
          </w:p>
        </w:tc>
        <w:tc>
          <w:tcPr>
            <w:tcW w:w="1440" w:type="dxa"/>
            <w:tcBorders>
              <w:top w:val="nil"/>
              <w:left w:val="nil"/>
              <w:bottom w:val="nil"/>
              <w:right w:val="nil"/>
            </w:tcBorders>
          </w:tcPr>
          <w:p w14:paraId="4475D5CB"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6.15±0.07</w:t>
            </w:r>
            <w:r>
              <w:rPr>
                <w:rFonts w:ascii="Times New Roman" w:eastAsia="Calibri" w:hAnsi="Times New Roman" w:cs="Times New Roman"/>
                <w:sz w:val="24"/>
                <w:szCs w:val="24"/>
                <w:vertAlign w:val="superscript"/>
              </w:rPr>
              <w:t>d</w:t>
            </w:r>
          </w:p>
        </w:tc>
        <w:tc>
          <w:tcPr>
            <w:tcW w:w="1440" w:type="dxa"/>
            <w:tcBorders>
              <w:top w:val="nil"/>
              <w:left w:val="nil"/>
              <w:bottom w:val="nil"/>
              <w:right w:val="nil"/>
            </w:tcBorders>
          </w:tcPr>
          <w:p w14:paraId="779793ED"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0.84±0.07</w:t>
            </w:r>
            <w:r>
              <w:rPr>
                <w:rFonts w:ascii="Times New Roman" w:eastAsia="Calibri" w:hAnsi="Times New Roman" w:cs="Times New Roman"/>
                <w:sz w:val="24"/>
                <w:szCs w:val="24"/>
                <w:vertAlign w:val="superscript"/>
              </w:rPr>
              <w:t>a</w:t>
            </w:r>
          </w:p>
        </w:tc>
        <w:tc>
          <w:tcPr>
            <w:tcW w:w="1520" w:type="dxa"/>
            <w:tcBorders>
              <w:top w:val="nil"/>
              <w:left w:val="nil"/>
              <w:bottom w:val="nil"/>
              <w:right w:val="nil"/>
            </w:tcBorders>
          </w:tcPr>
          <w:p w14:paraId="0D12DA5F"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0.94±0.07</w:t>
            </w:r>
            <w:r>
              <w:rPr>
                <w:rFonts w:ascii="Times New Roman" w:eastAsia="Calibri" w:hAnsi="Times New Roman" w:cs="Times New Roman"/>
                <w:sz w:val="24"/>
                <w:szCs w:val="24"/>
                <w:vertAlign w:val="superscript"/>
              </w:rPr>
              <w:t>b</w:t>
            </w:r>
          </w:p>
        </w:tc>
        <w:tc>
          <w:tcPr>
            <w:tcW w:w="1912" w:type="dxa"/>
            <w:tcBorders>
              <w:top w:val="nil"/>
              <w:left w:val="nil"/>
              <w:bottom w:val="nil"/>
              <w:right w:val="nil"/>
            </w:tcBorders>
          </w:tcPr>
          <w:p w14:paraId="275017F3"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18.83±0.07</w:t>
            </w:r>
            <w:r>
              <w:rPr>
                <w:rFonts w:ascii="Times New Roman" w:eastAsia="Calibri" w:hAnsi="Times New Roman" w:cs="Times New Roman"/>
                <w:sz w:val="24"/>
                <w:szCs w:val="24"/>
                <w:vertAlign w:val="superscript"/>
              </w:rPr>
              <w:t>a</w:t>
            </w:r>
          </w:p>
        </w:tc>
      </w:tr>
      <w:tr w:rsidR="00406B68" w14:paraId="0F6443BA" w14:textId="77777777">
        <w:tc>
          <w:tcPr>
            <w:tcW w:w="1212" w:type="dxa"/>
            <w:tcBorders>
              <w:top w:val="nil"/>
              <w:left w:val="nil"/>
              <w:bottom w:val="nil"/>
              <w:right w:val="nil"/>
            </w:tcBorders>
          </w:tcPr>
          <w:p w14:paraId="70BE982B"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C</w:t>
            </w:r>
          </w:p>
        </w:tc>
        <w:tc>
          <w:tcPr>
            <w:tcW w:w="1580" w:type="dxa"/>
            <w:tcBorders>
              <w:top w:val="nil"/>
              <w:left w:val="nil"/>
              <w:bottom w:val="nil"/>
              <w:right w:val="nil"/>
            </w:tcBorders>
          </w:tcPr>
          <w:p w14:paraId="5AE0925F"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64.20±0.07</w:t>
            </w:r>
            <w:r>
              <w:rPr>
                <w:rFonts w:ascii="Times New Roman" w:eastAsia="Calibri" w:hAnsi="Times New Roman" w:cs="Times New Roman"/>
                <w:sz w:val="24"/>
                <w:szCs w:val="24"/>
                <w:vertAlign w:val="superscript"/>
              </w:rPr>
              <w:t>b</w:t>
            </w:r>
          </w:p>
        </w:tc>
        <w:tc>
          <w:tcPr>
            <w:tcW w:w="1580" w:type="dxa"/>
            <w:tcBorders>
              <w:top w:val="nil"/>
              <w:left w:val="nil"/>
              <w:bottom w:val="nil"/>
              <w:right w:val="nil"/>
            </w:tcBorders>
          </w:tcPr>
          <w:p w14:paraId="745C1DF3"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10.06±0.07</w:t>
            </w:r>
            <w:r>
              <w:rPr>
                <w:rFonts w:ascii="Times New Roman" w:eastAsia="Calibri" w:hAnsi="Times New Roman" w:cs="Times New Roman"/>
                <w:sz w:val="24"/>
                <w:szCs w:val="24"/>
                <w:vertAlign w:val="superscript"/>
              </w:rPr>
              <w:t>a</w:t>
            </w:r>
          </w:p>
        </w:tc>
        <w:tc>
          <w:tcPr>
            <w:tcW w:w="1440" w:type="dxa"/>
            <w:tcBorders>
              <w:top w:val="nil"/>
              <w:left w:val="nil"/>
              <w:bottom w:val="nil"/>
              <w:right w:val="nil"/>
            </w:tcBorders>
          </w:tcPr>
          <w:p w14:paraId="0CF5F282"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6.58±0.07</w:t>
            </w:r>
            <w:r>
              <w:rPr>
                <w:rFonts w:ascii="Times New Roman" w:eastAsia="Calibri" w:hAnsi="Times New Roman" w:cs="Times New Roman"/>
                <w:sz w:val="24"/>
                <w:szCs w:val="24"/>
                <w:vertAlign w:val="superscript"/>
              </w:rPr>
              <w:t>d</w:t>
            </w:r>
          </w:p>
        </w:tc>
        <w:tc>
          <w:tcPr>
            <w:tcW w:w="1440" w:type="dxa"/>
            <w:tcBorders>
              <w:top w:val="nil"/>
              <w:left w:val="nil"/>
              <w:bottom w:val="nil"/>
              <w:right w:val="nil"/>
            </w:tcBorders>
          </w:tcPr>
          <w:p w14:paraId="52652930"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0.90±0.07</w:t>
            </w:r>
            <w:r>
              <w:rPr>
                <w:rFonts w:ascii="Times New Roman" w:eastAsia="Calibri" w:hAnsi="Times New Roman" w:cs="Times New Roman"/>
                <w:sz w:val="24"/>
                <w:szCs w:val="24"/>
                <w:vertAlign w:val="superscript"/>
              </w:rPr>
              <w:t>a</w:t>
            </w:r>
          </w:p>
        </w:tc>
        <w:tc>
          <w:tcPr>
            <w:tcW w:w="1520" w:type="dxa"/>
            <w:tcBorders>
              <w:top w:val="nil"/>
              <w:left w:val="nil"/>
              <w:bottom w:val="nil"/>
              <w:right w:val="nil"/>
            </w:tcBorders>
          </w:tcPr>
          <w:p w14:paraId="0DE9E69D"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1.08±0.07</w:t>
            </w:r>
            <w:r>
              <w:rPr>
                <w:rFonts w:ascii="Times New Roman" w:eastAsia="Calibri" w:hAnsi="Times New Roman" w:cs="Times New Roman"/>
                <w:sz w:val="24"/>
                <w:szCs w:val="24"/>
                <w:vertAlign w:val="superscript"/>
              </w:rPr>
              <w:t>ab</w:t>
            </w:r>
          </w:p>
        </w:tc>
        <w:tc>
          <w:tcPr>
            <w:tcW w:w="1912" w:type="dxa"/>
            <w:tcBorders>
              <w:top w:val="nil"/>
              <w:left w:val="nil"/>
              <w:bottom w:val="nil"/>
              <w:right w:val="nil"/>
            </w:tcBorders>
          </w:tcPr>
          <w:p w14:paraId="6140D625"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17.18±0.07</w:t>
            </w:r>
            <w:r>
              <w:rPr>
                <w:rFonts w:ascii="Times New Roman" w:eastAsia="Calibri" w:hAnsi="Times New Roman" w:cs="Times New Roman"/>
                <w:sz w:val="24"/>
                <w:szCs w:val="24"/>
                <w:vertAlign w:val="superscript"/>
              </w:rPr>
              <w:t>b</w:t>
            </w:r>
          </w:p>
        </w:tc>
      </w:tr>
      <w:tr w:rsidR="00406B68" w14:paraId="3938CD35" w14:textId="77777777">
        <w:tc>
          <w:tcPr>
            <w:tcW w:w="1212" w:type="dxa"/>
            <w:tcBorders>
              <w:top w:val="nil"/>
              <w:left w:val="nil"/>
              <w:bottom w:val="nil"/>
              <w:right w:val="nil"/>
            </w:tcBorders>
          </w:tcPr>
          <w:p w14:paraId="1486FAD5"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D</w:t>
            </w:r>
          </w:p>
        </w:tc>
        <w:tc>
          <w:tcPr>
            <w:tcW w:w="1580" w:type="dxa"/>
            <w:tcBorders>
              <w:top w:val="nil"/>
              <w:left w:val="nil"/>
              <w:bottom w:val="nil"/>
              <w:right w:val="nil"/>
            </w:tcBorders>
          </w:tcPr>
          <w:p w14:paraId="19518311"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64.80±0.07</w:t>
            </w:r>
            <w:r>
              <w:rPr>
                <w:rFonts w:ascii="Times New Roman" w:eastAsia="Calibri" w:hAnsi="Times New Roman" w:cs="Times New Roman"/>
                <w:sz w:val="24"/>
                <w:szCs w:val="24"/>
                <w:vertAlign w:val="superscript"/>
              </w:rPr>
              <w:t>b</w:t>
            </w:r>
          </w:p>
        </w:tc>
        <w:tc>
          <w:tcPr>
            <w:tcW w:w="1580" w:type="dxa"/>
            <w:tcBorders>
              <w:top w:val="nil"/>
              <w:left w:val="nil"/>
              <w:bottom w:val="nil"/>
              <w:right w:val="nil"/>
            </w:tcBorders>
          </w:tcPr>
          <w:p w14:paraId="671DD3CD"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9.92±0.07</w:t>
            </w:r>
            <w:r>
              <w:rPr>
                <w:rFonts w:ascii="Times New Roman" w:eastAsia="Calibri" w:hAnsi="Times New Roman" w:cs="Times New Roman"/>
                <w:sz w:val="24"/>
                <w:szCs w:val="24"/>
                <w:vertAlign w:val="superscript"/>
              </w:rPr>
              <w:t>b</w:t>
            </w:r>
          </w:p>
        </w:tc>
        <w:tc>
          <w:tcPr>
            <w:tcW w:w="1440" w:type="dxa"/>
            <w:tcBorders>
              <w:top w:val="nil"/>
              <w:left w:val="nil"/>
              <w:bottom w:val="nil"/>
              <w:right w:val="nil"/>
            </w:tcBorders>
          </w:tcPr>
          <w:p w14:paraId="7E535B40"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6.75±0.07</w:t>
            </w:r>
            <w:r>
              <w:rPr>
                <w:rFonts w:ascii="Times New Roman" w:eastAsia="Calibri" w:hAnsi="Times New Roman" w:cs="Times New Roman"/>
                <w:sz w:val="24"/>
                <w:szCs w:val="24"/>
                <w:vertAlign w:val="superscript"/>
              </w:rPr>
              <w:t>c</w:t>
            </w:r>
          </w:p>
        </w:tc>
        <w:tc>
          <w:tcPr>
            <w:tcW w:w="1440" w:type="dxa"/>
            <w:tcBorders>
              <w:top w:val="nil"/>
              <w:left w:val="nil"/>
              <w:bottom w:val="nil"/>
              <w:right w:val="nil"/>
            </w:tcBorders>
          </w:tcPr>
          <w:p w14:paraId="5EE0A926"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0.95±0.07</w:t>
            </w:r>
            <w:r>
              <w:rPr>
                <w:rFonts w:ascii="Times New Roman" w:eastAsia="Calibri" w:hAnsi="Times New Roman" w:cs="Times New Roman"/>
                <w:sz w:val="24"/>
                <w:szCs w:val="24"/>
                <w:vertAlign w:val="superscript"/>
              </w:rPr>
              <w:t>a</w:t>
            </w:r>
          </w:p>
        </w:tc>
        <w:tc>
          <w:tcPr>
            <w:tcW w:w="1520" w:type="dxa"/>
            <w:tcBorders>
              <w:top w:val="nil"/>
              <w:left w:val="nil"/>
              <w:bottom w:val="nil"/>
              <w:right w:val="nil"/>
            </w:tcBorders>
          </w:tcPr>
          <w:p w14:paraId="6BC5FD3B"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1.10±0.07</w:t>
            </w:r>
            <w:r>
              <w:rPr>
                <w:rFonts w:ascii="Times New Roman" w:eastAsia="Calibri" w:hAnsi="Times New Roman" w:cs="Times New Roman"/>
                <w:sz w:val="24"/>
                <w:szCs w:val="24"/>
                <w:vertAlign w:val="superscript"/>
              </w:rPr>
              <w:t>a</w:t>
            </w:r>
          </w:p>
        </w:tc>
        <w:tc>
          <w:tcPr>
            <w:tcW w:w="1912" w:type="dxa"/>
            <w:tcBorders>
              <w:top w:val="nil"/>
              <w:left w:val="nil"/>
              <w:bottom w:val="nil"/>
              <w:right w:val="nil"/>
            </w:tcBorders>
          </w:tcPr>
          <w:p w14:paraId="2590A5E3"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16.48±0.07</w:t>
            </w:r>
            <w:r>
              <w:rPr>
                <w:rFonts w:ascii="Times New Roman" w:eastAsia="Calibri" w:hAnsi="Times New Roman" w:cs="Times New Roman"/>
                <w:sz w:val="24"/>
                <w:szCs w:val="24"/>
                <w:vertAlign w:val="superscript"/>
              </w:rPr>
              <w:t>c</w:t>
            </w:r>
          </w:p>
        </w:tc>
      </w:tr>
      <w:tr w:rsidR="00406B68" w14:paraId="36F02258" w14:textId="77777777">
        <w:tc>
          <w:tcPr>
            <w:tcW w:w="1212" w:type="dxa"/>
            <w:tcBorders>
              <w:top w:val="nil"/>
              <w:left w:val="nil"/>
              <w:bottom w:val="nil"/>
              <w:right w:val="nil"/>
            </w:tcBorders>
          </w:tcPr>
          <w:p w14:paraId="532538A1"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E</w:t>
            </w:r>
          </w:p>
        </w:tc>
        <w:tc>
          <w:tcPr>
            <w:tcW w:w="1580" w:type="dxa"/>
            <w:tcBorders>
              <w:top w:val="nil"/>
              <w:left w:val="nil"/>
              <w:bottom w:val="nil"/>
              <w:right w:val="nil"/>
            </w:tcBorders>
          </w:tcPr>
          <w:p w14:paraId="55FA522D"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64.20±0.07</w:t>
            </w:r>
            <w:r>
              <w:rPr>
                <w:rFonts w:ascii="Times New Roman" w:eastAsia="Calibri" w:hAnsi="Times New Roman" w:cs="Times New Roman"/>
                <w:sz w:val="24"/>
                <w:szCs w:val="24"/>
                <w:vertAlign w:val="superscript"/>
              </w:rPr>
              <w:t>b</w:t>
            </w:r>
          </w:p>
        </w:tc>
        <w:tc>
          <w:tcPr>
            <w:tcW w:w="1580" w:type="dxa"/>
            <w:tcBorders>
              <w:top w:val="nil"/>
              <w:left w:val="nil"/>
              <w:bottom w:val="nil"/>
              <w:right w:val="nil"/>
            </w:tcBorders>
          </w:tcPr>
          <w:p w14:paraId="7F2F7271"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9.88±0.07</w:t>
            </w:r>
            <w:r>
              <w:rPr>
                <w:rFonts w:ascii="Times New Roman" w:eastAsia="Calibri" w:hAnsi="Times New Roman" w:cs="Times New Roman"/>
                <w:sz w:val="24"/>
                <w:szCs w:val="24"/>
                <w:vertAlign w:val="superscript"/>
              </w:rPr>
              <w:t>b</w:t>
            </w:r>
          </w:p>
        </w:tc>
        <w:tc>
          <w:tcPr>
            <w:tcW w:w="1440" w:type="dxa"/>
            <w:tcBorders>
              <w:top w:val="nil"/>
              <w:left w:val="nil"/>
              <w:bottom w:val="nil"/>
              <w:right w:val="nil"/>
            </w:tcBorders>
          </w:tcPr>
          <w:p w14:paraId="5A46610B"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6.98±0.07</w:t>
            </w:r>
            <w:r>
              <w:rPr>
                <w:rFonts w:ascii="Times New Roman" w:eastAsia="Calibri" w:hAnsi="Times New Roman" w:cs="Times New Roman"/>
                <w:sz w:val="24"/>
                <w:szCs w:val="24"/>
                <w:vertAlign w:val="superscript"/>
              </w:rPr>
              <w:t>b</w:t>
            </w:r>
          </w:p>
        </w:tc>
        <w:tc>
          <w:tcPr>
            <w:tcW w:w="1440" w:type="dxa"/>
            <w:tcBorders>
              <w:top w:val="nil"/>
              <w:left w:val="nil"/>
              <w:bottom w:val="nil"/>
              <w:right w:val="nil"/>
            </w:tcBorders>
          </w:tcPr>
          <w:p w14:paraId="5905D6E9"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0.96±0.07</w:t>
            </w:r>
            <w:r>
              <w:rPr>
                <w:rFonts w:ascii="Times New Roman" w:eastAsia="Calibri" w:hAnsi="Times New Roman" w:cs="Times New Roman"/>
                <w:sz w:val="24"/>
                <w:szCs w:val="24"/>
                <w:vertAlign w:val="superscript"/>
              </w:rPr>
              <w:t>a</w:t>
            </w:r>
          </w:p>
        </w:tc>
        <w:tc>
          <w:tcPr>
            <w:tcW w:w="1520" w:type="dxa"/>
            <w:tcBorders>
              <w:top w:val="nil"/>
              <w:left w:val="nil"/>
              <w:bottom w:val="nil"/>
              <w:right w:val="nil"/>
            </w:tcBorders>
          </w:tcPr>
          <w:p w14:paraId="50128268"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1.12±0.07</w:t>
            </w:r>
            <w:r>
              <w:rPr>
                <w:rFonts w:ascii="Times New Roman" w:eastAsia="Calibri" w:hAnsi="Times New Roman" w:cs="Times New Roman"/>
                <w:sz w:val="24"/>
                <w:szCs w:val="24"/>
                <w:vertAlign w:val="superscript"/>
              </w:rPr>
              <w:t>a</w:t>
            </w:r>
          </w:p>
        </w:tc>
        <w:tc>
          <w:tcPr>
            <w:tcW w:w="1912" w:type="dxa"/>
            <w:tcBorders>
              <w:top w:val="nil"/>
              <w:left w:val="nil"/>
              <w:bottom w:val="nil"/>
              <w:right w:val="nil"/>
            </w:tcBorders>
          </w:tcPr>
          <w:p w14:paraId="7121C0D8"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16.86±0.07</w:t>
            </w:r>
            <w:r>
              <w:rPr>
                <w:rFonts w:ascii="Times New Roman" w:eastAsia="Calibri" w:hAnsi="Times New Roman" w:cs="Times New Roman"/>
                <w:sz w:val="24"/>
                <w:szCs w:val="24"/>
                <w:vertAlign w:val="superscript"/>
              </w:rPr>
              <w:t>c</w:t>
            </w:r>
          </w:p>
        </w:tc>
      </w:tr>
      <w:tr w:rsidR="00406B68" w14:paraId="3C88EA6F" w14:textId="77777777">
        <w:tc>
          <w:tcPr>
            <w:tcW w:w="1212" w:type="dxa"/>
            <w:tcBorders>
              <w:top w:val="nil"/>
              <w:left w:val="nil"/>
              <w:bottom w:val="nil"/>
              <w:right w:val="nil"/>
            </w:tcBorders>
          </w:tcPr>
          <w:p w14:paraId="356257D2"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F</w:t>
            </w:r>
          </w:p>
        </w:tc>
        <w:tc>
          <w:tcPr>
            <w:tcW w:w="1580" w:type="dxa"/>
            <w:tcBorders>
              <w:top w:val="nil"/>
              <w:left w:val="nil"/>
              <w:bottom w:val="nil"/>
              <w:right w:val="nil"/>
            </w:tcBorders>
          </w:tcPr>
          <w:p w14:paraId="18CFE291"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64.10±0.07</w:t>
            </w:r>
            <w:r>
              <w:rPr>
                <w:rFonts w:ascii="Times New Roman" w:eastAsia="Calibri" w:hAnsi="Times New Roman" w:cs="Times New Roman"/>
                <w:sz w:val="24"/>
                <w:szCs w:val="24"/>
                <w:vertAlign w:val="superscript"/>
              </w:rPr>
              <w:t>b</w:t>
            </w:r>
          </w:p>
        </w:tc>
        <w:tc>
          <w:tcPr>
            <w:tcW w:w="1580" w:type="dxa"/>
            <w:tcBorders>
              <w:top w:val="nil"/>
              <w:left w:val="nil"/>
              <w:bottom w:val="nil"/>
              <w:right w:val="nil"/>
            </w:tcBorders>
          </w:tcPr>
          <w:p w14:paraId="7A338EE4"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9.76±0.07</w:t>
            </w:r>
            <w:r>
              <w:rPr>
                <w:rFonts w:ascii="Times New Roman" w:eastAsia="Calibri" w:hAnsi="Times New Roman" w:cs="Times New Roman"/>
                <w:sz w:val="24"/>
                <w:szCs w:val="24"/>
                <w:vertAlign w:val="superscript"/>
              </w:rPr>
              <w:t>b</w:t>
            </w:r>
          </w:p>
        </w:tc>
        <w:tc>
          <w:tcPr>
            <w:tcW w:w="1440" w:type="dxa"/>
            <w:tcBorders>
              <w:top w:val="nil"/>
              <w:left w:val="nil"/>
              <w:bottom w:val="nil"/>
              <w:right w:val="nil"/>
            </w:tcBorders>
          </w:tcPr>
          <w:p w14:paraId="26FDC634"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7.10±0.07</w:t>
            </w:r>
            <w:r>
              <w:rPr>
                <w:rFonts w:ascii="Times New Roman" w:eastAsia="Calibri" w:hAnsi="Times New Roman" w:cs="Times New Roman"/>
                <w:sz w:val="24"/>
                <w:szCs w:val="24"/>
                <w:vertAlign w:val="superscript"/>
              </w:rPr>
              <w:t>b</w:t>
            </w:r>
          </w:p>
        </w:tc>
        <w:tc>
          <w:tcPr>
            <w:tcW w:w="1440" w:type="dxa"/>
            <w:tcBorders>
              <w:top w:val="nil"/>
              <w:left w:val="nil"/>
              <w:bottom w:val="nil"/>
              <w:right w:val="nil"/>
            </w:tcBorders>
          </w:tcPr>
          <w:p w14:paraId="70A978A7"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0.98±0.07</w:t>
            </w:r>
            <w:r>
              <w:rPr>
                <w:rFonts w:ascii="Times New Roman" w:eastAsia="Calibri" w:hAnsi="Times New Roman" w:cs="Times New Roman"/>
                <w:sz w:val="24"/>
                <w:szCs w:val="24"/>
                <w:vertAlign w:val="superscript"/>
              </w:rPr>
              <w:t>a</w:t>
            </w:r>
          </w:p>
        </w:tc>
        <w:tc>
          <w:tcPr>
            <w:tcW w:w="1520" w:type="dxa"/>
            <w:tcBorders>
              <w:top w:val="nil"/>
              <w:left w:val="nil"/>
              <w:bottom w:val="nil"/>
              <w:right w:val="nil"/>
            </w:tcBorders>
          </w:tcPr>
          <w:p w14:paraId="30868E9D"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1.15±0.07</w:t>
            </w:r>
            <w:r>
              <w:rPr>
                <w:rFonts w:ascii="Times New Roman" w:eastAsia="Calibri" w:hAnsi="Times New Roman" w:cs="Times New Roman"/>
                <w:sz w:val="24"/>
                <w:szCs w:val="24"/>
                <w:vertAlign w:val="superscript"/>
              </w:rPr>
              <w:t>a</w:t>
            </w:r>
          </w:p>
        </w:tc>
        <w:tc>
          <w:tcPr>
            <w:tcW w:w="1912" w:type="dxa"/>
            <w:tcBorders>
              <w:top w:val="nil"/>
              <w:left w:val="nil"/>
              <w:bottom w:val="nil"/>
              <w:right w:val="nil"/>
            </w:tcBorders>
          </w:tcPr>
          <w:p w14:paraId="3519DEE6"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16.91±0.07</w:t>
            </w:r>
            <w:r>
              <w:rPr>
                <w:rFonts w:ascii="Times New Roman" w:eastAsia="Calibri" w:hAnsi="Times New Roman" w:cs="Times New Roman"/>
                <w:sz w:val="24"/>
                <w:szCs w:val="24"/>
                <w:vertAlign w:val="superscript"/>
              </w:rPr>
              <w:t>c</w:t>
            </w:r>
          </w:p>
        </w:tc>
      </w:tr>
      <w:tr w:rsidR="00406B68" w14:paraId="5DD9E853" w14:textId="77777777">
        <w:tc>
          <w:tcPr>
            <w:tcW w:w="1212" w:type="dxa"/>
            <w:tcBorders>
              <w:top w:val="nil"/>
              <w:left w:val="nil"/>
              <w:bottom w:val="single" w:sz="4" w:space="0" w:color="auto"/>
              <w:right w:val="nil"/>
            </w:tcBorders>
          </w:tcPr>
          <w:p w14:paraId="6B9665BC" w14:textId="77777777" w:rsidR="00406B68" w:rsidRDefault="001162EA">
            <w:pPr>
              <w:autoSpaceDE w:val="0"/>
              <w:autoSpaceDN w:val="0"/>
              <w:adjustRightInd w:val="0"/>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G</w:t>
            </w:r>
          </w:p>
        </w:tc>
        <w:tc>
          <w:tcPr>
            <w:tcW w:w="1580" w:type="dxa"/>
            <w:tcBorders>
              <w:top w:val="nil"/>
              <w:left w:val="nil"/>
              <w:bottom w:val="single" w:sz="4" w:space="0" w:color="auto"/>
              <w:right w:val="nil"/>
            </w:tcBorders>
          </w:tcPr>
          <w:p w14:paraId="03C9CD18"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65.40±0.07</w:t>
            </w:r>
            <w:r>
              <w:rPr>
                <w:rFonts w:ascii="Times New Roman" w:eastAsia="Calibri" w:hAnsi="Times New Roman" w:cs="Times New Roman"/>
                <w:sz w:val="24"/>
                <w:szCs w:val="24"/>
                <w:vertAlign w:val="superscript"/>
              </w:rPr>
              <w:t>a</w:t>
            </w:r>
          </w:p>
        </w:tc>
        <w:tc>
          <w:tcPr>
            <w:tcW w:w="1580" w:type="dxa"/>
            <w:tcBorders>
              <w:top w:val="nil"/>
              <w:left w:val="nil"/>
              <w:bottom w:val="single" w:sz="4" w:space="0" w:color="auto"/>
              <w:right w:val="nil"/>
            </w:tcBorders>
          </w:tcPr>
          <w:p w14:paraId="6FCDC57E"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9.74±0.07</w:t>
            </w:r>
            <w:r>
              <w:rPr>
                <w:rFonts w:ascii="Times New Roman" w:eastAsia="Calibri" w:hAnsi="Times New Roman" w:cs="Times New Roman"/>
                <w:sz w:val="24"/>
                <w:szCs w:val="24"/>
                <w:vertAlign w:val="superscript"/>
              </w:rPr>
              <w:t>b</w:t>
            </w:r>
          </w:p>
        </w:tc>
        <w:tc>
          <w:tcPr>
            <w:tcW w:w="1440" w:type="dxa"/>
            <w:tcBorders>
              <w:top w:val="nil"/>
              <w:left w:val="nil"/>
              <w:bottom w:val="single" w:sz="4" w:space="0" w:color="auto"/>
              <w:right w:val="nil"/>
            </w:tcBorders>
          </w:tcPr>
          <w:p w14:paraId="441E6052"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7.66±0.07</w:t>
            </w:r>
            <w:r>
              <w:rPr>
                <w:rFonts w:ascii="Times New Roman" w:eastAsia="Calibri" w:hAnsi="Times New Roman" w:cs="Times New Roman"/>
                <w:sz w:val="24"/>
                <w:szCs w:val="24"/>
                <w:vertAlign w:val="superscript"/>
              </w:rPr>
              <w:t>a</w:t>
            </w:r>
          </w:p>
        </w:tc>
        <w:tc>
          <w:tcPr>
            <w:tcW w:w="1440" w:type="dxa"/>
            <w:tcBorders>
              <w:top w:val="nil"/>
              <w:left w:val="nil"/>
              <w:bottom w:val="single" w:sz="4" w:space="0" w:color="auto"/>
              <w:right w:val="nil"/>
            </w:tcBorders>
          </w:tcPr>
          <w:p w14:paraId="5C61F2D8"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1.02±0.07</w:t>
            </w:r>
            <w:r>
              <w:rPr>
                <w:rFonts w:ascii="Times New Roman" w:eastAsia="Calibri" w:hAnsi="Times New Roman" w:cs="Times New Roman"/>
                <w:sz w:val="24"/>
                <w:szCs w:val="24"/>
                <w:vertAlign w:val="superscript"/>
              </w:rPr>
              <w:t>a</w:t>
            </w:r>
          </w:p>
        </w:tc>
        <w:tc>
          <w:tcPr>
            <w:tcW w:w="1520" w:type="dxa"/>
            <w:tcBorders>
              <w:top w:val="nil"/>
              <w:left w:val="nil"/>
              <w:bottom w:val="single" w:sz="4" w:space="0" w:color="auto"/>
              <w:right w:val="nil"/>
            </w:tcBorders>
          </w:tcPr>
          <w:p w14:paraId="34AE2621"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1.19±0.07</w:t>
            </w:r>
            <w:r>
              <w:rPr>
                <w:rFonts w:ascii="Times New Roman" w:eastAsia="Calibri" w:hAnsi="Times New Roman" w:cs="Times New Roman"/>
                <w:sz w:val="24"/>
                <w:szCs w:val="24"/>
                <w:vertAlign w:val="superscript"/>
              </w:rPr>
              <w:t>a</w:t>
            </w:r>
          </w:p>
        </w:tc>
        <w:tc>
          <w:tcPr>
            <w:tcW w:w="1912" w:type="dxa"/>
            <w:tcBorders>
              <w:top w:val="nil"/>
              <w:left w:val="nil"/>
              <w:bottom w:val="single" w:sz="4" w:space="0" w:color="auto"/>
              <w:right w:val="nil"/>
            </w:tcBorders>
          </w:tcPr>
          <w:p w14:paraId="17F99BC7" w14:textId="77777777" w:rsidR="00406B68" w:rsidRDefault="001162EA">
            <w:pPr>
              <w:autoSpaceDE w:val="0"/>
              <w:autoSpaceDN w:val="0"/>
              <w:adjustRightInd w:val="0"/>
              <w:spacing w:line="48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14.99±0.07</w:t>
            </w:r>
            <w:r>
              <w:rPr>
                <w:rFonts w:ascii="Times New Roman" w:eastAsia="Calibri" w:hAnsi="Times New Roman" w:cs="Times New Roman"/>
                <w:sz w:val="24"/>
                <w:szCs w:val="24"/>
                <w:vertAlign w:val="superscript"/>
              </w:rPr>
              <w:t>d</w:t>
            </w:r>
          </w:p>
        </w:tc>
      </w:tr>
    </w:tbl>
    <w:p w14:paraId="0BB2997D"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5DB70203"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w:t>
      </w:r>
    </w:p>
    <w:p w14:paraId="50D5105E"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Biofortifies</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18E1D9D7" w14:textId="44221B40" w:rsidR="00406B68" w:rsidRDefault="001162EA">
      <w:pPr>
        <w:tabs>
          <w:tab w:val="left" w:pos="4770"/>
        </w:tabs>
        <w:autoSpaceDE w:val="0"/>
        <w:autoSpaceDN w:val="0"/>
        <w:adjustRightInd w:val="0"/>
        <w:spacing w:line="480" w:lineRule="auto"/>
        <w:jc w:val="both"/>
        <w:rPr>
          <w:rFonts w:ascii="Times New Roman" w:hAnsi="Times New Roman" w:cs="Times New Roman"/>
          <w:sz w:val="24"/>
          <w:szCs w:val="24"/>
        </w:rPr>
      </w:pPr>
      <w:r>
        <w:rPr>
          <w:rFonts w:ascii="Times New Roman" w:eastAsiaTheme="minorEastAsia" w:hAnsi="Times New Roman" w:cs="Times New Roman"/>
          <w:b/>
          <w:i/>
          <w:sz w:val="24"/>
          <w:szCs w:val="24"/>
        </w:rPr>
        <w:t xml:space="preserve">The pH and Total </w:t>
      </w:r>
      <w:proofErr w:type="spellStart"/>
      <w:r>
        <w:rPr>
          <w:rFonts w:ascii="Times New Roman" w:eastAsiaTheme="minorEastAsia" w:hAnsi="Times New Roman" w:cs="Times New Roman"/>
          <w:b/>
          <w:i/>
          <w:sz w:val="24"/>
          <w:szCs w:val="24"/>
        </w:rPr>
        <w:t>Titratable</w:t>
      </w:r>
      <w:proofErr w:type="spellEnd"/>
      <w:r>
        <w:rPr>
          <w:rFonts w:ascii="Times New Roman" w:eastAsiaTheme="minorEastAsia" w:hAnsi="Times New Roman" w:cs="Times New Roman"/>
          <w:b/>
          <w:i/>
          <w:sz w:val="24"/>
          <w:szCs w:val="24"/>
        </w:rPr>
        <w:t xml:space="preserve"> Acid of Pap Paste Samples</w:t>
      </w:r>
      <w:r>
        <w:rPr>
          <w:rFonts w:ascii="Times New Roman" w:eastAsiaTheme="minorEastAsia" w:hAnsi="Times New Roman" w:cs="Times New Roman"/>
          <w:sz w:val="24"/>
          <w:szCs w:val="24"/>
        </w:rPr>
        <w: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 xml:space="preserve">Table 4 showed the pH and </w:t>
      </w:r>
      <w:proofErr w:type="spellStart"/>
      <w:r>
        <w:rPr>
          <w:rFonts w:ascii="Times New Roman" w:eastAsiaTheme="minorEastAsia" w:hAnsi="Times New Roman" w:cs="Times New Roman"/>
          <w:sz w:val="24"/>
          <w:szCs w:val="24"/>
        </w:rPr>
        <w:t>titratable</w:t>
      </w:r>
      <w:proofErr w:type="spellEnd"/>
      <w:r>
        <w:rPr>
          <w:rFonts w:ascii="Times New Roman" w:eastAsiaTheme="minorEastAsia" w:hAnsi="Times New Roman" w:cs="Times New Roman"/>
          <w:sz w:val="24"/>
          <w:szCs w:val="24"/>
        </w:rPr>
        <w:t xml:space="preserve"> acidity values. The pH was significant, with s</w:t>
      </w:r>
      <w:r>
        <w:rPr>
          <w:rFonts w:ascii="Times New Roman" w:hAnsi="Times New Roman" w:cs="Times New Roman"/>
          <w:sz w:val="24"/>
          <w:szCs w:val="24"/>
        </w:rPr>
        <w:t xml:space="preserve">amples D and E having highest and lowest respectively (3.8 and 3.14), similar to that of </w:t>
      </w:r>
      <w:hyperlink w:anchor="_ENREF_42" w:tooltip="Odugbemi, 1991 #105"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AuthorYear="1"&gt;&lt;Author&gt;Odugbemi&lt;/Author&gt;&lt;Year&gt;1991&lt;/Year&gt;&lt;RecNum&gt;105&lt;/RecNum&gt;&lt;DisplayText&gt;Odugbemi&lt;style face="italic"&gt; et al.&lt;/style&gt; (1991)&lt;/DisplayText&gt;&lt;record&gt;&lt;rec-number&gt;105&lt;/rec-number&gt;&lt;foreign-keys&gt;&lt;key app="EN" db-id="tz9rpzspgx2teie0pzs5w5a7v2exvttzvvdr"&gt;105&lt;/key&gt;&lt;/foreign-keys&gt;&lt;ref-type name="Journal Article"&gt;17&lt;/ref-type&gt;&lt;contributors&gt;&lt;authors&gt;&lt;author&gt;Odugbemi, T&lt;/author&gt;&lt;author&gt;Odujinrin, OM&lt;/author&gt;&lt;author&gt;Akitoye, CO&lt;/author&gt;&lt;author&gt;Oyerinde, JP&lt;/author&gt;&lt;author&gt;Esumeh, FI&lt;/author&gt;&lt;/authors&gt;&lt;/contributors&gt;&lt;titles&gt;&lt;title&gt;Study on the pH of ogi, Nigerian fermented weaning food, and its effect on enteropathogenic Escherichia coli, Salmonella typhi and Salmonella paratyphi&lt;/title&gt;&lt;secondary-title&gt;The Journal of tropical medicine and hygiene&lt;/secondary-title&gt;&lt;/titles&gt;&lt;periodical&gt;&lt;full-title&gt;The Journal of tropical medicine and hygiene&lt;/full-title&gt;&lt;/periodical&gt;&lt;pages&gt;219-223&lt;/pages&gt;&lt;volume&gt;94&lt;/volume&gt;&lt;number&gt;4&lt;/number&gt;&lt;dates&gt;&lt;year&gt;1991&lt;/year&gt;&lt;/dates&gt;&lt;isbn&gt;0022-5304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Odugbemi</w:t>
        </w:r>
        <w:r>
          <w:rPr>
            <w:rFonts w:ascii="Times New Roman" w:hAnsi="Times New Roman" w:cs="Times New Roman"/>
            <w:i/>
            <w:sz w:val="24"/>
            <w:szCs w:val="24"/>
          </w:rPr>
          <w:t xml:space="preserve"> et al.</w:t>
        </w:r>
        <w:r w:rsidR="008B3F9C">
          <w:rPr>
            <w:rFonts w:ascii="Times New Roman" w:hAnsi="Times New Roman" w:cs="Times New Roman"/>
            <w:i/>
            <w:sz w:val="24"/>
            <w:szCs w:val="24"/>
          </w:rPr>
          <w:t>,</w:t>
        </w:r>
        <w:r>
          <w:rPr>
            <w:rFonts w:ascii="Times New Roman" w:hAnsi="Times New Roman" w:cs="Times New Roman"/>
            <w:sz w:val="24"/>
            <w:szCs w:val="24"/>
          </w:rPr>
          <w:t xml:space="preserve"> (1991)</w:t>
        </w:r>
        <w:r>
          <w:rPr>
            <w:rFonts w:ascii="Times New Roman" w:hAnsi="Times New Roman" w:cs="Times New Roman"/>
            <w:sz w:val="24"/>
            <w:szCs w:val="24"/>
          </w:rPr>
          <w:fldChar w:fldCharType="end"/>
        </w:r>
      </w:hyperlink>
      <w:r>
        <w:rPr>
          <w:rFonts w:ascii="Times New Roman" w:hAnsi="Times New Roman" w:cs="Times New Roman"/>
          <w:sz w:val="24"/>
          <w:szCs w:val="24"/>
        </w:rPr>
        <w:t>. TTA was significant, but the value differences were attributed to fermentation, backed by the ratio of maize/tamarind during the fermentation process.</w:t>
      </w:r>
    </w:p>
    <w:p w14:paraId="5579C7CC" w14:textId="77777777" w:rsidR="00406B68" w:rsidRDefault="001162EA">
      <w:pPr>
        <w:tabs>
          <w:tab w:val="left" w:pos="4770"/>
        </w:tabs>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Table 4: pH and Total </w:t>
      </w:r>
      <w:proofErr w:type="spellStart"/>
      <w:r>
        <w:rPr>
          <w:rFonts w:ascii="Times New Roman" w:hAnsi="Times New Roman" w:cs="Times New Roman"/>
          <w:b/>
          <w:sz w:val="24"/>
          <w:szCs w:val="24"/>
        </w:rPr>
        <w:t>Titratable</w:t>
      </w:r>
      <w:proofErr w:type="spellEnd"/>
      <w:r>
        <w:rPr>
          <w:rFonts w:ascii="Times New Roman" w:hAnsi="Times New Roman" w:cs="Times New Roman"/>
          <w:b/>
          <w:sz w:val="24"/>
          <w:szCs w:val="24"/>
        </w:rPr>
        <w:t xml:space="preserve"> Acid</w:t>
      </w:r>
      <w:r>
        <w:rPr>
          <w:rFonts w:ascii="Times New Roman" w:hAnsi="Times New Roman" w:cs="Times New Roman"/>
          <w:sz w:val="24"/>
          <w:szCs w:val="24"/>
        </w:rPr>
        <w:t xml:space="preserve"> </w:t>
      </w:r>
      <w:r>
        <w:rPr>
          <w:rFonts w:ascii="Times New Roman" w:hAnsi="Times New Roman" w:cs="Times New Roman"/>
          <w:b/>
          <w:sz w:val="24"/>
          <w:szCs w:val="24"/>
        </w:rPr>
        <w:t>of Pap Paste Samples</w:t>
      </w:r>
    </w:p>
    <w:tbl>
      <w:tblPr>
        <w:tblStyle w:val="TableGrid"/>
        <w:tblW w:w="65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0"/>
        <w:gridCol w:w="2257"/>
        <w:gridCol w:w="3283"/>
      </w:tblGrid>
      <w:tr w:rsidR="00406B68" w14:paraId="3F444D3E" w14:textId="77777777">
        <w:tc>
          <w:tcPr>
            <w:tcW w:w="960" w:type="dxa"/>
            <w:tcBorders>
              <w:top w:val="single" w:sz="4" w:space="0" w:color="auto"/>
              <w:bottom w:val="single" w:sz="4" w:space="0" w:color="auto"/>
            </w:tcBorders>
          </w:tcPr>
          <w:p w14:paraId="3BF2B97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Samples                 </w:t>
            </w:r>
          </w:p>
        </w:tc>
        <w:tc>
          <w:tcPr>
            <w:tcW w:w="2280" w:type="dxa"/>
            <w:tcBorders>
              <w:top w:val="single" w:sz="4" w:space="0" w:color="auto"/>
              <w:bottom w:val="single" w:sz="4" w:space="0" w:color="auto"/>
            </w:tcBorders>
          </w:tcPr>
          <w:p w14:paraId="69C3158D"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pH </w:t>
            </w:r>
          </w:p>
        </w:tc>
        <w:tc>
          <w:tcPr>
            <w:tcW w:w="3330" w:type="dxa"/>
            <w:tcBorders>
              <w:top w:val="single" w:sz="4" w:space="0" w:color="auto"/>
              <w:bottom w:val="single" w:sz="4" w:space="0" w:color="auto"/>
            </w:tcBorders>
          </w:tcPr>
          <w:p w14:paraId="7C1EA8F2"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TTA</w:t>
            </w:r>
          </w:p>
        </w:tc>
      </w:tr>
      <w:tr w:rsidR="00406B68" w14:paraId="0E7BC422" w14:textId="77777777">
        <w:tc>
          <w:tcPr>
            <w:tcW w:w="960" w:type="dxa"/>
            <w:tcBorders>
              <w:top w:val="single" w:sz="4" w:space="0" w:color="auto"/>
            </w:tcBorders>
          </w:tcPr>
          <w:p w14:paraId="3A540AC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2280" w:type="dxa"/>
            <w:tcBorders>
              <w:top w:val="single" w:sz="4" w:space="0" w:color="auto"/>
            </w:tcBorders>
          </w:tcPr>
          <w:p w14:paraId="452E6A8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3.23±0.00</w:t>
            </w:r>
            <w:r>
              <w:rPr>
                <w:rFonts w:ascii="Times New Roman" w:hAnsi="Times New Roman" w:cs="Times New Roman"/>
                <w:sz w:val="24"/>
                <w:szCs w:val="24"/>
                <w:vertAlign w:val="superscript"/>
              </w:rPr>
              <w:t>c</w:t>
            </w:r>
          </w:p>
        </w:tc>
        <w:tc>
          <w:tcPr>
            <w:tcW w:w="3330" w:type="dxa"/>
            <w:tcBorders>
              <w:top w:val="single" w:sz="4" w:space="0" w:color="auto"/>
            </w:tcBorders>
          </w:tcPr>
          <w:p w14:paraId="20B9AF0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0.47±0.03</w:t>
            </w:r>
            <w:r>
              <w:rPr>
                <w:rFonts w:ascii="Times New Roman" w:hAnsi="Times New Roman" w:cs="Times New Roman"/>
                <w:sz w:val="24"/>
                <w:szCs w:val="24"/>
                <w:vertAlign w:val="superscript"/>
              </w:rPr>
              <w:t>c</w:t>
            </w:r>
          </w:p>
        </w:tc>
      </w:tr>
      <w:tr w:rsidR="00406B68" w14:paraId="7436C41A" w14:textId="77777777">
        <w:tc>
          <w:tcPr>
            <w:tcW w:w="960" w:type="dxa"/>
          </w:tcPr>
          <w:p w14:paraId="3D200F1D"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w:t>
            </w:r>
          </w:p>
        </w:tc>
        <w:tc>
          <w:tcPr>
            <w:tcW w:w="2280" w:type="dxa"/>
          </w:tcPr>
          <w:p w14:paraId="11F09F4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3.35±0.01</w:t>
            </w:r>
            <w:r>
              <w:rPr>
                <w:rFonts w:ascii="Times New Roman" w:hAnsi="Times New Roman" w:cs="Times New Roman"/>
                <w:sz w:val="24"/>
                <w:szCs w:val="24"/>
                <w:vertAlign w:val="superscript"/>
              </w:rPr>
              <w:t>b</w:t>
            </w:r>
          </w:p>
        </w:tc>
        <w:tc>
          <w:tcPr>
            <w:tcW w:w="3330" w:type="dxa"/>
          </w:tcPr>
          <w:p w14:paraId="571C500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0.80±0.00</w:t>
            </w:r>
            <w:r>
              <w:rPr>
                <w:rFonts w:ascii="Times New Roman" w:hAnsi="Times New Roman" w:cs="Times New Roman"/>
                <w:sz w:val="24"/>
                <w:szCs w:val="24"/>
                <w:vertAlign w:val="superscript"/>
              </w:rPr>
              <w:t>b</w:t>
            </w:r>
          </w:p>
        </w:tc>
      </w:tr>
      <w:tr w:rsidR="00406B68" w14:paraId="5A49ABDF" w14:textId="77777777">
        <w:tc>
          <w:tcPr>
            <w:tcW w:w="960" w:type="dxa"/>
          </w:tcPr>
          <w:p w14:paraId="740E160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2280" w:type="dxa"/>
          </w:tcPr>
          <w:p w14:paraId="5B70CD4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3.44±0.01</w:t>
            </w:r>
            <w:r>
              <w:rPr>
                <w:rFonts w:ascii="Times New Roman" w:hAnsi="Times New Roman" w:cs="Times New Roman"/>
                <w:sz w:val="24"/>
                <w:szCs w:val="24"/>
                <w:vertAlign w:val="superscript"/>
              </w:rPr>
              <w:t>b</w:t>
            </w:r>
          </w:p>
        </w:tc>
        <w:tc>
          <w:tcPr>
            <w:tcW w:w="3330" w:type="dxa"/>
          </w:tcPr>
          <w:p w14:paraId="117F436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0.41±0.00</w:t>
            </w:r>
            <w:r>
              <w:rPr>
                <w:rFonts w:ascii="Times New Roman" w:hAnsi="Times New Roman" w:cs="Times New Roman"/>
                <w:sz w:val="24"/>
                <w:szCs w:val="24"/>
                <w:vertAlign w:val="superscript"/>
              </w:rPr>
              <w:t>c</w:t>
            </w:r>
          </w:p>
        </w:tc>
      </w:tr>
      <w:tr w:rsidR="00406B68" w14:paraId="528D18C6" w14:textId="77777777">
        <w:tc>
          <w:tcPr>
            <w:tcW w:w="960" w:type="dxa"/>
          </w:tcPr>
          <w:p w14:paraId="5753619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2280" w:type="dxa"/>
          </w:tcPr>
          <w:p w14:paraId="34D437B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3.80±0.00</w:t>
            </w:r>
            <w:r>
              <w:rPr>
                <w:rFonts w:ascii="Times New Roman" w:hAnsi="Times New Roman" w:cs="Times New Roman"/>
                <w:sz w:val="24"/>
                <w:szCs w:val="24"/>
                <w:vertAlign w:val="superscript"/>
              </w:rPr>
              <w:t>a</w:t>
            </w:r>
          </w:p>
        </w:tc>
        <w:tc>
          <w:tcPr>
            <w:tcW w:w="3330" w:type="dxa"/>
          </w:tcPr>
          <w:p w14:paraId="4C6B7C51"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0.23±0.00</w:t>
            </w:r>
            <w:r>
              <w:rPr>
                <w:rFonts w:ascii="Times New Roman" w:hAnsi="Times New Roman" w:cs="Times New Roman"/>
                <w:sz w:val="24"/>
                <w:szCs w:val="24"/>
                <w:vertAlign w:val="superscript"/>
              </w:rPr>
              <w:t>e</w:t>
            </w:r>
          </w:p>
        </w:tc>
      </w:tr>
      <w:tr w:rsidR="00406B68" w14:paraId="4AC16098" w14:textId="77777777">
        <w:tc>
          <w:tcPr>
            <w:tcW w:w="960" w:type="dxa"/>
          </w:tcPr>
          <w:p w14:paraId="09FC4C9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2280" w:type="dxa"/>
          </w:tcPr>
          <w:p w14:paraId="2F13A6A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3.14±0.00</w:t>
            </w:r>
            <w:r>
              <w:rPr>
                <w:rFonts w:ascii="Times New Roman" w:hAnsi="Times New Roman" w:cs="Times New Roman"/>
                <w:sz w:val="24"/>
                <w:szCs w:val="24"/>
                <w:vertAlign w:val="superscript"/>
              </w:rPr>
              <w:t>c</w:t>
            </w:r>
          </w:p>
        </w:tc>
        <w:tc>
          <w:tcPr>
            <w:tcW w:w="3330" w:type="dxa"/>
          </w:tcPr>
          <w:p w14:paraId="1FEC63E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1.00±0.00</w:t>
            </w:r>
            <w:r>
              <w:rPr>
                <w:rFonts w:ascii="Times New Roman" w:hAnsi="Times New Roman" w:cs="Times New Roman"/>
                <w:sz w:val="24"/>
                <w:szCs w:val="24"/>
                <w:vertAlign w:val="superscript"/>
              </w:rPr>
              <w:t>a</w:t>
            </w:r>
          </w:p>
        </w:tc>
      </w:tr>
      <w:tr w:rsidR="00406B68" w14:paraId="0050C858" w14:textId="77777777">
        <w:tc>
          <w:tcPr>
            <w:tcW w:w="960" w:type="dxa"/>
          </w:tcPr>
          <w:p w14:paraId="77A3929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2280" w:type="dxa"/>
          </w:tcPr>
          <w:p w14:paraId="593B8FD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3.54±0.01</w:t>
            </w:r>
            <w:r>
              <w:rPr>
                <w:rFonts w:ascii="Times New Roman" w:hAnsi="Times New Roman" w:cs="Times New Roman"/>
                <w:sz w:val="24"/>
                <w:szCs w:val="24"/>
                <w:vertAlign w:val="superscript"/>
              </w:rPr>
              <w:t>b</w:t>
            </w:r>
          </w:p>
        </w:tc>
        <w:tc>
          <w:tcPr>
            <w:tcW w:w="3330" w:type="dxa"/>
          </w:tcPr>
          <w:p w14:paraId="5D0ABF11"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0.70±0.00</w:t>
            </w:r>
            <w:r>
              <w:rPr>
                <w:rFonts w:ascii="Times New Roman" w:hAnsi="Times New Roman" w:cs="Times New Roman"/>
                <w:sz w:val="24"/>
                <w:szCs w:val="24"/>
                <w:vertAlign w:val="superscript"/>
              </w:rPr>
              <w:t>b</w:t>
            </w:r>
          </w:p>
        </w:tc>
      </w:tr>
      <w:tr w:rsidR="00406B68" w14:paraId="2C295BD0" w14:textId="77777777">
        <w:tc>
          <w:tcPr>
            <w:tcW w:w="960" w:type="dxa"/>
          </w:tcPr>
          <w:p w14:paraId="3622914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2280" w:type="dxa"/>
          </w:tcPr>
          <w:p w14:paraId="672C9BF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3.26±0.00</w:t>
            </w:r>
            <w:r>
              <w:rPr>
                <w:rFonts w:ascii="Times New Roman" w:hAnsi="Times New Roman" w:cs="Times New Roman"/>
                <w:sz w:val="24"/>
                <w:szCs w:val="24"/>
                <w:vertAlign w:val="superscript"/>
              </w:rPr>
              <w:t>c</w:t>
            </w:r>
          </w:p>
        </w:tc>
        <w:tc>
          <w:tcPr>
            <w:tcW w:w="3330" w:type="dxa"/>
          </w:tcPr>
          <w:p w14:paraId="3569853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0.34±0.03</w:t>
            </w:r>
            <w:r>
              <w:rPr>
                <w:rFonts w:ascii="Times New Roman" w:hAnsi="Times New Roman" w:cs="Times New Roman"/>
                <w:sz w:val="24"/>
                <w:szCs w:val="24"/>
                <w:vertAlign w:val="superscript"/>
              </w:rPr>
              <w:t>d</w:t>
            </w:r>
          </w:p>
        </w:tc>
      </w:tr>
    </w:tbl>
    <w:p w14:paraId="49B40E8F"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1B9F4F2E"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w:t>
      </w:r>
    </w:p>
    <w:p w14:paraId="49AD5946"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Biofortifies</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1A46A9CC" w14:textId="77777777" w:rsidR="00406B68" w:rsidRDefault="001162EA">
      <w:pPr>
        <w:spacing w:line="480" w:lineRule="auto"/>
        <w:jc w:val="both"/>
        <w:rPr>
          <w:rFonts w:ascii="Times New Roman" w:hAnsi="Times New Roman" w:cs="Times New Roman"/>
          <w:sz w:val="24"/>
          <w:szCs w:val="24"/>
        </w:rPr>
      </w:pPr>
      <w:proofErr w:type="spellStart"/>
      <w:r>
        <w:rPr>
          <w:rFonts w:ascii="Times New Roman" w:hAnsi="Times New Roman" w:cs="Times New Roman"/>
          <w:b/>
          <w:i/>
          <w:sz w:val="24"/>
          <w:szCs w:val="24"/>
        </w:rPr>
        <w:t>Colour</w:t>
      </w:r>
      <w:proofErr w:type="spellEnd"/>
      <w:r>
        <w:rPr>
          <w:rFonts w:ascii="Times New Roman" w:hAnsi="Times New Roman" w:cs="Times New Roman"/>
          <w:b/>
          <w:i/>
          <w:sz w:val="24"/>
          <w:szCs w:val="24"/>
        </w:rPr>
        <w:t xml:space="preserve"> Analysis of the Samples</w:t>
      </w:r>
      <w:r>
        <w:rPr>
          <w:rFonts w:ascii="Times New Roman" w:hAnsi="Times New Roman" w:cs="Times New Roman"/>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is an important parameter in bio-fortified foods. Lightness of the samples was significant, with values from 46.72 to 47.25, and control not different from samples D and E. Redness values were not significant (p&lt;0.05) from one other, though control was highest. The yellowness was significant; it decreased with tamarind pulp increase and reducing bio-fortified maize content.</w:t>
      </w:r>
    </w:p>
    <w:p w14:paraId="23ECC902" w14:textId="77777777" w:rsidR="00406B68" w:rsidRDefault="001162E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Table 5: </w:t>
      </w:r>
      <w:proofErr w:type="spellStart"/>
      <w:r>
        <w:rPr>
          <w:rFonts w:ascii="Times New Roman" w:hAnsi="Times New Roman" w:cs="Times New Roman"/>
          <w:b/>
          <w:sz w:val="24"/>
          <w:szCs w:val="24"/>
        </w:rPr>
        <w:t>Colour</w:t>
      </w:r>
      <w:proofErr w:type="spellEnd"/>
      <w:r>
        <w:rPr>
          <w:rFonts w:ascii="Times New Roman" w:hAnsi="Times New Roman" w:cs="Times New Roman"/>
          <w:b/>
          <w:sz w:val="24"/>
          <w:szCs w:val="24"/>
        </w:rPr>
        <w:t xml:space="preserve"> Analysis of Pap Paste Samples</w:t>
      </w:r>
    </w:p>
    <w:tbl>
      <w:tblPr>
        <w:tblStyle w:val="TableGrid"/>
        <w:tblW w:w="9349" w:type="dxa"/>
        <w:tblLook w:val="04A0" w:firstRow="1" w:lastRow="0" w:firstColumn="1" w:lastColumn="0" w:noHBand="0" w:noVBand="1"/>
      </w:tblPr>
      <w:tblGrid>
        <w:gridCol w:w="2337"/>
        <w:gridCol w:w="2337"/>
        <w:gridCol w:w="2337"/>
        <w:gridCol w:w="2338"/>
      </w:tblGrid>
      <w:tr w:rsidR="00406B68" w14:paraId="46DE25E3" w14:textId="77777777">
        <w:tc>
          <w:tcPr>
            <w:tcW w:w="2337" w:type="dxa"/>
            <w:tcBorders>
              <w:left w:val="nil"/>
              <w:bottom w:val="single" w:sz="4" w:space="0" w:color="auto"/>
              <w:right w:val="nil"/>
            </w:tcBorders>
          </w:tcPr>
          <w:p w14:paraId="4DE819A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Samples</w:t>
            </w:r>
          </w:p>
        </w:tc>
        <w:tc>
          <w:tcPr>
            <w:tcW w:w="2337" w:type="dxa"/>
            <w:tcBorders>
              <w:left w:val="nil"/>
              <w:bottom w:val="single" w:sz="4" w:space="0" w:color="auto"/>
              <w:right w:val="nil"/>
            </w:tcBorders>
          </w:tcPr>
          <w:p w14:paraId="5C2D2A4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L*</w:t>
            </w:r>
          </w:p>
        </w:tc>
        <w:tc>
          <w:tcPr>
            <w:tcW w:w="2337" w:type="dxa"/>
            <w:tcBorders>
              <w:left w:val="nil"/>
              <w:bottom w:val="single" w:sz="4" w:space="0" w:color="auto"/>
              <w:right w:val="nil"/>
            </w:tcBorders>
          </w:tcPr>
          <w:p w14:paraId="4BBAF2D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a*</w:t>
            </w:r>
          </w:p>
        </w:tc>
        <w:tc>
          <w:tcPr>
            <w:tcW w:w="2338" w:type="dxa"/>
            <w:tcBorders>
              <w:left w:val="nil"/>
              <w:bottom w:val="single" w:sz="4" w:space="0" w:color="auto"/>
              <w:right w:val="nil"/>
            </w:tcBorders>
          </w:tcPr>
          <w:p w14:paraId="5E037CF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b*</w:t>
            </w:r>
          </w:p>
        </w:tc>
      </w:tr>
      <w:tr w:rsidR="00406B68" w14:paraId="6D20CCDA" w14:textId="77777777">
        <w:tc>
          <w:tcPr>
            <w:tcW w:w="2337" w:type="dxa"/>
            <w:tcBorders>
              <w:left w:val="nil"/>
              <w:bottom w:val="nil"/>
              <w:right w:val="nil"/>
            </w:tcBorders>
          </w:tcPr>
          <w:p w14:paraId="53604F9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2337" w:type="dxa"/>
            <w:tcBorders>
              <w:left w:val="nil"/>
              <w:bottom w:val="nil"/>
              <w:right w:val="nil"/>
            </w:tcBorders>
          </w:tcPr>
          <w:p w14:paraId="30DAB47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47.25±0.05</w:t>
            </w:r>
            <w:r>
              <w:rPr>
                <w:rFonts w:ascii="Times New Roman" w:hAnsi="Times New Roman" w:cs="Times New Roman"/>
                <w:sz w:val="24"/>
                <w:szCs w:val="24"/>
                <w:vertAlign w:val="superscript"/>
              </w:rPr>
              <w:t>a</w:t>
            </w:r>
          </w:p>
        </w:tc>
        <w:tc>
          <w:tcPr>
            <w:tcW w:w="2337" w:type="dxa"/>
            <w:tcBorders>
              <w:left w:val="nil"/>
              <w:bottom w:val="nil"/>
              <w:right w:val="nil"/>
            </w:tcBorders>
          </w:tcPr>
          <w:p w14:paraId="514B0EA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3.38±0.01</w:t>
            </w:r>
            <w:r>
              <w:rPr>
                <w:rFonts w:ascii="Times New Roman" w:hAnsi="Times New Roman" w:cs="Times New Roman"/>
                <w:sz w:val="24"/>
                <w:szCs w:val="24"/>
                <w:vertAlign w:val="superscript"/>
              </w:rPr>
              <w:t>a</w:t>
            </w:r>
          </w:p>
        </w:tc>
        <w:tc>
          <w:tcPr>
            <w:tcW w:w="2338" w:type="dxa"/>
            <w:tcBorders>
              <w:left w:val="nil"/>
              <w:bottom w:val="nil"/>
              <w:right w:val="nil"/>
            </w:tcBorders>
          </w:tcPr>
          <w:p w14:paraId="477EF8E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5.95±0.01</w:t>
            </w:r>
            <w:r>
              <w:rPr>
                <w:rFonts w:ascii="Times New Roman" w:hAnsi="Times New Roman" w:cs="Times New Roman"/>
                <w:sz w:val="24"/>
                <w:szCs w:val="24"/>
                <w:vertAlign w:val="superscript"/>
              </w:rPr>
              <w:t>a</w:t>
            </w:r>
          </w:p>
        </w:tc>
      </w:tr>
      <w:tr w:rsidR="00406B68" w14:paraId="6A1D3011" w14:textId="77777777">
        <w:tc>
          <w:tcPr>
            <w:tcW w:w="2337" w:type="dxa"/>
            <w:tcBorders>
              <w:top w:val="nil"/>
              <w:left w:val="nil"/>
              <w:bottom w:val="nil"/>
              <w:right w:val="nil"/>
            </w:tcBorders>
          </w:tcPr>
          <w:p w14:paraId="1E5FB3D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2337" w:type="dxa"/>
            <w:tcBorders>
              <w:top w:val="nil"/>
              <w:left w:val="nil"/>
              <w:bottom w:val="nil"/>
              <w:right w:val="nil"/>
            </w:tcBorders>
          </w:tcPr>
          <w:p w14:paraId="588327A1"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46.87±0.06</w:t>
            </w:r>
            <w:r>
              <w:rPr>
                <w:rFonts w:ascii="Times New Roman" w:hAnsi="Times New Roman" w:cs="Times New Roman"/>
                <w:sz w:val="24"/>
                <w:szCs w:val="24"/>
                <w:vertAlign w:val="superscript"/>
              </w:rPr>
              <w:t>b</w:t>
            </w:r>
          </w:p>
        </w:tc>
        <w:tc>
          <w:tcPr>
            <w:tcW w:w="2337" w:type="dxa"/>
            <w:tcBorders>
              <w:top w:val="nil"/>
              <w:left w:val="nil"/>
              <w:bottom w:val="nil"/>
              <w:right w:val="nil"/>
            </w:tcBorders>
          </w:tcPr>
          <w:p w14:paraId="3A94343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3.33±0.01</w:t>
            </w:r>
            <w:r>
              <w:rPr>
                <w:rFonts w:ascii="Times New Roman" w:hAnsi="Times New Roman" w:cs="Times New Roman"/>
                <w:sz w:val="24"/>
                <w:szCs w:val="24"/>
                <w:vertAlign w:val="superscript"/>
              </w:rPr>
              <w:t>a</w:t>
            </w:r>
          </w:p>
        </w:tc>
        <w:tc>
          <w:tcPr>
            <w:tcW w:w="2338" w:type="dxa"/>
            <w:tcBorders>
              <w:top w:val="nil"/>
              <w:left w:val="nil"/>
              <w:bottom w:val="nil"/>
              <w:right w:val="nil"/>
            </w:tcBorders>
          </w:tcPr>
          <w:p w14:paraId="62A4DF7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5.57±0.01</w:t>
            </w:r>
            <w:r>
              <w:rPr>
                <w:rFonts w:ascii="Times New Roman" w:hAnsi="Times New Roman" w:cs="Times New Roman"/>
                <w:sz w:val="24"/>
                <w:szCs w:val="24"/>
                <w:vertAlign w:val="superscript"/>
              </w:rPr>
              <w:t>b</w:t>
            </w:r>
          </w:p>
        </w:tc>
      </w:tr>
      <w:tr w:rsidR="00406B68" w14:paraId="335868C7" w14:textId="77777777">
        <w:tc>
          <w:tcPr>
            <w:tcW w:w="2337" w:type="dxa"/>
            <w:tcBorders>
              <w:top w:val="nil"/>
              <w:left w:val="nil"/>
              <w:bottom w:val="nil"/>
              <w:right w:val="nil"/>
            </w:tcBorders>
          </w:tcPr>
          <w:p w14:paraId="7CC9EE9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2337" w:type="dxa"/>
            <w:tcBorders>
              <w:top w:val="nil"/>
              <w:left w:val="nil"/>
              <w:bottom w:val="nil"/>
              <w:right w:val="nil"/>
            </w:tcBorders>
          </w:tcPr>
          <w:p w14:paraId="69D2FEB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46.91±0.04</w:t>
            </w:r>
            <w:r>
              <w:rPr>
                <w:rFonts w:ascii="Times New Roman" w:hAnsi="Times New Roman" w:cs="Times New Roman"/>
                <w:sz w:val="24"/>
                <w:szCs w:val="24"/>
                <w:vertAlign w:val="superscript"/>
              </w:rPr>
              <w:t>b</w:t>
            </w:r>
          </w:p>
        </w:tc>
        <w:tc>
          <w:tcPr>
            <w:tcW w:w="2337" w:type="dxa"/>
            <w:tcBorders>
              <w:top w:val="nil"/>
              <w:left w:val="nil"/>
              <w:bottom w:val="nil"/>
              <w:right w:val="nil"/>
            </w:tcBorders>
          </w:tcPr>
          <w:p w14:paraId="5E82364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3.33±0.01</w:t>
            </w:r>
            <w:r>
              <w:rPr>
                <w:rFonts w:ascii="Times New Roman" w:hAnsi="Times New Roman" w:cs="Times New Roman"/>
                <w:sz w:val="24"/>
                <w:szCs w:val="24"/>
                <w:vertAlign w:val="superscript"/>
              </w:rPr>
              <w:t>a</w:t>
            </w:r>
          </w:p>
        </w:tc>
        <w:tc>
          <w:tcPr>
            <w:tcW w:w="2338" w:type="dxa"/>
            <w:tcBorders>
              <w:top w:val="nil"/>
              <w:left w:val="nil"/>
              <w:bottom w:val="nil"/>
              <w:right w:val="nil"/>
            </w:tcBorders>
          </w:tcPr>
          <w:p w14:paraId="446A0BE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5.62±0.00</w:t>
            </w:r>
            <w:r>
              <w:rPr>
                <w:rFonts w:ascii="Times New Roman" w:hAnsi="Times New Roman" w:cs="Times New Roman"/>
                <w:sz w:val="24"/>
                <w:szCs w:val="24"/>
                <w:vertAlign w:val="superscript"/>
              </w:rPr>
              <w:t>b</w:t>
            </w:r>
          </w:p>
        </w:tc>
      </w:tr>
      <w:tr w:rsidR="00406B68" w14:paraId="14AD4A27" w14:textId="77777777">
        <w:tc>
          <w:tcPr>
            <w:tcW w:w="2337" w:type="dxa"/>
            <w:tcBorders>
              <w:top w:val="nil"/>
              <w:left w:val="nil"/>
              <w:bottom w:val="nil"/>
              <w:right w:val="nil"/>
            </w:tcBorders>
          </w:tcPr>
          <w:p w14:paraId="61B8606D"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2337" w:type="dxa"/>
            <w:tcBorders>
              <w:top w:val="nil"/>
              <w:left w:val="nil"/>
              <w:bottom w:val="nil"/>
              <w:right w:val="nil"/>
            </w:tcBorders>
          </w:tcPr>
          <w:p w14:paraId="7958100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47.07±0.02</w:t>
            </w:r>
            <w:r>
              <w:rPr>
                <w:rFonts w:ascii="Times New Roman" w:hAnsi="Times New Roman" w:cs="Times New Roman"/>
                <w:sz w:val="24"/>
                <w:szCs w:val="24"/>
                <w:vertAlign w:val="superscript"/>
              </w:rPr>
              <w:t>a</w:t>
            </w:r>
          </w:p>
        </w:tc>
        <w:tc>
          <w:tcPr>
            <w:tcW w:w="2337" w:type="dxa"/>
            <w:tcBorders>
              <w:top w:val="nil"/>
              <w:left w:val="nil"/>
              <w:bottom w:val="nil"/>
              <w:right w:val="nil"/>
            </w:tcBorders>
          </w:tcPr>
          <w:p w14:paraId="426C0C5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3.33±0.00</w:t>
            </w:r>
            <w:r>
              <w:rPr>
                <w:rFonts w:ascii="Times New Roman" w:hAnsi="Times New Roman" w:cs="Times New Roman"/>
                <w:sz w:val="24"/>
                <w:szCs w:val="24"/>
                <w:vertAlign w:val="superscript"/>
              </w:rPr>
              <w:t>a</w:t>
            </w:r>
          </w:p>
        </w:tc>
        <w:tc>
          <w:tcPr>
            <w:tcW w:w="2338" w:type="dxa"/>
            <w:tcBorders>
              <w:top w:val="nil"/>
              <w:left w:val="nil"/>
              <w:bottom w:val="nil"/>
              <w:right w:val="nil"/>
            </w:tcBorders>
          </w:tcPr>
          <w:p w14:paraId="4621AB1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5.64±0.00</w:t>
            </w:r>
            <w:r>
              <w:rPr>
                <w:rFonts w:ascii="Times New Roman" w:hAnsi="Times New Roman" w:cs="Times New Roman"/>
                <w:sz w:val="24"/>
                <w:szCs w:val="24"/>
                <w:vertAlign w:val="superscript"/>
              </w:rPr>
              <w:t>b</w:t>
            </w:r>
          </w:p>
        </w:tc>
      </w:tr>
      <w:tr w:rsidR="00406B68" w14:paraId="3273A88E" w14:textId="77777777">
        <w:tc>
          <w:tcPr>
            <w:tcW w:w="2337" w:type="dxa"/>
            <w:tcBorders>
              <w:top w:val="nil"/>
              <w:left w:val="nil"/>
              <w:bottom w:val="nil"/>
              <w:right w:val="nil"/>
            </w:tcBorders>
          </w:tcPr>
          <w:p w14:paraId="570287DE"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2337" w:type="dxa"/>
            <w:tcBorders>
              <w:top w:val="nil"/>
              <w:left w:val="nil"/>
              <w:bottom w:val="nil"/>
              <w:right w:val="nil"/>
            </w:tcBorders>
          </w:tcPr>
          <w:p w14:paraId="1723375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47.06±0.04</w:t>
            </w:r>
            <w:r>
              <w:rPr>
                <w:rFonts w:ascii="Times New Roman" w:hAnsi="Times New Roman" w:cs="Times New Roman"/>
                <w:sz w:val="24"/>
                <w:szCs w:val="24"/>
                <w:vertAlign w:val="superscript"/>
              </w:rPr>
              <w:t>a</w:t>
            </w:r>
          </w:p>
        </w:tc>
        <w:tc>
          <w:tcPr>
            <w:tcW w:w="2337" w:type="dxa"/>
            <w:tcBorders>
              <w:top w:val="nil"/>
              <w:left w:val="nil"/>
              <w:bottom w:val="nil"/>
              <w:right w:val="nil"/>
            </w:tcBorders>
          </w:tcPr>
          <w:p w14:paraId="3D0F3A2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3.31±0.01</w:t>
            </w:r>
            <w:r>
              <w:rPr>
                <w:rFonts w:ascii="Times New Roman" w:hAnsi="Times New Roman" w:cs="Times New Roman"/>
                <w:sz w:val="24"/>
                <w:szCs w:val="24"/>
                <w:vertAlign w:val="superscript"/>
              </w:rPr>
              <w:t>ab</w:t>
            </w:r>
          </w:p>
        </w:tc>
        <w:tc>
          <w:tcPr>
            <w:tcW w:w="2338" w:type="dxa"/>
            <w:tcBorders>
              <w:top w:val="nil"/>
              <w:left w:val="nil"/>
              <w:bottom w:val="nil"/>
              <w:right w:val="nil"/>
            </w:tcBorders>
          </w:tcPr>
          <w:p w14:paraId="0C36EECB"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5.57±0.02</w:t>
            </w:r>
            <w:r>
              <w:rPr>
                <w:rFonts w:ascii="Times New Roman" w:hAnsi="Times New Roman" w:cs="Times New Roman"/>
                <w:sz w:val="24"/>
                <w:szCs w:val="24"/>
                <w:vertAlign w:val="superscript"/>
              </w:rPr>
              <w:t>b</w:t>
            </w:r>
          </w:p>
        </w:tc>
      </w:tr>
      <w:tr w:rsidR="00406B68" w14:paraId="50C064A3" w14:textId="77777777">
        <w:tc>
          <w:tcPr>
            <w:tcW w:w="2337" w:type="dxa"/>
            <w:tcBorders>
              <w:top w:val="nil"/>
              <w:left w:val="nil"/>
              <w:bottom w:val="nil"/>
              <w:right w:val="nil"/>
            </w:tcBorders>
          </w:tcPr>
          <w:p w14:paraId="1A161C0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2337" w:type="dxa"/>
            <w:tcBorders>
              <w:top w:val="nil"/>
              <w:left w:val="nil"/>
              <w:bottom w:val="nil"/>
              <w:right w:val="nil"/>
            </w:tcBorders>
          </w:tcPr>
          <w:p w14:paraId="5D3D836B"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46.84±0.02</w:t>
            </w:r>
            <w:r>
              <w:rPr>
                <w:rFonts w:ascii="Times New Roman" w:hAnsi="Times New Roman" w:cs="Times New Roman"/>
                <w:sz w:val="24"/>
                <w:szCs w:val="24"/>
                <w:vertAlign w:val="superscript"/>
              </w:rPr>
              <w:t>b</w:t>
            </w:r>
          </w:p>
        </w:tc>
        <w:tc>
          <w:tcPr>
            <w:tcW w:w="2337" w:type="dxa"/>
            <w:tcBorders>
              <w:top w:val="nil"/>
              <w:left w:val="nil"/>
              <w:bottom w:val="nil"/>
              <w:right w:val="nil"/>
            </w:tcBorders>
          </w:tcPr>
          <w:p w14:paraId="1BE7820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3.31±0.01</w:t>
            </w:r>
            <w:r>
              <w:rPr>
                <w:rFonts w:ascii="Times New Roman" w:hAnsi="Times New Roman" w:cs="Times New Roman"/>
                <w:sz w:val="24"/>
                <w:szCs w:val="24"/>
                <w:vertAlign w:val="superscript"/>
              </w:rPr>
              <w:t>ab</w:t>
            </w:r>
          </w:p>
        </w:tc>
        <w:tc>
          <w:tcPr>
            <w:tcW w:w="2338" w:type="dxa"/>
            <w:tcBorders>
              <w:top w:val="nil"/>
              <w:left w:val="nil"/>
              <w:bottom w:val="nil"/>
              <w:right w:val="nil"/>
            </w:tcBorders>
          </w:tcPr>
          <w:p w14:paraId="1B741E7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5.52±0.02</w:t>
            </w:r>
            <w:r>
              <w:rPr>
                <w:rFonts w:ascii="Times New Roman" w:hAnsi="Times New Roman" w:cs="Times New Roman"/>
                <w:sz w:val="24"/>
                <w:szCs w:val="24"/>
                <w:vertAlign w:val="superscript"/>
              </w:rPr>
              <w:t>bc</w:t>
            </w:r>
          </w:p>
        </w:tc>
      </w:tr>
      <w:tr w:rsidR="00406B68" w14:paraId="7BD52194" w14:textId="77777777">
        <w:tc>
          <w:tcPr>
            <w:tcW w:w="2337" w:type="dxa"/>
            <w:tcBorders>
              <w:top w:val="nil"/>
              <w:left w:val="nil"/>
              <w:right w:val="nil"/>
            </w:tcBorders>
          </w:tcPr>
          <w:p w14:paraId="7FE192A9"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2337" w:type="dxa"/>
            <w:tcBorders>
              <w:top w:val="nil"/>
              <w:left w:val="nil"/>
              <w:right w:val="nil"/>
            </w:tcBorders>
          </w:tcPr>
          <w:p w14:paraId="0BC4483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46.72±0.04</w:t>
            </w:r>
            <w:r>
              <w:rPr>
                <w:rFonts w:ascii="Times New Roman" w:hAnsi="Times New Roman" w:cs="Times New Roman"/>
                <w:sz w:val="24"/>
                <w:szCs w:val="24"/>
                <w:vertAlign w:val="superscript"/>
              </w:rPr>
              <w:t>b</w:t>
            </w:r>
          </w:p>
        </w:tc>
        <w:tc>
          <w:tcPr>
            <w:tcW w:w="2337" w:type="dxa"/>
            <w:tcBorders>
              <w:top w:val="nil"/>
              <w:left w:val="nil"/>
              <w:right w:val="nil"/>
            </w:tcBorders>
          </w:tcPr>
          <w:p w14:paraId="04144D4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3.34±0.01</w:t>
            </w:r>
            <w:r>
              <w:rPr>
                <w:rFonts w:ascii="Times New Roman" w:hAnsi="Times New Roman" w:cs="Times New Roman"/>
                <w:sz w:val="24"/>
                <w:szCs w:val="24"/>
                <w:vertAlign w:val="superscript"/>
              </w:rPr>
              <w:t>a</w:t>
            </w:r>
          </w:p>
        </w:tc>
        <w:tc>
          <w:tcPr>
            <w:tcW w:w="2338" w:type="dxa"/>
            <w:tcBorders>
              <w:top w:val="nil"/>
              <w:left w:val="nil"/>
              <w:right w:val="nil"/>
            </w:tcBorders>
          </w:tcPr>
          <w:p w14:paraId="19E4DBE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5.49±0.02</w:t>
            </w:r>
            <w:r>
              <w:rPr>
                <w:rFonts w:ascii="Times New Roman" w:hAnsi="Times New Roman" w:cs="Times New Roman"/>
                <w:sz w:val="24"/>
                <w:szCs w:val="24"/>
                <w:vertAlign w:val="superscript"/>
              </w:rPr>
              <w:t>c</w:t>
            </w:r>
          </w:p>
        </w:tc>
      </w:tr>
    </w:tbl>
    <w:p w14:paraId="3A7623DA"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lastRenderedPageBreak/>
        <w:t>Values in the same column with different superscript are significantly different (P˂0.05). L*, a*, b* means Lightness, redness and yellowness respectively.</w:t>
      </w:r>
    </w:p>
    <w:p w14:paraId="614A2A0D"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 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Biofortifies</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753C15FA" w14:textId="6FF191F0" w:rsidR="00406B68" w:rsidRDefault="001162EA">
      <w:pPr>
        <w:spacing w:line="480" w:lineRule="auto"/>
        <w:jc w:val="both"/>
        <w:rPr>
          <w:rFonts w:ascii="Times New Roman" w:hAnsi="Times New Roman" w:cs="Times New Roman"/>
          <w:sz w:val="24"/>
          <w:szCs w:val="24"/>
        </w:rPr>
      </w:pPr>
      <w:r>
        <w:rPr>
          <w:rFonts w:ascii="Times New Roman" w:hAnsi="Times New Roman" w:cs="Times New Roman"/>
          <w:b/>
          <w:i/>
          <w:sz w:val="24"/>
          <w:szCs w:val="24"/>
        </w:rPr>
        <w:t>Mineral Content of Pap Paste Samples</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Some minerals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include Calcium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magnesium (Mg), sodium (Na), </w:t>
      </w:r>
      <w:proofErr w:type="spellStart"/>
      <w:proofErr w:type="gramStart"/>
      <w:r>
        <w:rPr>
          <w:rFonts w:ascii="Times New Roman" w:hAnsi="Times New Roman" w:cs="Times New Roman"/>
          <w:sz w:val="24"/>
          <w:szCs w:val="24"/>
        </w:rPr>
        <w:t>pottasium</w:t>
      </w:r>
      <w:proofErr w:type="spellEnd"/>
      <w:proofErr w:type="gramEnd"/>
      <w:r>
        <w:rPr>
          <w:rFonts w:ascii="Times New Roman" w:hAnsi="Times New Roman" w:cs="Times New Roman"/>
          <w:sz w:val="24"/>
          <w:szCs w:val="24"/>
        </w:rPr>
        <w:t xml:space="preserve"> (K), copper (Cu) and zinc (Zn) (Table 6). The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was significant (p&lt;0.05). The control sample had the least value, and was significant to the treated samples. Samples C and F were not significant from each other, though sample F had the highest value (4.01±0.00). According to </w:t>
      </w:r>
      <w:hyperlink w:anchor="_ENREF_47" w:tooltip="Oyarekua, 2011 #12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AuthorYear="1"&gt;&lt;Author&gt;Oyarekua&lt;/Author&gt;&lt;Year&gt;2011&lt;/Year&gt;&lt;RecNum&gt;122&lt;/RecNum&gt;&lt;DisplayText&gt;Oyarekua (2011)&lt;/DisplayText&gt;&lt;record&gt;&lt;rec-number&gt;122&lt;/rec-number&gt;&lt;foreign-keys&gt;&lt;key app="EN" db-id="tz9rpzspgx2teie0pzs5w5a7v2exvttzvvdr"&gt;122&lt;/key&gt;&lt;/foreign-keys&gt;&lt;ref-type name="Journal Article"&gt;17&lt;/ref-type&gt;&lt;contributors&gt;&lt;authors&gt;&lt;author&gt;Oyarekua, MA&lt;/author&gt;&lt;/authors&gt;&lt;/contributors&gt;&lt;titles&gt;&lt;title&gt;Evaluation of the nutritional and microbiological status of co-fermented cereals/cowpea ‘OGI’&lt;/title&gt;&lt;secondary-title&gt;Agriculture and Biology Journal of North America&lt;/secondary-title&gt;&lt;/titles&gt;&lt;periodical&gt;&lt;full-title&gt;Agriculture and Biology Journal of North America&lt;/full-title&gt;&lt;/periodical&gt;&lt;pages&gt;61-73&lt;/pages&gt;&lt;volume&gt;2&lt;/volume&gt;&lt;number&gt;1&lt;/number&gt;&lt;dates&gt;&lt;year&gt;2011&lt;/year&gt;&lt;/dates&gt;&lt;isbn&gt;2151-7517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Oyarekua (2011)</w:t>
        </w:r>
        <w:r>
          <w:rPr>
            <w:rFonts w:ascii="Times New Roman" w:hAnsi="Times New Roman" w:cs="Times New Roman"/>
            <w:sz w:val="24"/>
            <w:szCs w:val="24"/>
          </w:rPr>
          <w:fldChar w:fldCharType="end"/>
        </w:r>
      </w:hyperlink>
      <w:r>
        <w:rPr>
          <w:rFonts w:ascii="Times New Roman" w:hAnsi="Times New Roman" w:cs="Times New Roman"/>
          <w:sz w:val="24"/>
          <w:szCs w:val="24"/>
        </w:rPr>
        <w:t xml:space="preserve">, recommended dietary allowance (RDA) of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in infants’ food is 295 mg/100 g, which was not met by the samples; probably due to the sieving operation. Mg content was significant (p&lt;0.05), with the control having the least value. Treated samples were significant, except samples D, E and F that were not significant. According to </w:t>
      </w:r>
      <w:hyperlink w:anchor="_ENREF_32" w:tooltip="King, 2005 #12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AuthorYear="1"&gt;&lt;Author&gt;King&lt;/Author&gt;&lt;Year&gt;2005&lt;/Year&gt;&lt;RecNum&gt;123&lt;/RecNum&gt;&lt;DisplayText&gt;King&lt;style face="italic"&gt; et al.&lt;/style&gt; (2005)&lt;/DisplayText&gt;&lt;record&gt;&lt;rec-number&gt;123&lt;/rec-number&gt;&lt;foreign-keys&gt;&lt;key app="EN" db-id="tz9rpzspgx2teie0pzs5w5a7v2exvttzvvdr"&gt;123&lt;/key&gt;&lt;/foreign-keys&gt;&lt;ref-type name="Journal Article"&gt;17&lt;/ref-type&gt;&lt;contributors&gt;&lt;authors&gt;&lt;author&gt;King, Dana E&lt;/author&gt;&lt;author&gt;Mainous III, Arch G&lt;/author&gt;&lt;author&gt;Geesey, Mark E&lt;/author&gt;&lt;author&gt;Woolson, Robert F&lt;/author&gt;&lt;/authors&gt;&lt;/contributors&gt;&lt;titles&gt;&lt;title&gt;Dietary magnesium and C-reactive protein levels&lt;/title&gt;&lt;secondary-title&gt;Journal of the American College of Nutrition&lt;/secondary-title&gt;&lt;/titles&gt;&lt;periodical&gt;&lt;full-title&gt;Journal of the American College of Nutrition&lt;/full-title&gt;&lt;/periodical&gt;&lt;pages&gt;166-171&lt;/pages&gt;&lt;volume&gt;24&lt;/volume&gt;&lt;number&gt;3&lt;/number&gt;&lt;dates&gt;&lt;year&gt;2005&lt;/year&gt;&lt;/dates&gt;&lt;isbn&gt;0731-5724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King</w:t>
        </w:r>
        <w:r>
          <w:rPr>
            <w:rFonts w:ascii="Times New Roman" w:hAnsi="Times New Roman" w:cs="Times New Roman"/>
            <w:i/>
            <w:sz w:val="24"/>
            <w:szCs w:val="24"/>
          </w:rPr>
          <w:t xml:space="preserve"> et al.</w:t>
        </w:r>
        <w:r w:rsidR="0047635F">
          <w:rPr>
            <w:rFonts w:ascii="Times New Roman" w:hAnsi="Times New Roman" w:cs="Times New Roman"/>
            <w:i/>
            <w:sz w:val="24"/>
            <w:szCs w:val="24"/>
          </w:rPr>
          <w:t>,</w:t>
        </w:r>
        <w:r>
          <w:rPr>
            <w:rFonts w:ascii="Times New Roman" w:hAnsi="Times New Roman" w:cs="Times New Roman"/>
            <w:sz w:val="24"/>
            <w:szCs w:val="24"/>
          </w:rPr>
          <w:t xml:space="preserve"> (2005)</w:t>
        </w:r>
        <w:r>
          <w:rPr>
            <w:rFonts w:ascii="Times New Roman" w:hAnsi="Times New Roman" w:cs="Times New Roman"/>
            <w:sz w:val="24"/>
            <w:szCs w:val="24"/>
          </w:rPr>
          <w:fldChar w:fldCharType="end"/>
        </w:r>
      </w:hyperlink>
      <w:r>
        <w:rPr>
          <w:rFonts w:ascii="Times New Roman" w:hAnsi="Times New Roman" w:cs="Times New Roman"/>
          <w:sz w:val="24"/>
          <w:szCs w:val="24"/>
        </w:rPr>
        <w:t>, RDA of Mg is between 310 and 420 mg to maintain health and lower the risk of cardiovascular disease, but all the samples were below it.</w:t>
      </w:r>
    </w:p>
    <w:p w14:paraId="0B673F31"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Na contents were slightly different from each other. Sample C had the highest value, while sample G, the least. All values were &lt;2 mg hence, can all be considered Na free. For K, samples A and B had same value (1.28), and significant to others, while Cu values were not significant. </w:t>
      </w:r>
      <w:hyperlink w:anchor="_ENREF_57" w:tooltip="Singh, 2019 #7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AuthorYear="1"&gt;&lt;Author&gt;Singh&lt;/Author&gt;&lt;Year&gt;2019&lt;/Year&gt;&lt;RecNum&gt;77&lt;/RecNum&gt;&lt;DisplayText&gt;Singh&lt;style face="italic"&gt; et al.&lt;/style&gt; (2019)&lt;/DisplayText&gt;&lt;record&gt;&lt;rec-number&gt;77&lt;/rec-number&gt;&lt;foreign-keys&gt;&lt;key app="EN" db-id="tz9rpzspgx2teie0pzs5w5a7v2exvttzvvdr"&gt;77&lt;/key&gt;&lt;/foreign-keys&gt;&lt;ref-type name="Book Section"&gt;5&lt;/ref-type&gt;&lt;contributors&gt;&lt;authors&gt;&lt;author&gt;Singh, Narpinder&lt;/author&gt;&lt;author&gt;Singh, Sandeep&lt;/author&gt;&lt;author&gt;Shevkani, Khetan&lt;/author&gt;&lt;/authors&gt;&lt;/contributors&gt;&lt;titles&gt;&lt;title&gt;Maize: Composition, bioactive constituents, and unleavened bread&lt;/title&gt;&lt;secondary-title&gt;Flour and breads and their fortification in health and disease prevention&lt;/secondary-title&gt;&lt;/titles&gt;&lt;pages&gt;111-121&lt;/pages&gt;&lt;dates&gt;&lt;year&gt;2019&lt;/year&gt;&lt;/dates&gt;&lt;publisher&gt;Elsevier&lt;/publisher&gt;&lt;urls&gt;&lt;/urls&gt;&lt;/record&gt;&lt;/Cite&gt;&lt;/EndNote&gt;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Singh</w:t>
        </w:r>
        <w:r>
          <w:rPr>
            <w:rFonts w:ascii="Times New Roman" w:hAnsi="Times New Roman" w:cs="Times New Roman"/>
            <w:i/>
            <w:sz w:val="24"/>
            <w:szCs w:val="24"/>
          </w:rPr>
          <w:t xml:space="preserve"> et al.</w:t>
        </w:r>
        <w:r>
          <w:rPr>
            <w:rFonts w:ascii="Times New Roman" w:hAnsi="Times New Roman" w:cs="Times New Roman"/>
            <w:sz w:val="24"/>
            <w:szCs w:val="24"/>
          </w:rPr>
          <w:t xml:space="preserve"> (2019)</w:t>
        </w:r>
        <w:r>
          <w:rPr>
            <w:rFonts w:ascii="Times New Roman" w:hAnsi="Times New Roman" w:cs="Times New Roman"/>
            <w:sz w:val="24"/>
            <w:szCs w:val="24"/>
          </w:rPr>
          <w:fldChar w:fldCharType="end"/>
        </w:r>
      </w:hyperlink>
      <w:r>
        <w:rPr>
          <w:rFonts w:ascii="Times New Roman" w:hAnsi="Times New Roman" w:cs="Times New Roman"/>
          <w:sz w:val="24"/>
          <w:szCs w:val="24"/>
        </w:rPr>
        <w:t xml:space="preserve">, reported 0.14mg/g Cu in maize, which literally, was similar to 0.11-0.12 recorded here. However, reduced values could be due to leaching during sieving. The Zn values were significant. Samples B and C were highest in values, and significant to others, as tamarind addition increased mineral contents.                                                      </w:t>
      </w:r>
    </w:p>
    <w:p w14:paraId="12EFE85C"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b/>
          <w:sz w:val="24"/>
          <w:szCs w:val="24"/>
        </w:rPr>
        <w:t>Table 6: Mineral content of pap paste samples (mg/L).</w:t>
      </w:r>
    </w:p>
    <w:tbl>
      <w:tblPr>
        <w:tblStyle w:val="TableGrid"/>
        <w:tblW w:w="10908" w:type="dxa"/>
        <w:tblInd w:w="-365" w:type="dxa"/>
        <w:tblLook w:val="04A0" w:firstRow="1" w:lastRow="0" w:firstColumn="1" w:lastColumn="0" w:noHBand="0" w:noVBand="1"/>
      </w:tblPr>
      <w:tblGrid>
        <w:gridCol w:w="1558"/>
        <w:gridCol w:w="1558"/>
        <w:gridCol w:w="1558"/>
        <w:gridCol w:w="1558"/>
        <w:gridCol w:w="1558"/>
        <w:gridCol w:w="1559"/>
        <w:gridCol w:w="1559"/>
      </w:tblGrid>
      <w:tr w:rsidR="00406B68" w14:paraId="39A0746B" w14:textId="77777777">
        <w:tc>
          <w:tcPr>
            <w:tcW w:w="1558" w:type="dxa"/>
            <w:tcBorders>
              <w:left w:val="nil"/>
              <w:bottom w:val="single" w:sz="4" w:space="0" w:color="auto"/>
              <w:right w:val="nil"/>
            </w:tcBorders>
          </w:tcPr>
          <w:p w14:paraId="18B1D5A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Samples</w:t>
            </w:r>
          </w:p>
        </w:tc>
        <w:tc>
          <w:tcPr>
            <w:tcW w:w="1558" w:type="dxa"/>
            <w:tcBorders>
              <w:left w:val="nil"/>
              <w:bottom w:val="single" w:sz="4" w:space="0" w:color="auto"/>
              <w:right w:val="nil"/>
            </w:tcBorders>
          </w:tcPr>
          <w:p w14:paraId="795F6041" w14:textId="77777777" w:rsidR="00406B68" w:rsidRDefault="001162EA">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Ca</w:t>
            </w:r>
            <w:proofErr w:type="spellEnd"/>
          </w:p>
        </w:tc>
        <w:tc>
          <w:tcPr>
            <w:tcW w:w="1558" w:type="dxa"/>
            <w:tcBorders>
              <w:left w:val="nil"/>
              <w:bottom w:val="single" w:sz="4" w:space="0" w:color="auto"/>
              <w:right w:val="nil"/>
            </w:tcBorders>
          </w:tcPr>
          <w:p w14:paraId="5AFC9AF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Mg</w:t>
            </w:r>
          </w:p>
        </w:tc>
        <w:tc>
          <w:tcPr>
            <w:tcW w:w="1558" w:type="dxa"/>
            <w:tcBorders>
              <w:left w:val="nil"/>
              <w:bottom w:val="single" w:sz="4" w:space="0" w:color="auto"/>
              <w:right w:val="nil"/>
            </w:tcBorders>
          </w:tcPr>
          <w:p w14:paraId="27D1F19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w:t>
            </w:r>
          </w:p>
        </w:tc>
        <w:tc>
          <w:tcPr>
            <w:tcW w:w="1558" w:type="dxa"/>
            <w:tcBorders>
              <w:left w:val="nil"/>
              <w:bottom w:val="single" w:sz="4" w:space="0" w:color="auto"/>
              <w:right w:val="nil"/>
            </w:tcBorders>
          </w:tcPr>
          <w:p w14:paraId="3C2DEAF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w:t>
            </w:r>
          </w:p>
        </w:tc>
        <w:tc>
          <w:tcPr>
            <w:tcW w:w="1559" w:type="dxa"/>
            <w:tcBorders>
              <w:left w:val="nil"/>
              <w:bottom w:val="single" w:sz="4" w:space="0" w:color="auto"/>
              <w:right w:val="nil"/>
            </w:tcBorders>
          </w:tcPr>
          <w:p w14:paraId="489D1ADE"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Cu</w:t>
            </w:r>
          </w:p>
        </w:tc>
        <w:tc>
          <w:tcPr>
            <w:tcW w:w="1559" w:type="dxa"/>
            <w:tcBorders>
              <w:left w:val="nil"/>
              <w:bottom w:val="single" w:sz="4" w:space="0" w:color="auto"/>
              <w:right w:val="nil"/>
            </w:tcBorders>
          </w:tcPr>
          <w:p w14:paraId="4E1C9582"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Zn</w:t>
            </w:r>
          </w:p>
        </w:tc>
      </w:tr>
      <w:tr w:rsidR="00406B68" w14:paraId="1FC24C4E" w14:textId="77777777">
        <w:tc>
          <w:tcPr>
            <w:tcW w:w="1558" w:type="dxa"/>
            <w:tcBorders>
              <w:left w:val="nil"/>
              <w:bottom w:val="nil"/>
              <w:right w:val="nil"/>
            </w:tcBorders>
          </w:tcPr>
          <w:p w14:paraId="5B9EFEB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1558" w:type="dxa"/>
            <w:tcBorders>
              <w:left w:val="nil"/>
              <w:bottom w:val="nil"/>
              <w:right w:val="nil"/>
            </w:tcBorders>
          </w:tcPr>
          <w:p w14:paraId="7D9DB3A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2.01±0.00</w:t>
            </w:r>
            <w:r>
              <w:rPr>
                <w:rFonts w:ascii="Times New Roman" w:hAnsi="Times New Roman" w:cs="Times New Roman"/>
                <w:sz w:val="24"/>
                <w:szCs w:val="24"/>
                <w:vertAlign w:val="superscript"/>
              </w:rPr>
              <w:t>c</w:t>
            </w:r>
          </w:p>
        </w:tc>
        <w:tc>
          <w:tcPr>
            <w:tcW w:w="1558" w:type="dxa"/>
            <w:tcBorders>
              <w:left w:val="nil"/>
              <w:bottom w:val="nil"/>
              <w:right w:val="nil"/>
            </w:tcBorders>
          </w:tcPr>
          <w:p w14:paraId="2600ED7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1.32±0.00</w:t>
            </w:r>
            <w:r>
              <w:rPr>
                <w:rFonts w:ascii="Times New Roman" w:hAnsi="Times New Roman" w:cs="Times New Roman"/>
                <w:sz w:val="24"/>
                <w:szCs w:val="24"/>
                <w:vertAlign w:val="superscript"/>
              </w:rPr>
              <w:t>c</w:t>
            </w:r>
          </w:p>
        </w:tc>
        <w:tc>
          <w:tcPr>
            <w:tcW w:w="1558" w:type="dxa"/>
            <w:tcBorders>
              <w:left w:val="nil"/>
              <w:bottom w:val="nil"/>
              <w:right w:val="nil"/>
            </w:tcBorders>
          </w:tcPr>
          <w:p w14:paraId="0CA3079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1.84±0.01</w:t>
            </w:r>
            <w:r>
              <w:rPr>
                <w:rFonts w:ascii="Times New Roman" w:hAnsi="Times New Roman" w:cs="Times New Roman"/>
                <w:sz w:val="24"/>
                <w:szCs w:val="24"/>
                <w:vertAlign w:val="superscript"/>
              </w:rPr>
              <w:t>b</w:t>
            </w:r>
          </w:p>
        </w:tc>
        <w:tc>
          <w:tcPr>
            <w:tcW w:w="1558" w:type="dxa"/>
            <w:tcBorders>
              <w:left w:val="nil"/>
              <w:bottom w:val="nil"/>
              <w:right w:val="nil"/>
            </w:tcBorders>
          </w:tcPr>
          <w:p w14:paraId="6567BE8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1.28±0.01</w:t>
            </w:r>
            <w:r>
              <w:rPr>
                <w:rFonts w:ascii="Times New Roman" w:hAnsi="Times New Roman" w:cs="Times New Roman"/>
                <w:sz w:val="24"/>
                <w:szCs w:val="24"/>
                <w:vertAlign w:val="superscript"/>
              </w:rPr>
              <w:t>b</w:t>
            </w:r>
          </w:p>
        </w:tc>
        <w:tc>
          <w:tcPr>
            <w:tcW w:w="1559" w:type="dxa"/>
            <w:tcBorders>
              <w:left w:val="nil"/>
              <w:bottom w:val="nil"/>
              <w:right w:val="nil"/>
            </w:tcBorders>
          </w:tcPr>
          <w:p w14:paraId="5805B04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0.12±0.01</w:t>
            </w:r>
            <w:r>
              <w:rPr>
                <w:rFonts w:ascii="Times New Roman" w:hAnsi="Times New Roman" w:cs="Times New Roman"/>
                <w:sz w:val="24"/>
                <w:szCs w:val="24"/>
                <w:vertAlign w:val="superscript"/>
              </w:rPr>
              <w:t>a</w:t>
            </w:r>
          </w:p>
        </w:tc>
        <w:tc>
          <w:tcPr>
            <w:tcW w:w="1559" w:type="dxa"/>
            <w:tcBorders>
              <w:left w:val="nil"/>
              <w:bottom w:val="nil"/>
              <w:right w:val="nil"/>
            </w:tcBorders>
          </w:tcPr>
          <w:p w14:paraId="6D48DFE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0.48±0.01</w:t>
            </w:r>
            <w:r>
              <w:rPr>
                <w:rFonts w:ascii="Times New Roman" w:hAnsi="Times New Roman" w:cs="Times New Roman"/>
                <w:sz w:val="24"/>
                <w:szCs w:val="24"/>
                <w:vertAlign w:val="superscript"/>
              </w:rPr>
              <w:t>c</w:t>
            </w:r>
          </w:p>
        </w:tc>
      </w:tr>
      <w:tr w:rsidR="00406B68" w14:paraId="053F5085" w14:textId="77777777">
        <w:tc>
          <w:tcPr>
            <w:tcW w:w="1558" w:type="dxa"/>
            <w:tcBorders>
              <w:top w:val="nil"/>
              <w:left w:val="nil"/>
              <w:bottom w:val="nil"/>
              <w:right w:val="nil"/>
            </w:tcBorders>
          </w:tcPr>
          <w:p w14:paraId="7BF6066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1558" w:type="dxa"/>
            <w:tcBorders>
              <w:top w:val="nil"/>
              <w:left w:val="nil"/>
              <w:bottom w:val="nil"/>
              <w:right w:val="nil"/>
            </w:tcBorders>
          </w:tcPr>
          <w:p w14:paraId="286094DB"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3.00±0.00</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1C3B5DB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2.00±0.00</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2C870C4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1.87±0.01</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53EDB3C3"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1.28±0.01</w:t>
            </w:r>
            <w:r>
              <w:rPr>
                <w:rFonts w:ascii="Times New Roman" w:hAnsi="Times New Roman" w:cs="Times New Roman"/>
                <w:sz w:val="24"/>
                <w:szCs w:val="24"/>
                <w:vertAlign w:val="superscript"/>
              </w:rPr>
              <w:t>b</w:t>
            </w:r>
          </w:p>
        </w:tc>
        <w:tc>
          <w:tcPr>
            <w:tcW w:w="1559" w:type="dxa"/>
            <w:tcBorders>
              <w:top w:val="nil"/>
              <w:left w:val="nil"/>
              <w:bottom w:val="nil"/>
              <w:right w:val="nil"/>
            </w:tcBorders>
          </w:tcPr>
          <w:p w14:paraId="611628B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0.12±0.01</w:t>
            </w:r>
            <w:r>
              <w:rPr>
                <w:rFonts w:ascii="Times New Roman" w:hAnsi="Times New Roman" w:cs="Times New Roman"/>
                <w:sz w:val="24"/>
                <w:szCs w:val="24"/>
                <w:vertAlign w:val="superscript"/>
              </w:rPr>
              <w:t>a</w:t>
            </w:r>
          </w:p>
        </w:tc>
        <w:tc>
          <w:tcPr>
            <w:tcW w:w="1559" w:type="dxa"/>
            <w:tcBorders>
              <w:top w:val="nil"/>
              <w:left w:val="nil"/>
              <w:bottom w:val="nil"/>
              <w:right w:val="nil"/>
            </w:tcBorders>
          </w:tcPr>
          <w:p w14:paraId="2A25BFE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0.77±0.01</w:t>
            </w:r>
            <w:r>
              <w:rPr>
                <w:rFonts w:ascii="Times New Roman" w:hAnsi="Times New Roman" w:cs="Times New Roman"/>
                <w:sz w:val="24"/>
                <w:szCs w:val="24"/>
                <w:vertAlign w:val="superscript"/>
              </w:rPr>
              <w:t>a</w:t>
            </w:r>
          </w:p>
        </w:tc>
      </w:tr>
      <w:tr w:rsidR="00406B68" w14:paraId="184D7FD9" w14:textId="77777777">
        <w:tc>
          <w:tcPr>
            <w:tcW w:w="1558" w:type="dxa"/>
            <w:tcBorders>
              <w:top w:val="nil"/>
              <w:left w:val="nil"/>
              <w:bottom w:val="nil"/>
              <w:right w:val="nil"/>
            </w:tcBorders>
          </w:tcPr>
          <w:p w14:paraId="6900A4C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p>
        </w:tc>
        <w:tc>
          <w:tcPr>
            <w:tcW w:w="1558" w:type="dxa"/>
            <w:tcBorders>
              <w:top w:val="nil"/>
              <w:left w:val="nil"/>
              <w:bottom w:val="nil"/>
              <w:right w:val="nil"/>
            </w:tcBorders>
          </w:tcPr>
          <w:p w14:paraId="58BD60EB"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4.00±0.00</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743C0B4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2.00±0.00</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3E89C94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1.90±0.01</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46FBC05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1.40±0.04</w:t>
            </w:r>
            <w:r>
              <w:rPr>
                <w:rFonts w:ascii="Times New Roman" w:hAnsi="Times New Roman" w:cs="Times New Roman"/>
                <w:sz w:val="24"/>
                <w:szCs w:val="24"/>
                <w:vertAlign w:val="superscript"/>
              </w:rPr>
              <w:t>a</w:t>
            </w:r>
          </w:p>
        </w:tc>
        <w:tc>
          <w:tcPr>
            <w:tcW w:w="1559" w:type="dxa"/>
            <w:tcBorders>
              <w:top w:val="nil"/>
              <w:left w:val="nil"/>
              <w:bottom w:val="nil"/>
              <w:right w:val="nil"/>
            </w:tcBorders>
          </w:tcPr>
          <w:p w14:paraId="430FE7F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0.11±0.01</w:t>
            </w:r>
            <w:r>
              <w:rPr>
                <w:rFonts w:ascii="Times New Roman" w:hAnsi="Times New Roman" w:cs="Times New Roman"/>
                <w:sz w:val="24"/>
                <w:szCs w:val="24"/>
                <w:vertAlign w:val="superscript"/>
              </w:rPr>
              <w:t>a</w:t>
            </w:r>
          </w:p>
        </w:tc>
        <w:tc>
          <w:tcPr>
            <w:tcW w:w="1559" w:type="dxa"/>
            <w:tcBorders>
              <w:top w:val="nil"/>
              <w:left w:val="nil"/>
              <w:bottom w:val="nil"/>
              <w:right w:val="nil"/>
            </w:tcBorders>
          </w:tcPr>
          <w:p w14:paraId="54428DF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0.77±0.01</w:t>
            </w:r>
            <w:r>
              <w:rPr>
                <w:rFonts w:ascii="Times New Roman" w:hAnsi="Times New Roman" w:cs="Times New Roman"/>
                <w:sz w:val="24"/>
                <w:szCs w:val="24"/>
                <w:vertAlign w:val="superscript"/>
              </w:rPr>
              <w:t>a</w:t>
            </w:r>
          </w:p>
        </w:tc>
      </w:tr>
      <w:tr w:rsidR="00406B68" w14:paraId="0EF8DE03" w14:textId="77777777">
        <w:tc>
          <w:tcPr>
            <w:tcW w:w="1558" w:type="dxa"/>
            <w:tcBorders>
              <w:top w:val="nil"/>
              <w:left w:val="nil"/>
              <w:bottom w:val="nil"/>
              <w:right w:val="nil"/>
            </w:tcBorders>
          </w:tcPr>
          <w:p w14:paraId="702E5B0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1558" w:type="dxa"/>
            <w:tcBorders>
              <w:top w:val="nil"/>
              <w:left w:val="nil"/>
              <w:bottom w:val="nil"/>
              <w:right w:val="nil"/>
            </w:tcBorders>
          </w:tcPr>
          <w:p w14:paraId="3D6637E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3.03±0.01</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157AE97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2.14±0.01</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275C3B1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1.86±0.01</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18531981"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1.11±0.00</w:t>
            </w:r>
            <w:r>
              <w:rPr>
                <w:rFonts w:ascii="Times New Roman" w:hAnsi="Times New Roman" w:cs="Times New Roman"/>
                <w:sz w:val="24"/>
                <w:szCs w:val="24"/>
                <w:vertAlign w:val="superscript"/>
              </w:rPr>
              <w:t>c</w:t>
            </w:r>
          </w:p>
        </w:tc>
        <w:tc>
          <w:tcPr>
            <w:tcW w:w="1559" w:type="dxa"/>
            <w:tcBorders>
              <w:top w:val="nil"/>
              <w:left w:val="nil"/>
              <w:bottom w:val="nil"/>
              <w:right w:val="nil"/>
            </w:tcBorders>
          </w:tcPr>
          <w:p w14:paraId="470615E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0.12±0.00</w:t>
            </w:r>
            <w:r>
              <w:rPr>
                <w:rFonts w:ascii="Times New Roman" w:hAnsi="Times New Roman" w:cs="Times New Roman"/>
                <w:sz w:val="24"/>
                <w:szCs w:val="24"/>
                <w:vertAlign w:val="superscript"/>
              </w:rPr>
              <w:t>a</w:t>
            </w:r>
          </w:p>
        </w:tc>
        <w:tc>
          <w:tcPr>
            <w:tcW w:w="1559" w:type="dxa"/>
            <w:tcBorders>
              <w:top w:val="nil"/>
              <w:left w:val="nil"/>
              <w:bottom w:val="nil"/>
              <w:right w:val="nil"/>
            </w:tcBorders>
          </w:tcPr>
          <w:p w14:paraId="4F83D11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0.55±0.01</w:t>
            </w:r>
            <w:r>
              <w:rPr>
                <w:rFonts w:ascii="Times New Roman" w:hAnsi="Times New Roman" w:cs="Times New Roman"/>
                <w:sz w:val="24"/>
                <w:szCs w:val="24"/>
                <w:vertAlign w:val="superscript"/>
              </w:rPr>
              <w:t>c</w:t>
            </w:r>
          </w:p>
        </w:tc>
      </w:tr>
      <w:tr w:rsidR="00406B68" w14:paraId="3907A3D8" w14:textId="77777777">
        <w:tc>
          <w:tcPr>
            <w:tcW w:w="1558" w:type="dxa"/>
            <w:tcBorders>
              <w:top w:val="nil"/>
              <w:left w:val="nil"/>
              <w:bottom w:val="nil"/>
              <w:right w:val="nil"/>
            </w:tcBorders>
          </w:tcPr>
          <w:p w14:paraId="7C69C239"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1558" w:type="dxa"/>
            <w:tcBorders>
              <w:top w:val="nil"/>
              <w:left w:val="nil"/>
              <w:bottom w:val="nil"/>
              <w:right w:val="nil"/>
            </w:tcBorders>
          </w:tcPr>
          <w:p w14:paraId="004CFA3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3.00±0.00</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242722D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2.32±0.00</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0C6F467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1.88±0.01</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23EE9D8B"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1.02±0.04</w:t>
            </w:r>
            <w:r>
              <w:rPr>
                <w:rFonts w:ascii="Times New Roman" w:hAnsi="Times New Roman" w:cs="Times New Roman"/>
                <w:sz w:val="24"/>
                <w:szCs w:val="24"/>
                <w:vertAlign w:val="superscript"/>
              </w:rPr>
              <w:t>d</w:t>
            </w:r>
          </w:p>
        </w:tc>
        <w:tc>
          <w:tcPr>
            <w:tcW w:w="1559" w:type="dxa"/>
            <w:tcBorders>
              <w:top w:val="nil"/>
              <w:left w:val="nil"/>
              <w:bottom w:val="nil"/>
              <w:right w:val="nil"/>
            </w:tcBorders>
          </w:tcPr>
          <w:p w14:paraId="141EA95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0.11±0.00</w:t>
            </w:r>
            <w:r>
              <w:rPr>
                <w:rFonts w:ascii="Times New Roman" w:hAnsi="Times New Roman" w:cs="Times New Roman"/>
                <w:sz w:val="24"/>
                <w:szCs w:val="24"/>
                <w:vertAlign w:val="superscript"/>
              </w:rPr>
              <w:t>a</w:t>
            </w:r>
          </w:p>
        </w:tc>
        <w:tc>
          <w:tcPr>
            <w:tcW w:w="1559" w:type="dxa"/>
            <w:tcBorders>
              <w:top w:val="nil"/>
              <w:left w:val="nil"/>
              <w:bottom w:val="nil"/>
              <w:right w:val="nil"/>
            </w:tcBorders>
          </w:tcPr>
          <w:p w14:paraId="7752A81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0.69±0.01</w:t>
            </w:r>
            <w:r>
              <w:rPr>
                <w:rFonts w:ascii="Times New Roman" w:hAnsi="Times New Roman" w:cs="Times New Roman"/>
                <w:sz w:val="24"/>
                <w:szCs w:val="24"/>
                <w:vertAlign w:val="superscript"/>
              </w:rPr>
              <w:t>b</w:t>
            </w:r>
          </w:p>
        </w:tc>
      </w:tr>
      <w:tr w:rsidR="00406B68" w14:paraId="139C1075" w14:textId="77777777">
        <w:tc>
          <w:tcPr>
            <w:tcW w:w="1558" w:type="dxa"/>
            <w:tcBorders>
              <w:top w:val="nil"/>
              <w:left w:val="nil"/>
              <w:bottom w:val="nil"/>
              <w:right w:val="nil"/>
            </w:tcBorders>
          </w:tcPr>
          <w:p w14:paraId="75256A82"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1558" w:type="dxa"/>
            <w:tcBorders>
              <w:top w:val="nil"/>
              <w:left w:val="nil"/>
              <w:bottom w:val="nil"/>
              <w:right w:val="nil"/>
            </w:tcBorders>
          </w:tcPr>
          <w:p w14:paraId="377403A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4.01±0.00</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78BCCC0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2.16±0.01</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7DECD2E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1.89±0.02</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0163F38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1.08±0.00</w:t>
            </w:r>
            <w:r>
              <w:rPr>
                <w:rFonts w:ascii="Times New Roman" w:hAnsi="Times New Roman" w:cs="Times New Roman"/>
                <w:sz w:val="24"/>
                <w:szCs w:val="24"/>
                <w:vertAlign w:val="superscript"/>
              </w:rPr>
              <w:t>c</w:t>
            </w:r>
          </w:p>
        </w:tc>
        <w:tc>
          <w:tcPr>
            <w:tcW w:w="1559" w:type="dxa"/>
            <w:tcBorders>
              <w:top w:val="nil"/>
              <w:left w:val="nil"/>
              <w:bottom w:val="nil"/>
              <w:right w:val="nil"/>
            </w:tcBorders>
          </w:tcPr>
          <w:p w14:paraId="7281AB5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0.12±0.01</w:t>
            </w:r>
            <w:r>
              <w:rPr>
                <w:rFonts w:ascii="Times New Roman" w:hAnsi="Times New Roman" w:cs="Times New Roman"/>
                <w:sz w:val="24"/>
                <w:szCs w:val="24"/>
                <w:vertAlign w:val="superscript"/>
              </w:rPr>
              <w:t>a</w:t>
            </w:r>
          </w:p>
        </w:tc>
        <w:tc>
          <w:tcPr>
            <w:tcW w:w="1559" w:type="dxa"/>
            <w:tcBorders>
              <w:top w:val="nil"/>
              <w:left w:val="nil"/>
              <w:bottom w:val="nil"/>
              <w:right w:val="nil"/>
            </w:tcBorders>
          </w:tcPr>
          <w:p w14:paraId="73976F7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0.58±0.01</w:t>
            </w:r>
            <w:r>
              <w:rPr>
                <w:rFonts w:ascii="Times New Roman" w:hAnsi="Times New Roman" w:cs="Times New Roman"/>
                <w:sz w:val="24"/>
                <w:szCs w:val="24"/>
                <w:vertAlign w:val="superscript"/>
              </w:rPr>
              <w:t>c</w:t>
            </w:r>
          </w:p>
        </w:tc>
      </w:tr>
      <w:tr w:rsidR="00406B68" w14:paraId="50697619" w14:textId="77777777">
        <w:tc>
          <w:tcPr>
            <w:tcW w:w="1558" w:type="dxa"/>
            <w:tcBorders>
              <w:top w:val="nil"/>
              <w:left w:val="nil"/>
              <w:right w:val="nil"/>
            </w:tcBorders>
          </w:tcPr>
          <w:p w14:paraId="6530257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1558" w:type="dxa"/>
            <w:tcBorders>
              <w:top w:val="nil"/>
              <w:left w:val="nil"/>
              <w:right w:val="nil"/>
            </w:tcBorders>
          </w:tcPr>
          <w:p w14:paraId="0319C1E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3.01±0.01</w:t>
            </w:r>
            <w:r>
              <w:rPr>
                <w:rFonts w:ascii="Times New Roman" w:hAnsi="Times New Roman" w:cs="Times New Roman"/>
                <w:sz w:val="24"/>
                <w:szCs w:val="24"/>
                <w:vertAlign w:val="superscript"/>
              </w:rPr>
              <w:t>b</w:t>
            </w:r>
          </w:p>
        </w:tc>
        <w:tc>
          <w:tcPr>
            <w:tcW w:w="1558" w:type="dxa"/>
            <w:tcBorders>
              <w:top w:val="nil"/>
              <w:left w:val="nil"/>
              <w:right w:val="nil"/>
            </w:tcBorders>
          </w:tcPr>
          <w:p w14:paraId="0E2FE6C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2.04±0.01</w:t>
            </w:r>
            <w:r>
              <w:rPr>
                <w:rFonts w:ascii="Times New Roman" w:hAnsi="Times New Roman" w:cs="Times New Roman"/>
                <w:sz w:val="24"/>
                <w:szCs w:val="24"/>
                <w:vertAlign w:val="superscript"/>
              </w:rPr>
              <w:t>b</w:t>
            </w:r>
          </w:p>
        </w:tc>
        <w:tc>
          <w:tcPr>
            <w:tcW w:w="1558" w:type="dxa"/>
            <w:tcBorders>
              <w:top w:val="nil"/>
              <w:left w:val="nil"/>
              <w:right w:val="nil"/>
            </w:tcBorders>
          </w:tcPr>
          <w:p w14:paraId="5EB5147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1.83±0.01</w:t>
            </w:r>
            <w:r>
              <w:rPr>
                <w:rFonts w:ascii="Times New Roman" w:hAnsi="Times New Roman" w:cs="Times New Roman"/>
                <w:sz w:val="24"/>
                <w:szCs w:val="24"/>
                <w:vertAlign w:val="superscript"/>
              </w:rPr>
              <w:t>b</w:t>
            </w:r>
          </w:p>
        </w:tc>
        <w:tc>
          <w:tcPr>
            <w:tcW w:w="1558" w:type="dxa"/>
            <w:tcBorders>
              <w:top w:val="nil"/>
              <w:left w:val="nil"/>
              <w:right w:val="nil"/>
            </w:tcBorders>
          </w:tcPr>
          <w:p w14:paraId="63DE341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1.07±0.02</w:t>
            </w:r>
            <w:r>
              <w:rPr>
                <w:rFonts w:ascii="Times New Roman" w:hAnsi="Times New Roman" w:cs="Times New Roman"/>
                <w:sz w:val="24"/>
                <w:szCs w:val="24"/>
                <w:vertAlign w:val="superscript"/>
              </w:rPr>
              <w:t>cd</w:t>
            </w:r>
          </w:p>
        </w:tc>
        <w:tc>
          <w:tcPr>
            <w:tcW w:w="1559" w:type="dxa"/>
            <w:tcBorders>
              <w:top w:val="nil"/>
              <w:left w:val="nil"/>
              <w:right w:val="nil"/>
            </w:tcBorders>
          </w:tcPr>
          <w:p w14:paraId="5E80B4D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0.11±0.00</w:t>
            </w:r>
            <w:r>
              <w:rPr>
                <w:rFonts w:ascii="Times New Roman" w:hAnsi="Times New Roman" w:cs="Times New Roman"/>
                <w:sz w:val="24"/>
                <w:szCs w:val="24"/>
                <w:vertAlign w:val="superscript"/>
              </w:rPr>
              <w:t>a</w:t>
            </w:r>
          </w:p>
        </w:tc>
        <w:tc>
          <w:tcPr>
            <w:tcW w:w="1559" w:type="dxa"/>
            <w:tcBorders>
              <w:top w:val="nil"/>
              <w:left w:val="nil"/>
              <w:right w:val="nil"/>
            </w:tcBorders>
          </w:tcPr>
          <w:p w14:paraId="0AA754B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0.66±0.01</w:t>
            </w:r>
            <w:r>
              <w:rPr>
                <w:rFonts w:ascii="Times New Roman" w:hAnsi="Times New Roman" w:cs="Times New Roman"/>
                <w:sz w:val="24"/>
                <w:szCs w:val="24"/>
                <w:vertAlign w:val="superscript"/>
              </w:rPr>
              <w:t>b</w:t>
            </w:r>
          </w:p>
        </w:tc>
      </w:tr>
    </w:tbl>
    <w:p w14:paraId="78E48ED2"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73480426"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 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Biofortifies</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2CD41B5E"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b/>
          <w:i/>
          <w:sz w:val="24"/>
          <w:szCs w:val="24"/>
        </w:rPr>
        <w:t>Anti-nutrients Contents of Pap Paste Samples</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Anti-nutrients decreased digestibility and palatability of nutrients by forming insoluble complexes. The Tannin, Oxalate, </w:t>
      </w:r>
      <w:proofErr w:type="spellStart"/>
      <w:r>
        <w:rPr>
          <w:rFonts w:ascii="Times New Roman" w:hAnsi="Times New Roman" w:cs="Times New Roman"/>
          <w:sz w:val="24"/>
          <w:szCs w:val="24"/>
        </w:rPr>
        <w:t>Phytate</w:t>
      </w:r>
      <w:proofErr w:type="spellEnd"/>
      <w:r>
        <w:rPr>
          <w:rFonts w:ascii="Times New Roman" w:hAnsi="Times New Roman" w:cs="Times New Roman"/>
          <w:sz w:val="24"/>
          <w:szCs w:val="24"/>
        </w:rPr>
        <w:t xml:space="preserve">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Oxalate contents were significant (p&lt;0.05), as samples E and C had highest and lowest values respectively, with all within safe limits. Tannin contents were significant (p&lt;.05), but with no particular order. Tannin contents of all samples except samples B, C and E were slightly high, compared to the lethal dose of 0.7–0.9 mg/100g (</w:t>
      </w:r>
      <w:hyperlink w:anchor="_ENREF_30" w:tooltip="Ilelaboye, 2013 #16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AuthorYear="1"&gt;&lt;Author&gt;Ilelaboye&lt;/Author&gt;&lt;Year&gt;2013&lt;/Year&gt;&lt;RecNum&gt;163&lt;/RecNum&gt;&lt;DisplayText&gt;Ilelaboye&lt;style face="italic"&gt; et al.&lt;/style&gt; (2013)&lt;/DisplayText&gt;&lt;record&gt;&lt;rec-number&gt;163&lt;/rec-number&gt;&lt;foreign-keys&gt;&lt;key app="EN" db-id="tz9rpzspgx2teie0pzs5w5a7v2exvttzvvdr"&gt;163&lt;/key&gt;&lt;/foreign-keys&gt;&lt;ref-type name="Journal Article"&gt;17&lt;/ref-type&gt;&lt;contributors&gt;&lt;authors&gt;&lt;author&gt;Ilelaboye, NOA&lt;/author&gt;&lt;author&gt;Amoo, IA&lt;/author&gt;&lt;author&gt;Pikuda, OO&lt;/author&gt;&lt;/authors&gt;&lt;/contributors&gt;&lt;titles&gt;&lt;title&gt;Effect of cooking methods on mineral and anti nutrient composition of some green leafy vegetables&lt;/title&gt;&lt;secondary-title&gt;Archives of Applied science research&lt;/secondary-title&gt;&lt;/titles&gt;&lt;periodical&gt;&lt;full-title&gt;Archives of Applied science research&lt;/full-title&gt;&lt;/periodical&gt;&lt;pages&gt;254-260&lt;/pages&gt;&lt;volume&gt;5&lt;/volume&gt;&lt;number&gt;3&lt;/number&gt;&lt;dates&gt;&lt;year&gt;2013&lt;/year&gt;&lt;/dates&gt;&lt;isbn&gt;0975-508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Ilelaboye</w:t>
        </w:r>
        <w:r>
          <w:rPr>
            <w:rFonts w:ascii="Times New Roman" w:hAnsi="Times New Roman" w:cs="Times New Roman"/>
            <w:i/>
            <w:sz w:val="24"/>
            <w:szCs w:val="24"/>
          </w:rPr>
          <w:t xml:space="preserve"> et al.,</w:t>
        </w:r>
        <w:r>
          <w:rPr>
            <w:rFonts w:ascii="Times New Roman" w:hAnsi="Times New Roman" w:cs="Times New Roman"/>
            <w:sz w:val="24"/>
            <w:szCs w:val="24"/>
          </w:rPr>
          <w:t xml:space="preserve"> 2013)</w:t>
        </w:r>
        <w:r>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proofErr w:type="spellStart"/>
      <w:r>
        <w:rPr>
          <w:rFonts w:ascii="Times New Roman" w:hAnsi="Times New Roman" w:cs="Times New Roman"/>
          <w:sz w:val="24"/>
          <w:szCs w:val="24"/>
        </w:rPr>
        <w:t>Phytate</w:t>
      </w:r>
      <w:proofErr w:type="spellEnd"/>
      <w:r>
        <w:rPr>
          <w:rFonts w:ascii="Times New Roman" w:hAnsi="Times New Roman" w:cs="Times New Roman"/>
          <w:sz w:val="24"/>
          <w:szCs w:val="24"/>
        </w:rPr>
        <w:t xml:space="preserve"> content except for samples B and E, were significant. It forms complexes with Fe, Zn,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and Mg, making them less available and inadequate in food, mostly for children. Values of 10–50 mg/100g may not affect negatively on Zn and Fe absorption (</w:t>
      </w:r>
      <w:proofErr w:type="spellStart"/>
      <w:r>
        <w:rPr>
          <w:rFonts w:ascii="Times New Roman" w:hAnsi="Times New Roman" w:cs="Times New Roman"/>
          <w:sz w:val="24"/>
          <w:szCs w:val="24"/>
        </w:rPr>
        <w:t>Ilelaboye</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2013), as different fermentation products values were from 0.60 to 0.93 mg/100g, and within safe consumption range. </w:t>
      </w:r>
    </w:p>
    <w:p w14:paraId="602ABED6" w14:textId="77777777" w:rsidR="00406B68" w:rsidRDefault="001162EA">
      <w:pPr>
        <w:spacing w:line="480" w:lineRule="auto"/>
        <w:jc w:val="both"/>
        <w:rPr>
          <w:rFonts w:ascii="Times New Roman" w:hAnsi="Times New Roman" w:cs="Times New Roman"/>
          <w:b/>
          <w:sz w:val="24"/>
          <w:szCs w:val="24"/>
        </w:rPr>
      </w:pPr>
      <w:r>
        <w:rPr>
          <w:rFonts w:ascii="Times New Roman" w:hAnsi="Times New Roman" w:cs="Times New Roman"/>
          <w:b/>
          <w:sz w:val="24"/>
          <w:szCs w:val="24"/>
        </w:rPr>
        <w:t>Table 7: Anti-nutrient contents of pap paste samples</w:t>
      </w:r>
    </w:p>
    <w:tbl>
      <w:tblPr>
        <w:tblStyle w:val="TableGrid"/>
        <w:tblpPr w:leftFromText="180" w:rightFromText="180" w:vertAnchor="text" w:horzAnchor="margin" w:tblpY="55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10"/>
        <w:gridCol w:w="1516"/>
        <w:gridCol w:w="2167"/>
        <w:gridCol w:w="2167"/>
      </w:tblGrid>
      <w:tr w:rsidR="00406B68" w14:paraId="455FCB28" w14:textId="77777777">
        <w:tc>
          <w:tcPr>
            <w:tcW w:w="1710" w:type="dxa"/>
            <w:tcBorders>
              <w:bottom w:val="single" w:sz="4" w:space="0" w:color="auto"/>
            </w:tcBorders>
          </w:tcPr>
          <w:p w14:paraId="62E801D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Samples</w:t>
            </w:r>
          </w:p>
        </w:tc>
        <w:tc>
          <w:tcPr>
            <w:tcW w:w="1516" w:type="dxa"/>
            <w:tcBorders>
              <w:bottom w:val="single" w:sz="4" w:space="0" w:color="auto"/>
            </w:tcBorders>
          </w:tcPr>
          <w:p w14:paraId="799B76B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Oxalate (mg/100g)</w:t>
            </w:r>
          </w:p>
        </w:tc>
        <w:tc>
          <w:tcPr>
            <w:tcW w:w="2167" w:type="dxa"/>
            <w:tcBorders>
              <w:bottom w:val="single" w:sz="4" w:space="0" w:color="auto"/>
            </w:tcBorders>
          </w:tcPr>
          <w:p w14:paraId="5C26FE22"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Tannin (mg/100g)</w:t>
            </w:r>
          </w:p>
        </w:tc>
        <w:tc>
          <w:tcPr>
            <w:tcW w:w="2167" w:type="dxa"/>
            <w:tcBorders>
              <w:bottom w:val="single" w:sz="4" w:space="0" w:color="auto"/>
            </w:tcBorders>
          </w:tcPr>
          <w:p w14:paraId="5EF057A9" w14:textId="77777777" w:rsidR="00406B68" w:rsidRDefault="001162EA">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Phytate</w:t>
            </w:r>
            <w:proofErr w:type="spellEnd"/>
            <w:r>
              <w:rPr>
                <w:rFonts w:ascii="Times New Roman" w:hAnsi="Times New Roman" w:cs="Times New Roman"/>
                <w:sz w:val="24"/>
                <w:szCs w:val="24"/>
              </w:rPr>
              <w:t xml:space="preserve"> (mg/100g)</w:t>
            </w:r>
          </w:p>
        </w:tc>
      </w:tr>
      <w:tr w:rsidR="00406B68" w14:paraId="4A7095E7" w14:textId="77777777">
        <w:tc>
          <w:tcPr>
            <w:tcW w:w="1710" w:type="dxa"/>
            <w:tcBorders>
              <w:bottom w:val="nil"/>
            </w:tcBorders>
          </w:tcPr>
          <w:p w14:paraId="0701926E"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1516" w:type="dxa"/>
            <w:tcBorders>
              <w:bottom w:val="nil"/>
            </w:tcBorders>
          </w:tcPr>
          <w:p w14:paraId="625B31B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13.13±0.74</w:t>
            </w:r>
            <w:r>
              <w:rPr>
                <w:rFonts w:ascii="Times New Roman" w:hAnsi="Times New Roman" w:cs="Times New Roman"/>
                <w:sz w:val="24"/>
                <w:szCs w:val="24"/>
                <w:vertAlign w:val="superscript"/>
              </w:rPr>
              <w:t>b</w:t>
            </w:r>
          </w:p>
        </w:tc>
        <w:tc>
          <w:tcPr>
            <w:tcW w:w="2167" w:type="dxa"/>
            <w:tcBorders>
              <w:bottom w:val="nil"/>
            </w:tcBorders>
          </w:tcPr>
          <w:p w14:paraId="5F8F3CA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0.78 ±0.01</w:t>
            </w:r>
            <w:r>
              <w:rPr>
                <w:rFonts w:ascii="Times New Roman" w:hAnsi="Times New Roman" w:cs="Times New Roman"/>
                <w:sz w:val="24"/>
                <w:szCs w:val="24"/>
                <w:vertAlign w:val="superscript"/>
              </w:rPr>
              <w:t>c</w:t>
            </w:r>
          </w:p>
        </w:tc>
        <w:tc>
          <w:tcPr>
            <w:tcW w:w="2167" w:type="dxa"/>
            <w:tcBorders>
              <w:bottom w:val="nil"/>
            </w:tcBorders>
          </w:tcPr>
          <w:p w14:paraId="1517BB1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0.60±0.03</w:t>
            </w:r>
            <w:r>
              <w:rPr>
                <w:rFonts w:ascii="Times New Roman" w:hAnsi="Times New Roman" w:cs="Times New Roman"/>
                <w:sz w:val="24"/>
                <w:szCs w:val="24"/>
                <w:vertAlign w:val="superscript"/>
              </w:rPr>
              <w:t>c</w:t>
            </w:r>
          </w:p>
        </w:tc>
      </w:tr>
      <w:tr w:rsidR="00406B68" w14:paraId="7C6FEEC2" w14:textId="77777777">
        <w:tc>
          <w:tcPr>
            <w:tcW w:w="1710" w:type="dxa"/>
            <w:tcBorders>
              <w:top w:val="nil"/>
              <w:bottom w:val="nil"/>
            </w:tcBorders>
          </w:tcPr>
          <w:p w14:paraId="5C339C2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1516" w:type="dxa"/>
            <w:tcBorders>
              <w:top w:val="nil"/>
              <w:bottom w:val="nil"/>
            </w:tcBorders>
          </w:tcPr>
          <w:p w14:paraId="42F9765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12.81±0.30</w:t>
            </w:r>
            <w:r>
              <w:rPr>
                <w:rFonts w:ascii="Times New Roman" w:hAnsi="Times New Roman" w:cs="Times New Roman"/>
                <w:sz w:val="24"/>
                <w:szCs w:val="24"/>
                <w:vertAlign w:val="superscript"/>
              </w:rPr>
              <w:t>b</w:t>
            </w:r>
          </w:p>
        </w:tc>
        <w:tc>
          <w:tcPr>
            <w:tcW w:w="2167" w:type="dxa"/>
            <w:tcBorders>
              <w:top w:val="nil"/>
              <w:bottom w:val="nil"/>
            </w:tcBorders>
          </w:tcPr>
          <w:p w14:paraId="773D544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0.96±0.01</w:t>
            </w:r>
            <w:r>
              <w:rPr>
                <w:rFonts w:ascii="Times New Roman" w:hAnsi="Times New Roman" w:cs="Times New Roman"/>
                <w:sz w:val="24"/>
                <w:szCs w:val="24"/>
                <w:vertAlign w:val="superscript"/>
              </w:rPr>
              <w:t>b</w:t>
            </w:r>
          </w:p>
        </w:tc>
        <w:tc>
          <w:tcPr>
            <w:tcW w:w="2167" w:type="dxa"/>
            <w:tcBorders>
              <w:top w:val="nil"/>
              <w:bottom w:val="nil"/>
            </w:tcBorders>
          </w:tcPr>
          <w:p w14:paraId="06D6E08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0.87±0.00</w:t>
            </w:r>
            <w:r>
              <w:rPr>
                <w:rFonts w:ascii="Times New Roman" w:hAnsi="Times New Roman" w:cs="Times New Roman"/>
                <w:sz w:val="24"/>
                <w:szCs w:val="24"/>
                <w:vertAlign w:val="superscript"/>
              </w:rPr>
              <w:t>a</w:t>
            </w:r>
          </w:p>
        </w:tc>
      </w:tr>
      <w:tr w:rsidR="00406B68" w14:paraId="2E28B9BF" w14:textId="77777777">
        <w:tc>
          <w:tcPr>
            <w:tcW w:w="1710" w:type="dxa"/>
            <w:tcBorders>
              <w:top w:val="nil"/>
              <w:bottom w:val="nil"/>
            </w:tcBorders>
          </w:tcPr>
          <w:p w14:paraId="6D277B4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p>
        </w:tc>
        <w:tc>
          <w:tcPr>
            <w:tcW w:w="1516" w:type="dxa"/>
            <w:tcBorders>
              <w:top w:val="nil"/>
              <w:bottom w:val="nil"/>
            </w:tcBorders>
          </w:tcPr>
          <w:p w14:paraId="1EB0C40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4.73±0.74</w:t>
            </w:r>
            <w:r>
              <w:rPr>
                <w:rFonts w:ascii="Times New Roman" w:hAnsi="Times New Roman" w:cs="Times New Roman"/>
                <w:sz w:val="24"/>
                <w:szCs w:val="24"/>
                <w:vertAlign w:val="superscript"/>
              </w:rPr>
              <w:t>e</w:t>
            </w:r>
          </w:p>
        </w:tc>
        <w:tc>
          <w:tcPr>
            <w:tcW w:w="2167" w:type="dxa"/>
            <w:tcBorders>
              <w:top w:val="nil"/>
              <w:bottom w:val="nil"/>
            </w:tcBorders>
          </w:tcPr>
          <w:p w14:paraId="7E5D492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0.93±0.01</w:t>
            </w:r>
            <w:r>
              <w:rPr>
                <w:rFonts w:ascii="Times New Roman" w:hAnsi="Times New Roman" w:cs="Times New Roman"/>
                <w:sz w:val="24"/>
                <w:szCs w:val="24"/>
                <w:vertAlign w:val="superscript"/>
              </w:rPr>
              <w:t>b</w:t>
            </w:r>
          </w:p>
        </w:tc>
        <w:tc>
          <w:tcPr>
            <w:tcW w:w="2167" w:type="dxa"/>
            <w:tcBorders>
              <w:top w:val="nil"/>
              <w:bottom w:val="nil"/>
            </w:tcBorders>
          </w:tcPr>
          <w:p w14:paraId="5BCBA29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0.79±0.00</w:t>
            </w:r>
            <w:r>
              <w:rPr>
                <w:rFonts w:ascii="Times New Roman" w:hAnsi="Times New Roman" w:cs="Times New Roman"/>
                <w:sz w:val="24"/>
                <w:szCs w:val="24"/>
                <w:vertAlign w:val="superscript"/>
              </w:rPr>
              <w:t>b</w:t>
            </w:r>
          </w:p>
        </w:tc>
      </w:tr>
      <w:tr w:rsidR="00406B68" w14:paraId="4B02E509" w14:textId="77777777">
        <w:tc>
          <w:tcPr>
            <w:tcW w:w="1710" w:type="dxa"/>
            <w:tcBorders>
              <w:top w:val="nil"/>
              <w:bottom w:val="nil"/>
            </w:tcBorders>
          </w:tcPr>
          <w:p w14:paraId="6B6A8DC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1516" w:type="dxa"/>
            <w:tcBorders>
              <w:top w:val="nil"/>
              <w:bottom w:val="nil"/>
            </w:tcBorders>
          </w:tcPr>
          <w:p w14:paraId="71CE10B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14.18±0.74</w:t>
            </w:r>
            <w:r>
              <w:rPr>
                <w:rFonts w:ascii="Times New Roman" w:hAnsi="Times New Roman" w:cs="Times New Roman"/>
                <w:sz w:val="24"/>
                <w:szCs w:val="24"/>
                <w:vertAlign w:val="superscript"/>
              </w:rPr>
              <w:t>a</w:t>
            </w:r>
          </w:p>
        </w:tc>
        <w:tc>
          <w:tcPr>
            <w:tcW w:w="2167" w:type="dxa"/>
            <w:tcBorders>
              <w:top w:val="nil"/>
              <w:bottom w:val="nil"/>
            </w:tcBorders>
          </w:tcPr>
          <w:p w14:paraId="09650FD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0.78±0.03</w:t>
            </w:r>
            <w:r>
              <w:rPr>
                <w:rFonts w:ascii="Times New Roman" w:hAnsi="Times New Roman" w:cs="Times New Roman"/>
                <w:sz w:val="24"/>
                <w:szCs w:val="24"/>
                <w:vertAlign w:val="superscript"/>
              </w:rPr>
              <w:t>c</w:t>
            </w:r>
          </w:p>
        </w:tc>
        <w:tc>
          <w:tcPr>
            <w:tcW w:w="2167" w:type="dxa"/>
            <w:tcBorders>
              <w:top w:val="nil"/>
              <w:bottom w:val="nil"/>
            </w:tcBorders>
          </w:tcPr>
          <w:p w14:paraId="051D2AE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0.86±0.02</w:t>
            </w:r>
            <w:r>
              <w:rPr>
                <w:rFonts w:ascii="Times New Roman" w:hAnsi="Times New Roman" w:cs="Times New Roman"/>
                <w:sz w:val="24"/>
                <w:szCs w:val="24"/>
                <w:vertAlign w:val="superscript"/>
              </w:rPr>
              <w:t>a</w:t>
            </w:r>
          </w:p>
        </w:tc>
      </w:tr>
      <w:tr w:rsidR="00406B68" w14:paraId="2A084A18" w14:textId="77777777">
        <w:tc>
          <w:tcPr>
            <w:tcW w:w="1710" w:type="dxa"/>
            <w:tcBorders>
              <w:top w:val="nil"/>
              <w:bottom w:val="nil"/>
            </w:tcBorders>
          </w:tcPr>
          <w:p w14:paraId="4919684E"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1516" w:type="dxa"/>
            <w:tcBorders>
              <w:top w:val="nil"/>
              <w:bottom w:val="nil"/>
            </w:tcBorders>
          </w:tcPr>
          <w:p w14:paraId="6EC3509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14.91 ±0.30</w:t>
            </w:r>
            <w:r>
              <w:rPr>
                <w:rFonts w:ascii="Times New Roman" w:hAnsi="Times New Roman" w:cs="Times New Roman"/>
                <w:sz w:val="24"/>
                <w:szCs w:val="24"/>
                <w:vertAlign w:val="superscript"/>
              </w:rPr>
              <w:t>a</w:t>
            </w:r>
          </w:p>
        </w:tc>
        <w:tc>
          <w:tcPr>
            <w:tcW w:w="2167" w:type="dxa"/>
            <w:tcBorders>
              <w:top w:val="nil"/>
              <w:bottom w:val="nil"/>
            </w:tcBorders>
          </w:tcPr>
          <w:p w14:paraId="55F7FCBC"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1.16±0.01</w:t>
            </w:r>
            <w:r>
              <w:rPr>
                <w:rFonts w:ascii="Times New Roman" w:hAnsi="Times New Roman" w:cs="Times New Roman"/>
                <w:sz w:val="24"/>
                <w:szCs w:val="24"/>
                <w:vertAlign w:val="superscript"/>
              </w:rPr>
              <w:t>a</w:t>
            </w:r>
          </w:p>
        </w:tc>
        <w:tc>
          <w:tcPr>
            <w:tcW w:w="2167" w:type="dxa"/>
            <w:tcBorders>
              <w:top w:val="nil"/>
              <w:bottom w:val="nil"/>
            </w:tcBorders>
          </w:tcPr>
          <w:p w14:paraId="25A79B9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0.71±0.03</w:t>
            </w:r>
            <w:r>
              <w:rPr>
                <w:rFonts w:ascii="Times New Roman" w:hAnsi="Times New Roman" w:cs="Times New Roman"/>
                <w:sz w:val="24"/>
                <w:szCs w:val="24"/>
                <w:vertAlign w:val="superscript"/>
              </w:rPr>
              <w:t>b</w:t>
            </w:r>
          </w:p>
        </w:tc>
      </w:tr>
      <w:tr w:rsidR="00406B68" w14:paraId="64525120" w14:textId="77777777">
        <w:tc>
          <w:tcPr>
            <w:tcW w:w="1710" w:type="dxa"/>
            <w:tcBorders>
              <w:top w:val="nil"/>
              <w:bottom w:val="nil"/>
            </w:tcBorders>
          </w:tcPr>
          <w:p w14:paraId="1B0F3F95"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1516" w:type="dxa"/>
            <w:tcBorders>
              <w:top w:val="nil"/>
              <w:bottom w:val="nil"/>
            </w:tcBorders>
          </w:tcPr>
          <w:p w14:paraId="3306E7D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8.40±0.00</w:t>
            </w:r>
            <w:r>
              <w:rPr>
                <w:rFonts w:ascii="Times New Roman" w:hAnsi="Times New Roman" w:cs="Times New Roman"/>
                <w:sz w:val="24"/>
                <w:szCs w:val="24"/>
                <w:vertAlign w:val="superscript"/>
              </w:rPr>
              <w:t>d</w:t>
            </w:r>
          </w:p>
        </w:tc>
        <w:tc>
          <w:tcPr>
            <w:tcW w:w="2167" w:type="dxa"/>
            <w:tcBorders>
              <w:top w:val="nil"/>
              <w:bottom w:val="nil"/>
            </w:tcBorders>
          </w:tcPr>
          <w:p w14:paraId="2AF8B2C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0.68±0.02</w:t>
            </w:r>
            <w:r>
              <w:rPr>
                <w:rFonts w:ascii="Times New Roman" w:hAnsi="Times New Roman" w:cs="Times New Roman"/>
                <w:sz w:val="24"/>
                <w:szCs w:val="24"/>
                <w:vertAlign w:val="superscript"/>
              </w:rPr>
              <w:t>d</w:t>
            </w:r>
          </w:p>
        </w:tc>
        <w:tc>
          <w:tcPr>
            <w:tcW w:w="2167" w:type="dxa"/>
            <w:tcBorders>
              <w:top w:val="nil"/>
              <w:bottom w:val="nil"/>
            </w:tcBorders>
          </w:tcPr>
          <w:p w14:paraId="21EEE19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0.65±0.00</w:t>
            </w:r>
            <w:r>
              <w:rPr>
                <w:rFonts w:ascii="Times New Roman" w:hAnsi="Times New Roman" w:cs="Times New Roman"/>
                <w:sz w:val="24"/>
                <w:szCs w:val="24"/>
                <w:vertAlign w:val="superscript"/>
              </w:rPr>
              <w:t>c</w:t>
            </w:r>
          </w:p>
        </w:tc>
      </w:tr>
      <w:tr w:rsidR="00406B68" w14:paraId="2ACCE163" w14:textId="77777777">
        <w:tc>
          <w:tcPr>
            <w:tcW w:w="1710" w:type="dxa"/>
            <w:tcBorders>
              <w:top w:val="nil"/>
            </w:tcBorders>
          </w:tcPr>
          <w:p w14:paraId="44FF139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1516" w:type="dxa"/>
            <w:tcBorders>
              <w:top w:val="nil"/>
            </w:tcBorders>
          </w:tcPr>
          <w:p w14:paraId="089F4EF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11.03±0.74</w:t>
            </w:r>
            <w:r>
              <w:rPr>
                <w:rFonts w:ascii="Times New Roman" w:hAnsi="Times New Roman" w:cs="Times New Roman"/>
                <w:sz w:val="24"/>
                <w:szCs w:val="24"/>
                <w:vertAlign w:val="superscript"/>
              </w:rPr>
              <w:t>c</w:t>
            </w:r>
          </w:p>
        </w:tc>
        <w:tc>
          <w:tcPr>
            <w:tcW w:w="2167" w:type="dxa"/>
            <w:tcBorders>
              <w:top w:val="nil"/>
            </w:tcBorders>
          </w:tcPr>
          <w:p w14:paraId="62A51BA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0.83±0.01</w:t>
            </w:r>
            <w:r>
              <w:rPr>
                <w:rFonts w:ascii="Times New Roman" w:hAnsi="Times New Roman" w:cs="Times New Roman"/>
                <w:sz w:val="24"/>
                <w:szCs w:val="24"/>
                <w:vertAlign w:val="superscript"/>
              </w:rPr>
              <w:t>c</w:t>
            </w:r>
          </w:p>
        </w:tc>
        <w:tc>
          <w:tcPr>
            <w:tcW w:w="2167" w:type="dxa"/>
            <w:tcBorders>
              <w:top w:val="nil"/>
            </w:tcBorders>
          </w:tcPr>
          <w:p w14:paraId="732342F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0.93±0.03</w:t>
            </w:r>
            <w:r>
              <w:rPr>
                <w:rFonts w:ascii="Times New Roman" w:hAnsi="Times New Roman" w:cs="Times New Roman"/>
                <w:sz w:val="24"/>
                <w:szCs w:val="24"/>
                <w:vertAlign w:val="superscript"/>
              </w:rPr>
              <w:t>a</w:t>
            </w:r>
          </w:p>
        </w:tc>
      </w:tr>
    </w:tbl>
    <w:p w14:paraId="10EF5CEC"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9CC87ED"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46875FCC"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5272E0A3"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1C20AAA7"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2C3F8F8D"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1D72E79F"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5C2C789B" w14:textId="77777777" w:rsidR="00406B68" w:rsidRDefault="00406B68">
      <w:pPr>
        <w:tabs>
          <w:tab w:val="left" w:pos="4770"/>
        </w:tabs>
        <w:autoSpaceDE w:val="0"/>
        <w:autoSpaceDN w:val="0"/>
        <w:adjustRightInd w:val="0"/>
        <w:spacing w:line="480" w:lineRule="auto"/>
        <w:jc w:val="both"/>
        <w:rPr>
          <w:rFonts w:ascii="Times New Roman" w:eastAsiaTheme="minorEastAsia" w:hAnsi="Times New Roman" w:cs="Times New Roman"/>
          <w:sz w:val="24"/>
          <w:szCs w:val="24"/>
        </w:rPr>
      </w:pPr>
    </w:p>
    <w:p w14:paraId="311BB4D7"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0EF5707A"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A=100%Biofortifiedmaize pap paste; B= 95% Bio-fortified maize, 5% Tamarind pap paste; C= 90% Bio-fortified maize, 10% Tamarind pap paste; D= 85% Bio-fortified maize, 15% Tamarind pap paste; E= 80% Bio-fortified maize, 20% Tamarind pap paste; F=75% Bio-fortified maize, 25%Tamarind pap paste; G=70% Bio-fortified maize, 30% Tamarind pap paste.</w:t>
      </w:r>
    </w:p>
    <w:p w14:paraId="78E8C006"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b/>
          <w:i/>
          <w:sz w:val="24"/>
          <w:szCs w:val="24"/>
        </w:rPr>
        <w:t>Swelling power of the Samples</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Swelling is a function of the ratio of amylose and amylopectin. Swelling power was significant; the control and sample B were similar, but with highest value, while sample G, the least. This inferred that swelling power decreased with increasing quantities of tamarind pulp. </w:t>
      </w:r>
    </w:p>
    <w:p w14:paraId="141B9FDE" w14:textId="77777777" w:rsidR="00406B68" w:rsidRDefault="001162E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Table 8: Swelling power of Pap Paste Samples </w:t>
      </w:r>
    </w:p>
    <w:tbl>
      <w:tblPr>
        <w:tblStyle w:val="TableGrid"/>
        <w:tblW w:w="7012" w:type="dxa"/>
        <w:tblBorders>
          <w:left w:val="none" w:sz="0" w:space="0" w:color="auto"/>
          <w:right w:val="none" w:sz="0" w:space="0" w:color="auto"/>
          <w:insideV w:val="none" w:sz="0" w:space="0" w:color="auto"/>
        </w:tblBorders>
        <w:tblLook w:val="04A0" w:firstRow="1" w:lastRow="0" w:firstColumn="1" w:lastColumn="0" w:noHBand="0" w:noVBand="1"/>
      </w:tblPr>
      <w:tblGrid>
        <w:gridCol w:w="2337"/>
        <w:gridCol w:w="2337"/>
        <w:gridCol w:w="2338"/>
      </w:tblGrid>
      <w:tr w:rsidR="00406B68" w14:paraId="176F789C" w14:textId="77777777">
        <w:tc>
          <w:tcPr>
            <w:tcW w:w="2337" w:type="dxa"/>
          </w:tcPr>
          <w:p w14:paraId="02D0BA8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Samples </w:t>
            </w:r>
          </w:p>
        </w:tc>
        <w:tc>
          <w:tcPr>
            <w:tcW w:w="2337" w:type="dxa"/>
          </w:tcPr>
          <w:p w14:paraId="1C908D55"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Swelling power (%)</w:t>
            </w:r>
          </w:p>
        </w:tc>
        <w:tc>
          <w:tcPr>
            <w:tcW w:w="2338" w:type="dxa"/>
          </w:tcPr>
          <w:p w14:paraId="708AC9E0"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Swelling power (g/ml)</w:t>
            </w:r>
          </w:p>
        </w:tc>
      </w:tr>
      <w:tr w:rsidR="00406B68" w14:paraId="4C7F9621" w14:textId="77777777">
        <w:tc>
          <w:tcPr>
            <w:tcW w:w="2337" w:type="dxa"/>
            <w:tcBorders>
              <w:bottom w:val="nil"/>
            </w:tcBorders>
          </w:tcPr>
          <w:p w14:paraId="2A72B13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2337" w:type="dxa"/>
            <w:tcBorders>
              <w:bottom w:val="nil"/>
            </w:tcBorders>
          </w:tcPr>
          <w:p w14:paraId="0D0676B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3.07±0.00</w:t>
            </w:r>
            <w:r>
              <w:rPr>
                <w:rFonts w:ascii="Times New Roman" w:hAnsi="Times New Roman" w:cs="Times New Roman"/>
                <w:sz w:val="24"/>
                <w:szCs w:val="24"/>
                <w:vertAlign w:val="superscript"/>
              </w:rPr>
              <w:t>a</w:t>
            </w:r>
          </w:p>
        </w:tc>
        <w:tc>
          <w:tcPr>
            <w:tcW w:w="2338" w:type="dxa"/>
            <w:tcBorders>
              <w:bottom w:val="nil"/>
            </w:tcBorders>
          </w:tcPr>
          <w:p w14:paraId="4C03E54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307.39±0.03</w:t>
            </w:r>
            <w:r>
              <w:rPr>
                <w:rFonts w:ascii="Times New Roman" w:hAnsi="Times New Roman" w:cs="Times New Roman"/>
                <w:sz w:val="24"/>
                <w:szCs w:val="24"/>
                <w:vertAlign w:val="superscript"/>
              </w:rPr>
              <w:t>a</w:t>
            </w:r>
          </w:p>
        </w:tc>
      </w:tr>
      <w:tr w:rsidR="00406B68" w14:paraId="51A1F54B" w14:textId="77777777">
        <w:tc>
          <w:tcPr>
            <w:tcW w:w="2337" w:type="dxa"/>
            <w:tcBorders>
              <w:top w:val="nil"/>
              <w:bottom w:val="nil"/>
            </w:tcBorders>
          </w:tcPr>
          <w:p w14:paraId="55AF58D0"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2337" w:type="dxa"/>
            <w:tcBorders>
              <w:top w:val="nil"/>
              <w:bottom w:val="nil"/>
            </w:tcBorders>
          </w:tcPr>
          <w:p w14:paraId="42EF01D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3.01±0.01</w:t>
            </w:r>
            <w:r>
              <w:rPr>
                <w:rFonts w:ascii="Times New Roman" w:hAnsi="Times New Roman" w:cs="Times New Roman"/>
                <w:sz w:val="24"/>
                <w:szCs w:val="24"/>
                <w:vertAlign w:val="superscript"/>
              </w:rPr>
              <w:t>a</w:t>
            </w:r>
          </w:p>
        </w:tc>
        <w:tc>
          <w:tcPr>
            <w:tcW w:w="2338" w:type="dxa"/>
            <w:tcBorders>
              <w:top w:val="nil"/>
              <w:bottom w:val="nil"/>
            </w:tcBorders>
          </w:tcPr>
          <w:p w14:paraId="6625C27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301.40±0.09</w:t>
            </w:r>
            <w:r>
              <w:rPr>
                <w:rFonts w:ascii="Times New Roman" w:hAnsi="Times New Roman" w:cs="Times New Roman"/>
                <w:sz w:val="24"/>
                <w:szCs w:val="24"/>
                <w:vertAlign w:val="superscript"/>
              </w:rPr>
              <w:t>a</w:t>
            </w:r>
          </w:p>
        </w:tc>
      </w:tr>
      <w:tr w:rsidR="00406B68" w14:paraId="7B58C07D" w14:textId="77777777">
        <w:tc>
          <w:tcPr>
            <w:tcW w:w="2337" w:type="dxa"/>
            <w:tcBorders>
              <w:top w:val="nil"/>
              <w:bottom w:val="nil"/>
            </w:tcBorders>
          </w:tcPr>
          <w:p w14:paraId="4D4C2293"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2337" w:type="dxa"/>
            <w:tcBorders>
              <w:top w:val="nil"/>
              <w:bottom w:val="nil"/>
            </w:tcBorders>
          </w:tcPr>
          <w:p w14:paraId="7CD7438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2.75±0.00</w:t>
            </w:r>
            <w:r>
              <w:rPr>
                <w:rFonts w:ascii="Times New Roman" w:hAnsi="Times New Roman" w:cs="Times New Roman"/>
                <w:sz w:val="24"/>
                <w:szCs w:val="24"/>
                <w:vertAlign w:val="superscript"/>
              </w:rPr>
              <w:t>b</w:t>
            </w:r>
          </w:p>
        </w:tc>
        <w:tc>
          <w:tcPr>
            <w:tcW w:w="2338" w:type="dxa"/>
            <w:tcBorders>
              <w:top w:val="nil"/>
              <w:bottom w:val="nil"/>
            </w:tcBorders>
          </w:tcPr>
          <w:p w14:paraId="69479CD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275.17±0.03</w:t>
            </w:r>
            <w:r>
              <w:rPr>
                <w:rFonts w:ascii="Times New Roman" w:hAnsi="Times New Roman" w:cs="Times New Roman"/>
                <w:sz w:val="24"/>
                <w:szCs w:val="24"/>
                <w:vertAlign w:val="superscript"/>
              </w:rPr>
              <w:t>b</w:t>
            </w:r>
          </w:p>
        </w:tc>
      </w:tr>
      <w:tr w:rsidR="00406B68" w14:paraId="50D059D0" w14:textId="77777777">
        <w:tc>
          <w:tcPr>
            <w:tcW w:w="2337" w:type="dxa"/>
            <w:tcBorders>
              <w:top w:val="nil"/>
              <w:bottom w:val="nil"/>
            </w:tcBorders>
          </w:tcPr>
          <w:p w14:paraId="16DD7A3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2337" w:type="dxa"/>
            <w:tcBorders>
              <w:top w:val="nil"/>
              <w:bottom w:val="nil"/>
            </w:tcBorders>
          </w:tcPr>
          <w:p w14:paraId="49A56A2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2.68±0.00</w:t>
            </w:r>
            <w:r>
              <w:rPr>
                <w:rFonts w:ascii="Times New Roman" w:hAnsi="Times New Roman" w:cs="Times New Roman"/>
                <w:sz w:val="24"/>
                <w:szCs w:val="24"/>
                <w:vertAlign w:val="superscript"/>
              </w:rPr>
              <w:t>b</w:t>
            </w:r>
          </w:p>
        </w:tc>
        <w:tc>
          <w:tcPr>
            <w:tcW w:w="2338" w:type="dxa"/>
            <w:tcBorders>
              <w:top w:val="nil"/>
              <w:bottom w:val="nil"/>
            </w:tcBorders>
          </w:tcPr>
          <w:p w14:paraId="69E6A83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267.84±0.01</w:t>
            </w:r>
            <w:r>
              <w:rPr>
                <w:rFonts w:ascii="Times New Roman" w:hAnsi="Times New Roman" w:cs="Times New Roman"/>
                <w:sz w:val="24"/>
                <w:szCs w:val="24"/>
                <w:vertAlign w:val="superscript"/>
              </w:rPr>
              <w:t>b</w:t>
            </w:r>
          </w:p>
        </w:tc>
      </w:tr>
      <w:tr w:rsidR="00406B68" w14:paraId="7496EEBE" w14:textId="77777777">
        <w:tc>
          <w:tcPr>
            <w:tcW w:w="2337" w:type="dxa"/>
            <w:tcBorders>
              <w:top w:val="nil"/>
              <w:bottom w:val="nil"/>
            </w:tcBorders>
          </w:tcPr>
          <w:p w14:paraId="641268D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w:t>
            </w:r>
          </w:p>
        </w:tc>
        <w:tc>
          <w:tcPr>
            <w:tcW w:w="2337" w:type="dxa"/>
            <w:tcBorders>
              <w:top w:val="nil"/>
              <w:bottom w:val="nil"/>
            </w:tcBorders>
          </w:tcPr>
          <w:p w14:paraId="314DBA2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2.65±0.00</w:t>
            </w:r>
            <w:r>
              <w:rPr>
                <w:rFonts w:ascii="Times New Roman" w:hAnsi="Times New Roman" w:cs="Times New Roman"/>
                <w:sz w:val="24"/>
                <w:szCs w:val="24"/>
                <w:vertAlign w:val="superscript"/>
              </w:rPr>
              <w:t>c</w:t>
            </w:r>
          </w:p>
        </w:tc>
        <w:tc>
          <w:tcPr>
            <w:tcW w:w="2338" w:type="dxa"/>
            <w:tcBorders>
              <w:top w:val="nil"/>
              <w:bottom w:val="nil"/>
            </w:tcBorders>
          </w:tcPr>
          <w:p w14:paraId="0DEA67A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265.05±0.03</w:t>
            </w:r>
            <w:r>
              <w:rPr>
                <w:rFonts w:ascii="Times New Roman" w:hAnsi="Times New Roman" w:cs="Times New Roman"/>
                <w:sz w:val="24"/>
                <w:szCs w:val="24"/>
                <w:vertAlign w:val="superscript"/>
              </w:rPr>
              <w:t>c</w:t>
            </w:r>
          </w:p>
        </w:tc>
      </w:tr>
      <w:tr w:rsidR="00406B68" w14:paraId="02A8BF05" w14:textId="77777777">
        <w:tc>
          <w:tcPr>
            <w:tcW w:w="2337" w:type="dxa"/>
            <w:tcBorders>
              <w:top w:val="nil"/>
              <w:bottom w:val="nil"/>
            </w:tcBorders>
          </w:tcPr>
          <w:p w14:paraId="5D51EC0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2337" w:type="dxa"/>
            <w:tcBorders>
              <w:top w:val="nil"/>
              <w:bottom w:val="nil"/>
            </w:tcBorders>
          </w:tcPr>
          <w:p w14:paraId="2AD7BB4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2.42±0.00</w:t>
            </w:r>
            <w:r>
              <w:rPr>
                <w:rFonts w:ascii="Times New Roman" w:hAnsi="Times New Roman" w:cs="Times New Roman"/>
                <w:sz w:val="24"/>
                <w:szCs w:val="24"/>
                <w:vertAlign w:val="superscript"/>
              </w:rPr>
              <w:t>d</w:t>
            </w:r>
          </w:p>
        </w:tc>
        <w:tc>
          <w:tcPr>
            <w:tcW w:w="2338" w:type="dxa"/>
            <w:tcBorders>
              <w:top w:val="nil"/>
              <w:bottom w:val="nil"/>
            </w:tcBorders>
          </w:tcPr>
          <w:p w14:paraId="31396A1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241.50±0.01</w:t>
            </w:r>
            <w:r>
              <w:rPr>
                <w:rFonts w:ascii="Times New Roman" w:hAnsi="Times New Roman" w:cs="Times New Roman"/>
                <w:sz w:val="24"/>
                <w:szCs w:val="24"/>
                <w:vertAlign w:val="superscript"/>
              </w:rPr>
              <w:t>d</w:t>
            </w:r>
          </w:p>
        </w:tc>
      </w:tr>
      <w:tr w:rsidR="00406B68" w14:paraId="194C1FC5" w14:textId="77777777">
        <w:tc>
          <w:tcPr>
            <w:tcW w:w="2337" w:type="dxa"/>
            <w:tcBorders>
              <w:top w:val="nil"/>
            </w:tcBorders>
          </w:tcPr>
          <w:p w14:paraId="1EB4C62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2337" w:type="dxa"/>
            <w:tcBorders>
              <w:top w:val="nil"/>
            </w:tcBorders>
          </w:tcPr>
          <w:p w14:paraId="1823C8B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2.17±0.00</w:t>
            </w:r>
            <w:r>
              <w:rPr>
                <w:rFonts w:ascii="Times New Roman" w:hAnsi="Times New Roman" w:cs="Times New Roman"/>
                <w:sz w:val="24"/>
                <w:szCs w:val="24"/>
                <w:vertAlign w:val="superscript"/>
              </w:rPr>
              <w:t>e</w:t>
            </w:r>
          </w:p>
        </w:tc>
        <w:tc>
          <w:tcPr>
            <w:tcW w:w="2338" w:type="dxa"/>
            <w:tcBorders>
              <w:top w:val="nil"/>
            </w:tcBorders>
          </w:tcPr>
          <w:p w14:paraId="2FD8554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217.38±0.02</w:t>
            </w:r>
            <w:r>
              <w:rPr>
                <w:rFonts w:ascii="Times New Roman" w:hAnsi="Times New Roman" w:cs="Times New Roman"/>
                <w:sz w:val="24"/>
                <w:szCs w:val="24"/>
                <w:vertAlign w:val="superscript"/>
              </w:rPr>
              <w:t>e</w:t>
            </w:r>
          </w:p>
        </w:tc>
      </w:tr>
    </w:tbl>
    <w:p w14:paraId="186B8B08"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70C169CD"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 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4704CAA5" w14:textId="20C208EC" w:rsidR="00406B68" w:rsidRDefault="001162EA">
      <w:pPr>
        <w:spacing w:line="480" w:lineRule="auto"/>
        <w:jc w:val="both"/>
        <w:rPr>
          <w:rFonts w:ascii="Times New Roman" w:hAnsi="Times New Roman" w:cs="Times New Roman"/>
          <w:sz w:val="24"/>
          <w:szCs w:val="24"/>
        </w:rPr>
      </w:pPr>
      <w:r>
        <w:rPr>
          <w:rFonts w:ascii="Times New Roman" w:hAnsi="Times New Roman" w:cs="Times New Roman"/>
          <w:b/>
          <w:i/>
          <w:sz w:val="24"/>
          <w:szCs w:val="24"/>
        </w:rPr>
        <w:t>Sensory Attributes of the Samples</w:t>
      </w:r>
      <w:r>
        <w:rPr>
          <w:rFonts w:ascii="Times New Roman" w:hAnsi="Times New Roman" w:cs="Times New Roman"/>
          <w:i/>
          <w:sz w:val="24"/>
          <w:szCs w:val="24"/>
        </w:rPr>
        <w:t xml:space="preserve">: </w:t>
      </w:r>
      <w:r>
        <w:rPr>
          <w:rFonts w:ascii="Times New Roman" w:hAnsi="Times New Roman" w:cs="Times New Roman"/>
          <w:sz w:val="24"/>
          <w:szCs w:val="24"/>
        </w:rPr>
        <w:t xml:space="preserve">Sensory scores are shown in Table 9, and were significant. Although all samples were accepted, sample G was however, most preferred. For appearance, sample G was better preferred, perhaps due to combined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of reddish brown (tamarind) and yellow (maize) giving a slightly deep yet bright appearance. The taste was due to the </w:t>
      </w:r>
      <w:proofErr w:type="spellStart"/>
      <w:r>
        <w:rPr>
          <w:rFonts w:ascii="Times New Roman" w:hAnsi="Times New Roman" w:cs="Times New Roman"/>
          <w:sz w:val="24"/>
          <w:szCs w:val="24"/>
        </w:rPr>
        <w:t>titratable</w:t>
      </w:r>
      <w:proofErr w:type="spellEnd"/>
      <w:r>
        <w:rPr>
          <w:rFonts w:ascii="Times New Roman" w:hAnsi="Times New Roman" w:cs="Times New Roman"/>
          <w:sz w:val="24"/>
          <w:szCs w:val="24"/>
        </w:rPr>
        <w:t xml:space="preserve"> acidity</w:t>
      </w:r>
      <w:r w:rsidR="0047635F">
        <w:rPr>
          <w:rFonts w:ascii="Times New Roman" w:hAnsi="Times New Roman" w:cs="Times New Roman"/>
          <w:sz w:val="24"/>
          <w:szCs w:val="24"/>
        </w:rPr>
        <w:t xml:space="preserve"> according to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&lt;EndNote&gt;&lt;Cite&gt;&lt;Author&gt;Banigo&lt;/Author&gt;&lt;Year&gt;1972&lt;/Year&gt;&lt;RecNum&gt;108&lt;/RecNum&gt;&lt;DisplayText&gt;(Banigo and Muller, 1972)&lt;/DisplayText&gt;&lt;record&gt;&lt;rec-number&gt;108&lt;/rec-number&gt;&lt;foreign-keys&gt;&lt;key app="EN" db-id="tz9rpzspgx2teie0pzs5w5a7v2exvttzvvdr"&gt;108&lt;/key&gt;&lt;/foreign-keys&gt;&lt;ref-type name="Journal Article"&gt;17&lt;/ref-type&gt;&lt;contributors&gt;&lt;authors&gt;&lt;author&gt;Banigo, EOI&lt;/author&gt;&lt;author&gt;Muller, HG&lt;/author&gt;&lt;/authors&gt;&lt;/contributors&gt;&lt;titles&gt;&lt;title&gt;Carboxylic acid patterns in ogi fermentation&lt;/title&gt;&lt;secondary-title&gt;Journal of the Science of Food and Agriculture&lt;/secondary-title&gt;&lt;/titles&gt;&lt;periodical&gt;&lt;full-title&gt;Journal of the Science of Food and Agriculture&lt;/full-title&gt;&lt;/periodical&gt;&lt;pages&gt;101-111&lt;/pages&gt;&lt;volume&gt;23&lt;/volume&gt;&lt;number&gt;1&lt;/number&gt;&lt;dates&gt;&lt;year&gt;1972&lt;/year&gt;&lt;/dates&gt;&lt;isbn&gt;0022-5142&lt;/isbn&gt;&lt;urls&gt;&lt;/urls&gt;&lt;/record&gt;&lt;/Cite&gt;&lt;/EndNote&gt;</w:instrText>
      </w:r>
      <w:r>
        <w:rPr>
          <w:rFonts w:ascii="Times New Roman" w:hAnsi="Times New Roman" w:cs="Times New Roman"/>
          <w:sz w:val="24"/>
          <w:szCs w:val="24"/>
        </w:rPr>
        <w:fldChar w:fldCharType="separate"/>
      </w:r>
      <w:hyperlink w:anchor="_ENREF_42" w:tooltip="Odugbemi, 1991 #105" w:history="1">
        <w:r w:rsidR="0047635F">
          <w:rPr>
            <w:rFonts w:ascii="Times New Roman" w:hAnsi="Times New Roman" w:cs="Times New Roman"/>
            <w:sz w:val="24"/>
            <w:szCs w:val="24"/>
          </w:rPr>
          <w:fldChar w:fldCharType="begin"/>
        </w:r>
        <w:r w:rsidR="0047635F">
          <w:rPr>
            <w:rFonts w:ascii="Times New Roman" w:hAnsi="Times New Roman" w:cs="Times New Roman"/>
            <w:sz w:val="24"/>
            <w:szCs w:val="24"/>
          </w:rPr>
          <w:instrText xml:space="preserve"> ADDIN EN.CITE &lt;EndNote&gt;&lt;Cite AuthorYear="1"&gt;&lt;Author&gt;Odugbemi&lt;/Author&gt;&lt;Year&gt;1991&lt;/Year&gt;&lt;RecNum&gt;105&lt;/RecNum&gt;&lt;DisplayText&gt;Odugbemi&lt;style face="italic"&gt; et al.&lt;/style&gt; (1991)&lt;/DisplayText&gt;&lt;record&gt;&lt;rec-number&gt;105&lt;/rec-number&gt;&lt;foreign-keys&gt;&lt;key app="EN" db-id="tz9rpzspgx2teie0pzs5w5a7v2exvttzvvdr"&gt;105&lt;/key&gt;&lt;/foreign-keys&gt;&lt;ref-type name="Journal Article"&gt;17&lt;/ref-type&gt;&lt;contributors&gt;&lt;authors&gt;&lt;author&gt;Odugbemi, T&lt;/author&gt;&lt;author&gt;Odujinrin, OM&lt;/author&gt;&lt;author&gt;Akitoye, CO&lt;/author&gt;&lt;author&gt;Oyerinde, JP&lt;/author&gt;&lt;author&gt;Esumeh, FI&lt;/author&gt;&lt;/authors&gt;&lt;/contributors&gt;&lt;titles&gt;&lt;title&gt;Study on the pH of ogi, Nigerian fermented weaning food, and its effect on enteropathogenic Escherichia coli, Salmonella typhi and Salmonella paratyphi&lt;/title&gt;&lt;secondary-title&gt;The Journal of tropical medicine and hygiene&lt;/secondary-title&gt;&lt;/titles&gt;&lt;periodical&gt;&lt;full-title&gt;The Journal of tropical medicine and hygiene&lt;/full-title&gt;&lt;/periodical&gt;&lt;pages&gt;219-223&lt;/pages&gt;&lt;volume&gt;94&lt;/volume&gt;&lt;number&gt;4&lt;/number&gt;&lt;dates&gt;&lt;year&gt;1991&lt;/year&gt;&lt;/dates&gt;&lt;isbn&gt;0022-5304&lt;/isbn&gt;&lt;urls&gt;&lt;/urls&gt;&lt;/record&gt;&lt;/Cite&gt;&lt;/EndNote&gt;</w:instrText>
        </w:r>
        <w:r w:rsidR="0047635F">
          <w:rPr>
            <w:rFonts w:ascii="Times New Roman" w:hAnsi="Times New Roman" w:cs="Times New Roman"/>
            <w:sz w:val="24"/>
            <w:szCs w:val="24"/>
          </w:rPr>
          <w:fldChar w:fldCharType="separate"/>
        </w:r>
        <w:r w:rsidR="0047635F">
          <w:rPr>
            <w:rFonts w:ascii="Times New Roman" w:hAnsi="Times New Roman" w:cs="Times New Roman"/>
            <w:sz w:val="24"/>
            <w:szCs w:val="24"/>
          </w:rPr>
          <w:t>Odugbemi</w:t>
        </w:r>
        <w:r w:rsidR="0047635F">
          <w:rPr>
            <w:rFonts w:ascii="Times New Roman" w:hAnsi="Times New Roman" w:cs="Times New Roman"/>
            <w:i/>
            <w:sz w:val="24"/>
            <w:szCs w:val="24"/>
          </w:rPr>
          <w:t xml:space="preserve"> et al.,</w:t>
        </w:r>
        <w:r w:rsidR="0047635F">
          <w:rPr>
            <w:rFonts w:ascii="Times New Roman" w:hAnsi="Times New Roman" w:cs="Times New Roman"/>
            <w:sz w:val="24"/>
            <w:szCs w:val="24"/>
          </w:rPr>
          <w:t xml:space="preserve"> (1991)</w:t>
        </w:r>
        <w:r w:rsidR="0047635F">
          <w:rPr>
            <w:rFonts w:ascii="Times New Roman" w:hAnsi="Times New Roman" w:cs="Times New Roman"/>
            <w:sz w:val="24"/>
            <w:szCs w:val="24"/>
          </w:rPr>
          <w:fldChar w:fldCharType="end"/>
        </w:r>
      </w:hyperlink>
      <w:r>
        <w:rPr>
          <w:rFonts w:ascii="Times New Roman" w:hAnsi="Times New Roman" w:cs="Times New Roman"/>
          <w:sz w:val="24"/>
          <w:szCs w:val="24"/>
        </w:rPr>
        <w:fldChar w:fldCharType="end"/>
      </w:r>
      <w:r>
        <w:rPr>
          <w:rFonts w:ascii="Times New Roman" w:hAnsi="Times New Roman" w:cs="Times New Roman"/>
          <w:sz w:val="24"/>
          <w:szCs w:val="24"/>
        </w:rPr>
        <w:t xml:space="preserve"> and added tamarind. Sample G and F were most preferred, likely due to high tamarind content. </w:t>
      </w:r>
    </w:p>
    <w:p w14:paraId="0B88225A"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Sample G was most preferred for aroma, due likely </w:t>
      </w:r>
      <w:proofErr w:type="spellStart"/>
      <w:r>
        <w:rPr>
          <w:rFonts w:ascii="Times New Roman" w:hAnsi="Times New Roman" w:cs="Times New Roman"/>
          <w:sz w:val="24"/>
          <w:szCs w:val="24"/>
        </w:rPr>
        <w:t>flavour</w:t>
      </w:r>
      <w:proofErr w:type="spellEnd"/>
      <w:r>
        <w:rPr>
          <w:rFonts w:ascii="Times New Roman" w:hAnsi="Times New Roman" w:cs="Times New Roman"/>
          <w:sz w:val="24"/>
          <w:szCs w:val="24"/>
        </w:rPr>
        <w:t xml:space="preserve"> release by lactic acid bacteria during fermentation with tamarind presence. The </w:t>
      </w:r>
      <w:proofErr w:type="spellStart"/>
      <w:r>
        <w:rPr>
          <w:rFonts w:ascii="Times New Roman" w:hAnsi="Times New Roman" w:cs="Times New Roman"/>
          <w:sz w:val="24"/>
          <w:szCs w:val="24"/>
        </w:rPr>
        <w:t>flavour</w:t>
      </w:r>
      <w:proofErr w:type="spellEnd"/>
      <w:r>
        <w:rPr>
          <w:rFonts w:ascii="Times New Roman" w:hAnsi="Times New Roman" w:cs="Times New Roman"/>
          <w:sz w:val="24"/>
          <w:szCs w:val="24"/>
        </w:rPr>
        <w:t xml:space="preserve"> and viscosity were significant. The viscosity increased with added tamarind, confirming the report of </w:t>
      </w:r>
      <w:proofErr w:type="spellStart"/>
      <w:r>
        <w:rPr>
          <w:rFonts w:ascii="Times New Roman" w:hAnsi="Times New Roman" w:cs="Times New Roman"/>
          <w:sz w:val="24"/>
          <w:szCs w:val="24"/>
        </w:rPr>
        <w:t>Ukom</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2019 that viscosity increased with decreasing maize content. The general acceptability of the samples was influenced by individual preferences in appearance, taste, </w:t>
      </w:r>
      <w:proofErr w:type="spellStart"/>
      <w:r>
        <w:rPr>
          <w:rFonts w:ascii="Times New Roman" w:hAnsi="Times New Roman" w:cs="Times New Roman"/>
          <w:sz w:val="24"/>
          <w:szCs w:val="24"/>
        </w:rPr>
        <w:t>flavour</w:t>
      </w:r>
      <w:proofErr w:type="spellEnd"/>
      <w:r>
        <w:rPr>
          <w:rFonts w:ascii="Times New Roman" w:hAnsi="Times New Roman" w:cs="Times New Roman"/>
          <w:sz w:val="24"/>
          <w:szCs w:val="24"/>
        </w:rPr>
        <w:t>, and viscosity. The panelists generally preferred sample G. Tamarind addition influenced the appearance, taste and general acceptability of the pap.</w:t>
      </w:r>
    </w:p>
    <w:p w14:paraId="009A8E5F" w14:textId="77777777" w:rsidR="00406B68" w:rsidRDefault="001162EA">
      <w:pPr>
        <w:spacing w:line="480" w:lineRule="auto"/>
        <w:jc w:val="both"/>
        <w:rPr>
          <w:rFonts w:ascii="Times New Roman" w:hAnsi="Times New Roman" w:cs="Times New Roman"/>
          <w:sz w:val="24"/>
          <w:szCs w:val="24"/>
        </w:rPr>
      </w:pPr>
      <w:r>
        <w:rPr>
          <w:rFonts w:ascii="Times New Roman" w:hAnsi="Times New Roman" w:cs="Times New Roman"/>
          <w:b/>
          <w:sz w:val="24"/>
          <w:szCs w:val="24"/>
        </w:rPr>
        <w:t>Table 9: Mean Sensory Scores of Pap Paste Samples.</w:t>
      </w:r>
      <w:r>
        <w:rPr>
          <w:rFonts w:ascii="Times New Roman" w:hAnsi="Times New Roman" w:cs="Times New Roman"/>
          <w:sz w:val="24"/>
          <w:szCs w:val="24"/>
        </w:rPr>
        <w:t xml:space="preserve"> </w:t>
      </w:r>
    </w:p>
    <w:tbl>
      <w:tblPr>
        <w:tblStyle w:val="TableGrid"/>
        <w:tblW w:w="9349" w:type="dxa"/>
        <w:tblLook w:val="04A0" w:firstRow="1" w:lastRow="0" w:firstColumn="1" w:lastColumn="0" w:noHBand="0" w:noVBand="1"/>
      </w:tblPr>
      <w:tblGrid>
        <w:gridCol w:w="1558"/>
        <w:gridCol w:w="1558"/>
        <w:gridCol w:w="1558"/>
        <w:gridCol w:w="1558"/>
        <w:gridCol w:w="1558"/>
        <w:gridCol w:w="1559"/>
      </w:tblGrid>
      <w:tr w:rsidR="00406B68" w14:paraId="1E1BF25F" w14:textId="77777777">
        <w:tc>
          <w:tcPr>
            <w:tcW w:w="1558" w:type="dxa"/>
            <w:tcBorders>
              <w:left w:val="nil"/>
              <w:bottom w:val="single" w:sz="4" w:space="0" w:color="auto"/>
              <w:right w:val="nil"/>
            </w:tcBorders>
          </w:tcPr>
          <w:p w14:paraId="4454846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Samples</w:t>
            </w:r>
          </w:p>
        </w:tc>
        <w:tc>
          <w:tcPr>
            <w:tcW w:w="1558" w:type="dxa"/>
            <w:tcBorders>
              <w:left w:val="nil"/>
              <w:bottom w:val="single" w:sz="4" w:space="0" w:color="auto"/>
              <w:right w:val="nil"/>
            </w:tcBorders>
          </w:tcPr>
          <w:p w14:paraId="7968AF4C"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Appearance</w:t>
            </w:r>
          </w:p>
        </w:tc>
        <w:tc>
          <w:tcPr>
            <w:tcW w:w="1558" w:type="dxa"/>
            <w:tcBorders>
              <w:left w:val="nil"/>
              <w:bottom w:val="single" w:sz="4" w:space="0" w:color="auto"/>
              <w:right w:val="nil"/>
            </w:tcBorders>
          </w:tcPr>
          <w:p w14:paraId="4019E54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Taste</w:t>
            </w:r>
          </w:p>
        </w:tc>
        <w:tc>
          <w:tcPr>
            <w:tcW w:w="1558" w:type="dxa"/>
            <w:tcBorders>
              <w:left w:val="nil"/>
              <w:bottom w:val="single" w:sz="4" w:space="0" w:color="auto"/>
              <w:right w:val="nil"/>
            </w:tcBorders>
          </w:tcPr>
          <w:p w14:paraId="3C7DB992" w14:textId="77777777" w:rsidR="00406B68" w:rsidRDefault="001162EA">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Flavour</w:t>
            </w:r>
            <w:proofErr w:type="spellEnd"/>
          </w:p>
        </w:tc>
        <w:tc>
          <w:tcPr>
            <w:tcW w:w="1558" w:type="dxa"/>
            <w:tcBorders>
              <w:left w:val="nil"/>
              <w:bottom w:val="single" w:sz="4" w:space="0" w:color="auto"/>
              <w:right w:val="nil"/>
            </w:tcBorders>
          </w:tcPr>
          <w:p w14:paraId="3E44FBA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Viscosity</w:t>
            </w:r>
          </w:p>
        </w:tc>
        <w:tc>
          <w:tcPr>
            <w:tcW w:w="1559" w:type="dxa"/>
            <w:tcBorders>
              <w:left w:val="nil"/>
              <w:bottom w:val="single" w:sz="4" w:space="0" w:color="auto"/>
              <w:right w:val="nil"/>
            </w:tcBorders>
          </w:tcPr>
          <w:p w14:paraId="7776A81A"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General acceptability</w:t>
            </w:r>
          </w:p>
        </w:tc>
      </w:tr>
      <w:tr w:rsidR="00406B68" w14:paraId="4895F47D" w14:textId="77777777">
        <w:tc>
          <w:tcPr>
            <w:tcW w:w="1558" w:type="dxa"/>
            <w:tcBorders>
              <w:top w:val="single" w:sz="4" w:space="0" w:color="auto"/>
              <w:left w:val="nil"/>
              <w:bottom w:val="nil"/>
              <w:right w:val="nil"/>
            </w:tcBorders>
          </w:tcPr>
          <w:p w14:paraId="312DE2FB"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1558" w:type="dxa"/>
            <w:tcBorders>
              <w:top w:val="single" w:sz="4" w:space="0" w:color="auto"/>
              <w:left w:val="nil"/>
              <w:bottom w:val="nil"/>
              <w:right w:val="nil"/>
            </w:tcBorders>
          </w:tcPr>
          <w:p w14:paraId="4869811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5.75±1.21</w:t>
            </w:r>
            <w:r>
              <w:rPr>
                <w:rFonts w:ascii="Times New Roman" w:hAnsi="Times New Roman" w:cs="Times New Roman"/>
                <w:sz w:val="24"/>
                <w:szCs w:val="24"/>
                <w:vertAlign w:val="superscript"/>
              </w:rPr>
              <w:t>d</w:t>
            </w:r>
          </w:p>
        </w:tc>
        <w:tc>
          <w:tcPr>
            <w:tcW w:w="1558" w:type="dxa"/>
            <w:tcBorders>
              <w:top w:val="single" w:sz="4" w:space="0" w:color="auto"/>
              <w:left w:val="nil"/>
              <w:bottom w:val="nil"/>
              <w:right w:val="nil"/>
            </w:tcBorders>
          </w:tcPr>
          <w:p w14:paraId="1289206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5.90±1.02</w:t>
            </w:r>
            <w:r>
              <w:rPr>
                <w:rFonts w:ascii="Times New Roman" w:hAnsi="Times New Roman" w:cs="Times New Roman"/>
                <w:sz w:val="24"/>
                <w:szCs w:val="24"/>
                <w:vertAlign w:val="superscript"/>
              </w:rPr>
              <w:t>b</w:t>
            </w:r>
          </w:p>
        </w:tc>
        <w:tc>
          <w:tcPr>
            <w:tcW w:w="1558" w:type="dxa"/>
            <w:tcBorders>
              <w:top w:val="single" w:sz="4" w:space="0" w:color="auto"/>
              <w:left w:val="nil"/>
              <w:bottom w:val="nil"/>
              <w:right w:val="nil"/>
            </w:tcBorders>
          </w:tcPr>
          <w:p w14:paraId="31ACBDE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5.90±1.07</w:t>
            </w:r>
            <w:r>
              <w:rPr>
                <w:rFonts w:ascii="Times New Roman" w:hAnsi="Times New Roman" w:cs="Times New Roman"/>
                <w:sz w:val="24"/>
                <w:szCs w:val="24"/>
                <w:vertAlign w:val="superscript"/>
              </w:rPr>
              <w:t>c</w:t>
            </w:r>
          </w:p>
        </w:tc>
        <w:tc>
          <w:tcPr>
            <w:tcW w:w="1558" w:type="dxa"/>
            <w:tcBorders>
              <w:top w:val="single" w:sz="4" w:space="0" w:color="auto"/>
              <w:left w:val="nil"/>
              <w:bottom w:val="nil"/>
              <w:right w:val="nil"/>
            </w:tcBorders>
          </w:tcPr>
          <w:p w14:paraId="4AFD058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5.60±0.82</w:t>
            </w:r>
            <w:r>
              <w:rPr>
                <w:rFonts w:ascii="Times New Roman" w:hAnsi="Times New Roman" w:cs="Times New Roman"/>
                <w:sz w:val="24"/>
                <w:szCs w:val="24"/>
                <w:vertAlign w:val="superscript"/>
              </w:rPr>
              <w:t>d</w:t>
            </w:r>
          </w:p>
        </w:tc>
        <w:tc>
          <w:tcPr>
            <w:tcW w:w="1559" w:type="dxa"/>
            <w:tcBorders>
              <w:top w:val="single" w:sz="4" w:space="0" w:color="auto"/>
              <w:left w:val="nil"/>
              <w:bottom w:val="nil"/>
              <w:right w:val="nil"/>
            </w:tcBorders>
          </w:tcPr>
          <w:p w14:paraId="67C9ED0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6.00±1.08</w:t>
            </w:r>
            <w:r>
              <w:rPr>
                <w:rFonts w:ascii="Times New Roman" w:hAnsi="Times New Roman" w:cs="Times New Roman"/>
                <w:sz w:val="24"/>
                <w:szCs w:val="24"/>
                <w:vertAlign w:val="superscript"/>
              </w:rPr>
              <w:t>c</w:t>
            </w:r>
          </w:p>
        </w:tc>
      </w:tr>
      <w:tr w:rsidR="00406B68" w14:paraId="62064E59" w14:textId="77777777">
        <w:tc>
          <w:tcPr>
            <w:tcW w:w="1558" w:type="dxa"/>
            <w:tcBorders>
              <w:top w:val="nil"/>
              <w:left w:val="nil"/>
              <w:bottom w:val="nil"/>
              <w:right w:val="nil"/>
            </w:tcBorders>
          </w:tcPr>
          <w:p w14:paraId="3BD130EF"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1558" w:type="dxa"/>
            <w:tcBorders>
              <w:top w:val="nil"/>
              <w:left w:val="nil"/>
              <w:bottom w:val="nil"/>
              <w:right w:val="nil"/>
            </w:tcBorders>
          </w:tcPr>
          <w:p w14:paraId="634F0C46"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6.00±1.08</w:t>
            </w:r>
            <w:r>
              <w:rPr>
                <w:rFonts w:ascii="Times New Roman" w:hAnsi="Times New Roman" w:cs="Times New Roman"/>
                <w:sz w:val="24"/>
                <w:szCs w:val="24"/>
                <w:vertAlign w:val="superscript"/>
              </w:rPr>
              <w:t>c</w:t>
            </w:r>
          </w:p>
        </w:tc>
        <w:tc>
          <w:tcPr>
            <w:tcW w:w="1558" w:type="dxa"/>
            <w:tcBorders>
              <w:top w:val="nil"/>
              <w:left w:val="nil"/>
              <w:bottom w:val="nil"/>
              <w:right w:val="nil"/>
            </w:tcBorders>
          </w:tcPr>
          <w:p w14:paraId="6A96D642"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5.90±0.72</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37A6935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5.60±0.75</w:t>
            </w:r>
            <w:r>
              <w:rPr>
                <w:rFonts w:ascii="Times New Roman" w:hAnsi="Times New Roman" w:cs="Times New Roman"/>
                <w:sz w:val="24"/>
                <w:szCs w:val="24"/>
                <w:vertAlign w:val="superscript"/>
              </w:rPr>
              <w:t>d</w:t>
            </w:r>
          </w:p>
        </w:tc>
        <w:tc>
          <w:tcPr>
            <w:tcW w:w="1558" w:type="dxa"/>
            <w:tcBorders>
              <w:top w:val="nil"/>
              <w:left w:val="nil"/>
              <w:bottom w:val="nil"/>
              <w:right w:val="nil"/>
            </w:tcBorders>
          </w:tcPr>
          <w:p w14:paraId="0C6F69F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6.05±0.99</w:t>
            </w:r>
            <w:r>
              <w:rPr>
                <w:rFonts w:ascii="Times New Roman" w:hAnsi="Times New Roman" w:cs="Times New Roman"/>
                <w:sz w:val="24"/>
                <w:szCs w:val="24"/>
                <w:vertAlign w:val="superscript"/>
              </w:rPr>
              <w:t>c</w:t>
            </w:r>
          </w:p>
        </w:tc>
        <w:tc>
          <w:tcPr>
            <w:tcW w:w="1559" w:type="dxa"/>
            <w:tcBorders>
              <w:top w:val="nil"/>
              <w:left w:val="nil"/>
              <w:bottom w:val="nil"/>
              <w:right w:val="nil"/>
            </w:tcBorders>
          </w:tcPr>
          <w:p w14:paraId="2941F2A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6.00±0.79</w:t>
            </w:r>
            <w:r>
              <w:rPr>
                <w:rFonts w:ascii="Times New Roman" w:hAnsi="Times New Roman" w:cs="Times New Roman"/>
                <w:sz w:val="24"/>
                <w:szCs w:val="24"/>
                <w:vertAlign w:val="superscript"/>
              </w:rPr>
              <w:t>c</w:t>
            </w:r>
          </w:p>
        </w:tc>
      </w:tr>
      <w:tr w:rsidR="00406B68" w14:paraId="4314692E" w14:textId="77777777">
        <w:trPr>
          <w:trHeight w:val="432"/>
        </w:trPr>
        <w:tc>
          <w:tcPr>
            <w:tcW w:w="1558" w:type="dxa"/>
            <w:tcBorders>
              <w:top w:val="nil"/>
              <w:left w:val="nil"/>
              <w:bottom w:val="nil"/>
              <w:right w:val="nil"/>
            </w:tcBorders>
          </w:tcPr>
          <w:p w14:paraId="26F8A53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1558" w:type="dxa"/>
            <w:tcBorders>
              <w:top w:val="nil"/>
              <w:left w:val="nil"/>
              <w:bottom w:val="nil"/>
              <w:right w:val="nil"/>
            </w:tcBorders>
          </w:tcPr>
          <w:p w14:paraId="2BE6221E"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5.65±0.93</w:t>
            </w:r>
            <w:r>
              <w:rPr>
                <w:rFonts w:ascii="Times New Roman" w:hAnsi="Times New Roman" w:cs="Times New Roman"/>
                <w:sz w:val="24"/>
                <w:szCs w:val="24"/>
                <w:vertAlign w:val="superscript"/>
              </w:rPr>
              <w:t>d</w:t>
            </w:r>
          </w:p>
        </w:tc>
        <w:tc>
          <w:tcPr>
            <w:tcW w:w="1558" w:type="dxa"/>
            <w:tcBorders>
              <w:top w:val="nil"/>
              <w:left w:val="nil"/>
              <w:bottom w:val="nil"/>
              <w:right w:val="nil"/>
            </w:tcBorders>
          </w:tcPr>
          <w:p w14:paraId="36B7A02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5.95±0.95</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3D87EE6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5.65±0.75</w:t>
            </w:r>
            <w:r>
              <w:rPr>
                <w:rFonts w:ascii="Times New Roman" w:hAnsi="Times New Roman" w:cs="Times New Roman"/>
                <w:sz w:val="24"/>
                <w:szCs w:val="24"/>
                <w:vertAlign w:val="superscript"/>
              </w:rPr>
              <w:t>d</w:t>
            </w:r>
          </w:p>
        </w:tc>
        <w:tc>
          <w:tcPr>
            <w:tcW w:w="1558" w:type="dxa"/>
            <w:tcBorders>
              <w:top w:val="nil"/>
              <w:left w:val="nil"/>
              <w:bottom w:val="nil"/>
              <w:right w:val="nil"/>
            </w:tcBorders>
          </w:tcPr>
          <w:p w14:paraId="22D1D76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6.15±0.67</w:t>
            </w:r>
            <w:r>
              <w:rPr>
                <w:rFonts w:ascii="Times New Roman" w:hAnsi="Times New Roman" w:cs="Times New Roman"/>
                <w:sz w:val="24"/>
                <w:szCs w:val="24"/>
                <w:vertAlign w:val="superscript"/>
              </w:rPr>
              <w:t>c</w:t>
            </w:r>
          </w:p>
        </w:tc>
        <w:tc>
          <w:tcPr>
            <w:tcW w:w="1559" w:type="dxa"/>
            <w:tcBorders>
              <w:top w:val="nil"/>
              <w:left w:val="nil"/>
              <w:bottom w:val="nil"/>
              <w:right w:val="nil"/>
            </w:tcBorders>
          </w:tcPr>
          <w:p w14:paraId="6740AF01" w14:textId="754B1D2B" w:rsidR="00406B68" w:rsidRDefault="008C0FBB" w:rsidP="008C0FBB">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95</w:t>
            </w:r>
            <w:r>
              <w:rPr>
                <w:rFonts w:ascii="Times New Roman" w:hAnsi="Times New Roman" w:cs="Times New Roman"/>
                <w:sz w:val="24"/>
                <w:szCs w:val="24"/>
              </w:rPr>
              <w:t>±0.</w:t>
            </w:r>
            <w:r>
              <w:rPr>
                <w:rFonts w:ascii="Times New Roman" w:hAnsi="Times New Roman" w:cs="Times New Roman"/>
                <w:sz w:val="24"/>
                <w:szCs w:val="24"/>
              </w:rPr>
              <w:t>51</w:t>
            </w:r>
            <w:r>
              <w:rPr>
                <w:rFonts w:ascii="Times New Roman" w:hAnsi="Times New Roman" w:cs="Times New Roman"/>
                <w:sz w:val="24"/>
                <w:szCs w:val="24"/>
                <w:vertAlign w:val="superscript"/>
              </w:rPr>
              <w:t>c</w:t>
            </w:r>
            <w:r>
              <w:rPr>
                <w:rFonts w:ascii="Times New Roman" w:hAnsi="Times New Roman" w:cs="Times New Roman"/>
                <w:sz w:val="34"/>
                <w:szCs w:val="24"/>
                <w:vertAlign w:val="superscript"/>
              </w:rPr>
              <w:t xml:space="preserve"> </w:t>
            </w:r>
          </w:p>
        </w:tc>
      </w:tr>
      <w:tr w:rsidR="00406B68" w14:paraId="4830E663" w14:textId="77777777">
        <w:tc>
          <w:tcPr>
            <w:tcW w:w="1558" w:type="dxa"/>
            <w:tcBorders>
              <w:top w:val="nil"/>
              <w:left w:val="nil"/>
              <w:bottom w:val="nil"/>
              <w:right w:val="nil"/>
            </w:tcBorders>
          </w:tcPr>
          <w:p w14:paraId="0113E667"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w:t>
            </w:r>
          </w:p>
        </w:tc>
        <w:tc>
          <w:tcPr>
            <w:tcW w:w="1558" w:type="dxa"/>
            <w:tcBorders>
              <w:top w:val="nil"/>
              <w:left w:val="nil"/>
              <w:bottom w:val="nil"/>
              <w:right w:val="nil"/>
            </w:tcBorders>
          </w:tcPr>
          <w:p w14:paraId="737AA4FA"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5.95±0.89</w:t>
            </w:r>
            <w:r>
              <w:rPr>
                <w:rFonts w:ascii="Times New Roman" w:hAnsi="Times New Roman" w:cs="Times New Roman"/>
                <w:sz w:val="24"/>
                <w:szCs w:val="24"/>
                <w:vertAlign w:val="superscript"/>
              </w:rPr>
              <w:t>c</w:t>
            </w:r>
          </w:p>
        </w:tc>
        <w:tc>
          <w:tcPr>
            <w:tcW w:w="1558" w:type="dxa"/>
            <w:tcBorders>
              <w:top w:val="nil"/>
              <w:left w:val="nil"/>
              <w:bottom w:val="nil"/>
              <w:right w:val="nil"/>
            </w:tcBorders>
          </w:tcPr>
          <w:p w14:paraId="4318076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5.90±0.85</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0BE1C8A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6.05±0.61</w:t>
            </w:r>
            <w:r>
              <w:rPr>
                <w:rFonts w:ascii="Times New Roman" w:hAnsi="Times New Roman" w:cs="Times New Roman"/>
                <w:sz w:val="24"/>
                <w:szCs w:val="24"/>
                <w:vertAlign w:val="superscript"/>
              </w:rPr>
              <w:t>c</w:t>
            </w:r>
          </w:p>
        </w:tc>
        <w:tc>
          <w:tcPr>
            <w:tcW w:w="1558" w:type="dxa"/>
            <w:tcBorders>
              <w:top w:val="nil"/>
              <w:left w:val="nil"/>
              <w:bottom w:val="nil"/>
              <w:right w:val="nil"/>
            </w:tcBorders>
          </w:tcPr>
          <w:p w14:paraId="6FDC53C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6.50±0.83</w:t>
            </w:r>
            <w:r>
              <w:rPr>
                <w:rFonts w:ascii="Times New Roman" w:hAnsi="Times New Roman" w:cs="Times New Roman"/>
                <w:sz w:val="24"/>
                <w:szCs w:val="24"/>
                <w:vertAlign w:val="superscript"/>
              </w:rPr>
              <w:t>b</w:t>
            </w:r>
          </w:p>
        </w:tc>
        <w:tc>
          <w:tcPr>
            <w:tcW w:w="1559" w:type="dxa"/>
            <w:tcBorders>
              <w:top w:val="nil"/>
              <w:left w:val="nil"/>
              <w:bottom w:val="nil"/>
              <w:right w:val="nil"/>
            </w:tcBorders>
          </w:tcPr>
          <w:p w14:paraId="7287360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6.35±0.67</w:t>
            </w:r>
            <w:r>
              <w:rPr>
                <w:rFonts w:ascii="Times New Roman" w:hAnsi="Times New Roman" w:cs="Times New Roman"/>
                <w:sz w:val="24"/>
                <w:szCs w:val="24"/>
                <w:vertAlign w:val="superscript"/>
              </w:rPr>
              <w:t>c</w:t>
            </w:r>
          </w:p>
        </w:tc>
      </w:tr>
      <w:tr w:rsidR="00406B68" w14:paraId="243DDF39" w14:textId="77777777">
        <w:tc>
          <w:tcPr>
            <w:tcW w:w="1558" w:type="dxa"/>
            <w:tcBorders>
              <w:top w:val="nil"/>
              <w:left w:val="nil"/>
              <w:bottom w:val="nil"/>
              <w:right w:val="nil"/>
            </w:tcBorders>
          </w:tcPr>
          <w:p w14:paraId="17034C31"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1558" w:type="dxa"/>
            <w:tcBorders>
              <w:top w:val="nil"/>
              <w:left w:val="nil"/>
              <w:bottom w:val="nil"/>
              <w:right w:val="nil"/>
            </w:tcBorders>
          </w:tcPr>
          <w:p w14:paraId="748EC0AD"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6.60±1.14</w:t>
            </w:r>
            <w:r>
              <w:rPr>
                <w:rFonts w:ascii="Times New Roman" w:hAnsi="Times New Roman" w:cs="Times New Roman"/>
                <w:sz w:val="24"/>
                <w:szCs w:val="24"/>
                <w:vertAlign w:val="superscript"/>
              </w:rPr>
              <w:t>bc</w:t>
            </w:r>
          </w:p>
        </w:tc>
        <w:tc>
          <w:tcPr>
            <w:tcW w:w="1558" w:type="dxa"/>
            <w:tcBorders>
              <w:top w:val="nil"/>
              <w:left w:val="nil"/>
              <w:bottom w:val="nil"/>
              <w:right w:val="nil"/>
            </w:tcBorders>
          </w:tcPr>
          <w:p w14:paraId="238294A0"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6.75±0.97</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638C87A1"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6.60±0.82</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213C0C99"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6.95±0.89</w:t>
            </w:r>
            <w:r>
              <w:rPr>
                <w:rFonts w:ascii="Times New Roman" w:hAnsi="Times New Roman" w:cs="Times New Roman"/>
                <w:sz w:val="24"/>
                <w:szCs w:val="24"/>
                <w:vertAlign w:val="superscript"/>
              </w:rPr>
              <w:t>ab</w:t>
            </w:r>
          </w:p>
        </w:tc>
        <w:tc>
          <w:tcPr>
            <w:tcW w:w="1559" w:type="dxa"/>
            <w:tcBorders>
              <w:top w:val="nil"/>
              <w:left w:val="nil"/>
              <w:bottom w:val="nil"/>
              <w:right w:val="nil"/>
            </w:tcBorders>
          </w:tcPr>
          <w:p w14:paraId="17BC0CA5"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6.85±0.75</w:t>
            </w:r>
            <w:r>
              <w:rPr>
                <w:rFonts w:ascii="Times New Roman" w:hAnsi="Times New Roman" w:cs="Times New Roman"/>
                <w:sz w:val="24"/>
                <w:szCs w:val="24"/>
                <w:vertAlign w:val="superscript"/>
              </w:rPr>
              <w:t>b</w:t>
            </w:r>
          </w:p>
        </w:tc>
      </w:tr>
      <w:tr w:rsidR="00406B68" w14:paraId="0F7B48CF" w14:textId="77777777">
        <w:tc>
          <w:tcPr>
            <w:tcW w:w="1558" w:type="dxa"/>
            <w:tcBorders>
              <w:top w:val="nil"/>
              <w:left w:val="nil"/>
              <w:bottom w:val="nil"/>
              <w:right w:val="nil"/>
            </w:tcBorders>
          </w:tcPr>
          <w:p w14:paraId="74A959E8"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1558" w:type="dxa"/>
            <w:tcBorders>
              <w:top w:val="nil"/>
              <w:left w:val="nil"/>
              <w:bottom w:val="nil"/>
              <w:right w:val="nil"/>
            </w:tcBorders>
          </w:tcPr>
          <w:p w14:paraId="1FEB0F12"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7.05±0.95</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17ADEDB3"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6.65±1.18</w:t>
            </w:r>
            <w:r>
              <w:rPr>
                <w:rFonts w:ascii="Times New Roman" w:hAnsi="Times New Roman" w:cs="Times New Roman"/>
                <w:sz w:val="24"/>
                <w:szCs w:val="24"/>
                <w:vertAlign w:val="superscript"/>
              </w:rPr>
              <w:t>a</w:t>
            </w:r>
          </w:p>
        </w:tc>
        <w:tc>
          <w:tcPr>
            <w:tcW w:w="1558" w:type="dxa"/>
            <w:tcBorders>
              <w:top w:val="nil"/>
              <w:left w:val="nil"/>
              <w:bottom w:val="nil"/>
              <w:right w:val="nil"/>
            </w:tcBorders>
          </w:tcPr>
          <w:p w14:paraId="06849C6F"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6.55±1.47</w:t>
            </w:r>
            <w:r>
              <w:rPr>
                <w:rFonts w:ascii="Times New Roman" w:hAnsi="Times New Roman" w:cs="Times New Roman"/>
                <w:sz w:val="24"/>
                <w:szCs w:val="24"/>
                <w:vertAlign w:val="superscript"/>
              </w:rPr>
              <w:t>b</w:t>
            </w:r>
          </w:p>
        </w:tc>
        <w:tc>
          <w:tcPr>
            <w:tcW w:w="1558" w:type="dxa"/>
            <w:tcBorders>
              <w:top w:val="nil"/>
              <w:left w:val="nil"/>
              <w:bottom w:val="nil"/>
              <w:right w:val="nil"/>
            </w:tcBorders>
          </w:tcPr>
          <w:p w14:paraId="28720ED7"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7.20±1.32</w:t>
            </w:r>
            <w:r>
              <w:rPr>
                <w:rFonts w:ascii="Times New Roman" w:hAnsi="Times New Roman" w:cs="Times New Roman"/>
                <w:sz w:val="24"/>
                <w:szCs w:val="24"/>
                <w:vertAlign w:val="superscript"/>
              </w:rPr>
              <w:t xml:space="preserve">a  </w:t>
            </w:r>
          </w:p>
        </w:tc>
        <w:tc>
          <w:tcPr>
            <w:tcW w:w="1559" w:type="dxa"/>
            <w:tcBorders>
              <w:top w:val="nil"/>
              <w:left w:val="nil"/>
              <w:bottom w:val="nil"/>
              <w:right w:val="nil"/>
            </w:tcBorders>
          </w:tcPr>
          <w:p w14:paraId="3AB010A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7.00±0.79</w:t>
            </w:r>
            <w:r>
              <w:rPr>
                <w:rFonts w:ascii="Times New Roman" w:hAnsi="Times New Roman" w:cs="Times New Roman"/>
                <w:sz w:val="24"/>
                <w:szCs w:val="24"/>
                <w:vertAlign w:val="superscript"/>
              </w:rPr>
              <w:t>b</w:t>
            </w:r>
          </w:p>
        </w:tc>
      </w:tr>
      <w:tr w:rsidR="00406B68" w14:paraId="10CEE880" w14:textId="77777777">
        <w:tc>
          <w:tcPr>
            <w:tcW w:w="1558" w:type="dxa"/>
            <w:tcBorders>
              <w:top w:val="nil"/>
              <w:left w:val="nil"/>
              <w:bottom w:val="single" w:sz="4" w:space="0" w:color="auto"/>
              <w:right w:val="nil"/>
            </w:tcBorders>
          </w:tcPr>
          <w:p w14:paraId="07A4EFE4" w14:textId="77777777" w:rsidR="00406B68" w:rsidRDefault="001162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p>
        </w:tc>
        <w:tc>
          <w:tcPr>
            <w:tcW w:w="1558" w:type="dxa"/>
            <w:tcBorders>
              <w:top w:val="nil"/>
              <w:left w:val="nil"/>
              <w:bottom w:val="single" w:sz="4" w:space="0" w:color="auto"/>
              <w:right w:val="nil"/>
            </w:tcBorders>
          </w:tcPr>
          <w:p w14:paraId="5D93A44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7.70±0.80</w:t>
            </w:r>
            <w:r>
              <w:rPr>
                <w:rFonts w:ascii="Times New Roman" w:hAnsi="Times New Roman" w:cs="Times New Roman"/>
                <w:sz w:val="24"/>
                <w:szCs w:val="24"/>
                <w:vertAlign w:val="superscript"/>
              </w:rPr>
              <w:t>a</w:t>
            </w:r>
          </w:p>
        </w:tc>
        <w:tc>
          <w:tcPr>
            <w:tcW w:w="1558" w:type="dxa"/>
            <w:tcBorders>
              <w:top w:val="nil"/>
              <w:left w:val="nil"/>
              <w:bottom w:val="single" w:sz="4" w:space="0" w:color="auto"/>
              <w:right w:val="nil"/>
            </w:tcBorders>
          </w:tcPr>
          <w:p w14:paraId="0411A58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6.65±1.14</w:t>
            </w:r>
            <w:r>
              <w:rPr>
                <w:rFonts w:ascii="Times New Roman" w:hAnsi="Times New Roman" w:cs="Times New Roman"/>
                <w:sz w:val="24"/>
                <w:szCs w:val="24"/>
                <w:vertAlign w:val="superscript"/>
              </w:rPr>
              <w:t>a</w:t>
            </w:r>
          </w:p>
        </w:tc>
        <w:tc>
          <w:tcPr>
            <w:tcW w:w="1558" w:type="dxa"/>
            <w:tcBorders>
              <w:top w:val="nil"/>
              <w:left w:val="nil"/>
              <w:bottom w:val="single" w:sz="4" w:space="0" w:color="auto"/>
              <w:right w:val="nil"/>
            </w:tcBorders>
          </w:tcPr>
          <w:p w14:paraId="34076024"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7.20±1.20</w:t>
            </w:r>
            <w:r>
              <w:rPr>
                <w:rFonts w:ascii="Times New Roman" w:hAnsi="Times New Roman" w:cs="Times New Roman"/>
                <w:sz w:val="24"/>
                <w:szCs w:val="24"/>
                <w:vertAlign w:val="superscript"/>
              </w:rPr>
              <w:t>a</w:t>
            </w:r>
          </w:p>
        </w:tc>
        <w:tc>
          <w:tcPr>
            <w:tcW w:w="1558" w:type="dxa"/>
            <w:tcBorders>
              <w:top w:val="nil"/>
              <w:left w:val="nil"/>
              <w:bottom w:val="single" w:sz="4" w:space="0" w:color="auto"/>
              <w:right w:val="nil"/>
            </w:tcBorders>
          </w:tcPr>
          <w:p w14:paraId="1A001ED8" w14:textId="77777777" w:rsidR="00406B68" w:rsidRDefault="001162EA">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7.50±0.83</w:t>
            </w:r>
            <w:r>
              <w:rPr>
                <w:rFonts w:ascii="Times New Roman" w:hAnsi="Times New Roman" w:cs="Times New Roman"/>
                <w:sz w:val="24"/>
                <w:szCs w:val="24"/>
                <w:vertAlign w:val="superscript"/>
              </w:rPr>
              <w:t>a</w:t>
            </w:r>
          </w:p>
        </w:tc>
        <w:tc>
          <w:tcPr>
            <w:tcW w:w="1559" w:type="dxa"/>
            <w:tcBorders>
              <w:top w:val="nil"/>
              <w:left w:val="nil"/>
              <w:bottom w:val="single" w:sz="4" w:space="0" w:color="auto"/>
              <w:right w:val="nil"/>
            </w:tcBorders>
          </w:tcPr>
          <w:p w14:paraId="11AC0F2D" w14:textId="77777777" w:rsidR="00406B68" w:rsidRDefault="001162EA">
            <w:pPr>
              <w:tabs>
                <w:tab w:val="left" w:pos="4770"/>
              </w:tabs>
              <w:autoSpaceDE w:val="0"/>
              <w:autoSpaceDN w:val="0"/>
              <w:adjustRightInd w:val="0"/>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7.50±0.76</w:t>
            </w:r>
            <w:r>
              <w:rPr>
                <w:rFonts w:ascii="Times New Roman" w:hAnsi="Times New Roman" w:cs="Times New Roman"/>
                <w:sz w:val="24"/>
                <w:szCs w:val="24"/>
                <w:vertAlign w:val="superscript"/>
              </w:rPr>
              <w:t>a</w:t>
            </w:r>
          </w:p>
        </w:tc>
      </w:tr>
    </w:tbl>
    <w:p w14:paraId="6CBA1DFC"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Values in the same column with different superscript are significantly different (P˂0.05)</w:t>
      </w:r>
    </w:p>
    <w:p w14:paraId="3B1D422F" w14:textId="77777777" w:rsidR="00406B68" w:rsidRDefault="001162EA">
      <w:pPr>
        <w:tabs>
          <w:tab w:val="left" w:pos="4770"/>
        </w:tabs>
        <w:autoSpaceDE w:val="0"/>
        <w:autoSpaceDN w:val="0"/>
        <w:adjustRightInd w:val="0"/>
        <w:spacing w:line="480" w:lineRule="auto"/>
        <w:jc w:val="both"/>
        <w:rPr>
          <w:rFonts w:ascii="Times New Roman" w:eastAsiaTheme="minorEastAsia" w:hAnsi="Times New Roman" w:cs="Times New Roman"/>
          <w:sz w:val="20"/>
          <w:szCs w:val="24"/>
        </w:rPr>
      </w:pPr>
      <w:r>
        <w:rPr>
          <w:rFonts w:ascii="Times New Roman" w:eastAsiaTheme="minorEastAsia" w:hAnsi="Times New Roman" w:cs="Times New Roman"/>
          <w:sz w:val="20"/>
          <w:szCs w:val="24"/>
        </w:rPr>
        <w:t xml:space="preserve">A= 100%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pap paste; B= 95%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5% Tamarind pap paste; C= 90%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10% Tamarind pap paste; D= 85%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15% Tamarind pap paste; E= 80%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20% Tamarind pap paste; F=75% </w:t>
      </w:r>
      <w:proofErr w:type="spellStart"/>
      <w:r>
        <w:rPr>
          <w:rFonts w:ascii="Times New Roman" w:eastAsiaTheme="minorEastAsia" w:hAnsi="Times New Roman" w:cs="Times New Roman"/>
          <w:sz w:val="20"/>
          <w:szCs w:val="24"/>
        </w:rPr>
        <w:t>Biofortifies</w:t>
      </w:r>
      <w:proofErr w:type="spellEnd"/>
      <w:r>
        <w:rPr>
          <w:rFonts w:ascii="Times New Roman" w:eastAsiaTheme="minorEastAsia" w:hAnsi="Times New Roman" w:cs="Times New Roman"/>
          <w:sz w:val="20"/>
          <w:szCs w:val="24"/>
        </w:rPr>
        <w:t xml:space="preserve"> maize, 25%Tamarind pap paste; G=70% </w:t>
      </w:r>
      <w:proofErr w:type="spellStart"/>
      <w:r>
        <w:rPr>
          <w:rFonts w:ascii="Times New Roman" w:eastAsiaTheme="minorEastAsia" w:hAnsi="Times New Roman" w:cs="Times New Roman"/>
          <w:sz w:val="20"/>
          <w:szCs w:val="24"/>
        </w:rPr>
        <w:t>Biofortified</w:t>
      </w:r>
      <w:proofErr w:type="spellEnd"/>
      <w:r>
        <w:rPr>
          <w:rFonts w:ascii="Times New Roman" w:eastAsiaTheme="minorEastAsia" w:hAnsi="Times New Roman" w:cs="Times New Roman"/>
          <w:sz w:val="20"/>
          <w:szCs w:val="24"/>
        </w:rPr>
        <w:t xml:space="preserve"> maize, 30% Tamarind pap paste.</w:t>
      </w:r>
    </w:p>
    <w:p w14:paraId="6C80E5CE" w14:textId="77777777" w:rsidR="00406B68" w:rsidRDefault="001162EA">
      <w:pPr>
        <w:tabs>
          <w:tab w:val="left" w:pos="477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Conclusion: </w:t>
      </w:r>
      <w:r>
        <w:rPr>
          <w:rFonts w:ascii="Times New Roman" w:hAnsi="Times New Roman" w:cs="Times New Roman"/>
          <w:sz w:val="24"/>
          <w:szCs w:val="24"/>
        </w:rPr>
        <w:t xml:space="preserve">The beta carotene content of samples decreased with tamarind addition, as tamarind addition positively influenced nutritional quality of samples. Tamarind reduced protein, but increased fat, ash and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contents, thus making it a good mineral source. The high tannin content recorded could have caused the reduced protein content. It is therefore recommended that fermentation time should be increased during production in order to properly breakdown anti-nutrients and increase bioavailability of nutrients.</w:t>
      </w:r>
    </w:p>
    <w:p w14:paraId="27FCFCC9" w14:textId="77777777" w:rsidR="00406B68" w:rsidRDefault="001162EA">
      <w:pPr>
        <w:spacing w:line="48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2F7A62B1" w14:textId="54190F4C" w:rsidR="00406B68" w:rsidRDefault="001162EA">
      <w:pPr>
        <w:spacing w:line="480" w:lineRule="auto"/>
        <w:jc w:val="both"/>
        <w:rPr>
          <w:rFonts w:ascii="Times New Roman" w:hAnsi="Times New Roman" w:cs="Times New Roman"/>
          <w:b/>
          <w:sz w:val="24"/>
          <w:szCs w:val="24"/>
        </w:rPr>
      </w:pPr>
      <w:proofErr w:type="spellStart"/>
      <w:proofErr w:type="gramStart"/>
      <w:r>
        <w:rPr>
          <w:rFonts w:ascii="Times New Roman" w:hAnsi="Times New Roman" w:cs="Times New Roman"/>
          <w:color w:val="232323"/>
          <w:sz w:val="24"/>
          <w:szCs w:val="24"/>
          <w:shd w:val="clear" w:color="auto" w:fill="FFFFFF"/>
        </w:rPr>
        <w:t>Abioye</w:t>
      </w:r>
      <w:proofErr w:type="spellEnd"/>
      <w:r>
        <w:rPr>
          <w:rFonts w:ascii="Times New Roman" w:hAnsi="Times New Roman" w:cs="Times New Roman"/>
          <w:color w:val="232323"/>
          <w:sz w:val="24"/>
          <w:szCs w:val="24"/>
          <w:shd w:val="clear" w:color="auto" w:fill="FFFFFF"/>
        </w:rPr>
        <w:t>, V.F.</w:t>
      </w:r>
      <w:r w:rsidR="00573042">
        <w:rPr>
          <w:rFonts w:ascii="Times New Roman" w:hAnsi="Times New Roman" w:cs="Times New Roman"/>
          <w:color w:val="232323"/>
          <w:sz w:val="24"/>
          <w:szCs w:val="24"/>
          <w:shd w:val="clear" w:color="auto" w:fill="FFFFFF"/>
        </w:rPr>
        <w:t>,</w:t>
      </w:r>
      <w:r>
        <w:rPr>
          <w:rFonts w:ascii="Times New Roman" w:hAnsi="Times New Roman" w:cs="Times New Roman"/>
          <w:color w:val="232323"/>
          <w:sz w:val="24"/>
          <w:szCs w:val="24"/>
          <w:shd w:val="clear" w:color="auto" w:fill="FFFFFF"/>
        </w:rPr>
        <w:t xml:space="preserve"> &amp; Aka, M.O. (2015).</w:t>
      </w:r>
      <w:proofErr w:type="gramEnd"/>
      <w:r>
        <w:rPr>
          <w:rFonts w:ascii="Times New Roman" w:hAnsi="Times New Roman" w:cs="Times New Roman"/>
          <w:color w:val="232323"/>
          <w:sz w:val="24"/>
          <w:szCs w:val="24"/>
          <w:shd w:val="clear" w:color="auto" w:fill="FFFFFF"/>
        </w:rPr>
        <w:t xml:space="preserve"> Proximate Composition and Sensory Properties of </w:t>
      </w:r>
      <w:proofErr w:type="spellStart"/>
      <w:r>
        <w:rPr>
          <w:rFonts w:ascii="Times New Roman" w:hAnsi="Times New Roman" w:cs="Times New Roman"/>
          <w:color w:val="232323"/>
          <w:sz w:val="24"/>
          <w:szCs w:val="24"/>
          <w:shd w:val="clear" w:color="auto" w:fill="FFFFFF"/>
        </w:rPr>
        <w:t>Moringa</w:t>
      </w:r>
      <w:proofErr w:type="spellEnd"/>
      <w:r>
        <w:rPr>
          <w:rFonts w:ascii="Times New Roman" w:hAnsi="Times New Roman" w:cs="Times New Roman"/>
          <w:color w:val="232323"/>
          <w:sz w:val="24"/>
          <w:szCs w:val="24"/>
          <w:shd w:val="clear" w:color="auto" w:fill="FFFFFF"/>
        </w:rPr>
        <w:t xml:space="preserve"> Fortified Maize-</w:t>
      </w:r>
      <w:proofErr w:type="spellStart"/>
      <w:r>
        <w:rPr>
          <w:rFonts w:ascii="Times New Roman" w:hAnsi="Times New Roman" w:cs="Times New Roman"/>
          <w:color w:val="232323"/>
          <w:sz w:val="24"/>
          <w:szCs w:val="24"/>
          <w:shd w:val="clear" w:color="auto" w:fill="FFFFFF"/>
        </w:rPr>
        <w:t>Ogi</w:t>
      </w:r>
      <w:proofErr w:type="spellEnd"/>
      <w:r>
        <w:rPr>
          <w:rFonts w:ascii="Times New Roman" w:hAnsi="Times New Roman" w:cs="Times New Roman"/>
          <w:color w:val="232323"/>
          <w:sz w:val="24"/>
          <w:szCs w:val="24"/>
          <w:shd w:val="clear" w:color="auto" w:fill="FFFFFF"/>
        </w:rPr>
        <w:t xml:space="preserve">. </w:t>
      </w:r>
      <w:r>
        <w:rPr>
          <w:rFonts w:ascii="Times New Roman" w:hAnsi="Times New Roman" w:cs="Times New Roman"/>
          <w:i/>
          <w:color w:val="232323"/>
          <w:sz w:val="24"/>
          <w:szCs w:val="24"/>
          <w:shd w:val="clear" w:color="auto" w:fill="FFFFFF"/>
        </w:rPr>
        <w:t>Journal of Nutrition and Food Science</w:t>
      </w:r>
      <w:r>
        <w:rPr>
          <w:rFonts w:ascii="Times New Roman" w:hAnsi="Times New Roman" w:cs="Times New Roman"/>
          <w:color w:val="232323"/>
          <w:sz w:val="24"/>
          <w:szCs w:val="24"/>
          <w:shd w:val="clear" w:color="auto" w:fill="FFFFFF"/>
        </w:rPr>
        <w:t>, S12, 1-4</w:t>
      </w:r>
    </w:p>
    <w:p w14:paraId="0528F892" w14:textId="480FB70A" w:rsidR="00406B68" w:rsidRDefault="001162EA">
      <w:pPr>
        <w:pStyle w:val="EndNoteBibliography"/>
        <w:spacing w:after="0" w:line="48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bookmarkStart w:id="4" w:name="_ENREF_2"/>
      <w:r>
        <w:rPr>
          <w:rFonts w:ascii="Times New Roman" w:hAnsi="Times New Roman" w:cs="Times New Roman"/>
          <w:sz w:val="24"/>
          <w:szCs w:val="24"/>
        </w:rPr>
        <w:t>Adeyemo, R. (1984). Maize-Consumption Expenditure of Rural and Urban Workers: Implications for Nigeria</w:t>
      </w:r>
      <w:r w:rsidR="00573042">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Journal of Modern African Studies, 22</w:t>
      </w:r>
      <w:r>
        <w:rPr>
          <w:rFonts w:ascii="Times New Roman" w:hAnsi="Times New Roman" w:cs="Times New Roman"/>
          <w:sz w:val="24"/>
          <w:szCs w:val="24"/>
        </w:rPr>
        <w:t xml:space="preserve">(1), 163-166. </w:t>
      </w:r>
      <w:bookmarkEnd w:id="4"/>
    </w:p>
    <w:p w14:paraId="0FD4AB78" w14:textId="1DEDD7B2" w:rsidR="00406B68" w:rsidRDefault="001162EA">
      <w:pPr>
        <w:pStyle w:val="EndNoteBibliography"/>
        <w:spacing w:after="0" w:line="480" w:lineRule="auto"/>
        <w:jc w:val="both"/>
        <w:rPr>
          <w:rFonts w:ascii="Times New Roman" w:hAnsi="Times New Roman" w:cs="Times New Roman"/>
          <w:sz w:val="24"/>
          <w:szCs w:val="24"/>
        </w:rPr>
      </w:pPr>
      <w:bookmarkStart w:id="5" w:name="_ENREF_3"/>
      <w:proofErr w:type="gramStart"/>
      <w:r>
        <w:rPr>
          <w:rFonts w:ascii="Times New Roman" w:hAnsi="Times New Roman" w:cs="Times New Roman"/>
          <w:sz w:val="24"/>
          <w:szCs w:val="24"/>
        </w:rPr>
        <w:t>Adom, K. K., Sorrells, M. E.</w:t>
      </w:r>
      <w:r w:rsidR="00573042">
        <w:rPr>
          <w:rFonts w:ascii="Times New Roman" w:hAnsi="Times New Roman" w:cs="Times New Roman"/>
          <w:sz w:val="24"/>
          <w:szCs w:val="24"/>
        </w:rPr>
        <w:t>,</w:t>
      </w:r>
      <w:r>
        <w:rPr>
          <w:rFonts w:ascii="Times New Roman" w:hAnsi="Times New Roman" w:cs="Times New Roman"/>
          <w:sz w:val="24"/>
          <w:szCs w:val="24"/>
        </w:rPr>
        <w:t xml:space="preserve"> &amp; Liu, R. H. (2005).</w:t>
      </w:r>
      <w:proofErr w:type="gramEnd"/>
      <w:r>
        <w:rPr>
          <w:rFonts w:ascii="Times New Roman" w:hAnsi="Times New Roman" w:cs="Times New Roman"/>
          <w:sz w:val="24"/>
          <w:szCs w:val="24"/>
        </w:rPr>
        <w:t xml:space="preserve"> Phytochemicals and antioxidant activity of milled fractions of different wheat varieties. </w:t>
      </w:r>
      <w:r>
        <w:rPr>
          <w:rFonts w:ascii="Times New Roman" w:hAnsi="Times New Roman" w:cs="Times New Roman"/>
          <w:i/>
          <w:sz w:val="24"/>
          <w:szCs w:val="24"/>
        </w:rPr>
        <w:t>Journal of Agricultural and Food Chemistry, 53</w:t>
      </w:r>
      <w:r>
        <w:rPr>
          <w:rFonts w:ascii="Times New Roman" w:hAnsi="Times New Roman" w:cs="Times New Roman"/>
          <w:sz w:val="24"/>
          <w:szCs w:val="24"/>
        </w:rPr>
        <w:t xml:space="preserve">(6), 2297-2306. </w:t>
      </w:r>
      <w:bookmarkEnd w:id="5"/>
    </w:p>
    <w:p w14:paraId="6CC2D76F" w14:textId="48789211" w:rsidR="00406B68" w:rsidRDefault="001162EA">
      <w:pPr>
        <w:pStyle w:val="EndNoteBibliography"/>
        <w:spacing w:after="0" w:line="480" w:lineRule="auto"/>
        <w:jc w:val="both"/>
        <w:rPr>
          <w:rFonts w:ascii="Times New Roman" w:hAnsi="Times New Roman" w:cs="Times New Roman"/>
          <w:sz w:val="24"/>
          <w:szCs w:val="24"/>
        </w:rPr>
      </w:pPr>
      <w:bookmarkStart w:id="6" w:name="_ENREF_4"/>
      <w:r>
        <w:rPr>
          <w:rFonts w:ascii="Times New Roman" w:hAnsi="Times New Roman" w:cs="Times New Roman"/>
          <w:sz w:val="24"/>
          <w:szCs w:val="24"/>
        </w:rPr>
        <w:t>Afzal, M., Nazir, Z., Bashir, M. H.</w:t>
      </w:r>
      <w:r w:rsidR="00573042">
        <w:rPr>
          <w:rFonts w:ascii="Times New Roman" w:hAnsi="Times New Roman" w:cs="Times New Roman"/>
          <w:sz w:val="24"/>
          <w:szCs w:val="24"/>
        </w:rPr>
        <w:t>,</w:t>
      </w:r>
      <w:r>
        <w:rPr>
          <w:rFonts w:ascii="Times New Roman" w:hAnsi="Times New Roman" w:cs="Times New Roman"/>
          <w:sz w:val="24"/>
          <w:szCs w:val="24"/>
        </w:rPr>
        <w:t xml:space="preserve"> &amp; Khan, B. S. (2009). Analysis of host plant resistance in some genotypes of maize against Chilo partellus (Swinhoe)(Pyralidae: Lepidoptera). </w:t>
      </w:r>
      <w:r>
        <w:rPr>
          <w:rFonts w:ascii="Times New Roman" w:hAnsi="Times New Roman" w:cs="Times New Roman"/>
          <w:i/>
          <w:sz w:val="24"/>
          <w:szCs w:val="24"/>
        </w:rPr>
        <w:t>Pak. J. Bot, 41</w:t>
      </w:r>
      <w:r>
        <w:rPr>
          <w:rFonts w:ascii="Times New Roman" w:hAnsi="Times New Roman" w:cs="Times New Roman"/>
          <w:sz w:val="24"/>
          <w:szCs w:val="24"/>
        </w:rPr>
        <w:t xml:space="preserve">(1), 421-428. </w:t>
      </w:r>
      <w:bookmarkEnd w:id="6"/>
    </w:p>
    <w:p w14:paraId="09CFAA0C" w14:textId="54887E2D" w:rsidR="00406B68" w:rsidRDefault="001162EA">
      <w:pPr>
        <w:pStyle w:val="EndNoteBibliography"/>
        <w:spacing w:after="0" w:line="480" w:lineRule="auto"/>
        <w:jc w:val="both"/>
        <w:rPr>
          <w:rFonts w:ascii="Times New Roman" w:hAnsi="Times New Roman" w:cs="Times New Roman"/>
          <w:sz w:val="24"/>
          <w:szCs w:val="24"/>
        </w:rPr>
      </w:pPr>
      <w:bookmarkStart w:id="7" w:name="_ENREF_5"/>
      <w:proofErr w:type="gramStart"/>
      <w:r>
        <w:rPr>
          <w:rFonts w:ascii="Times New Roman" w:hAnsi="Times New Roman" w:cs="Times New Roman"/>
          <w:sz w:val="24"/>
          <w:szCs w:val="24"/>
        </w:rPr>
        <w:t>Akingbala, J., Akinwande, B.</w:t>
      </w:r>
      <w:r w:rsidR="00573042">
        <w:rPr>
          <w:rFonts w:ascii="Times New Roman" w:hAnsi="Times New Roman" w:cs="Times New Roman"/>
          <w:sz w:val="24"/>
          <w:szCs w:val="24"/>
        </w:rPr>
        <w:t>,</w:t>
      </w:r>
      <w:r>
        <w:rPr>
          <w:rFonts w:ascii="Times New Roman" w:hAnsi="Times New Roman" w:cs="Times New Roman"/>
          <w:sz w:val="24"/>
          <w:szCs w:val="24"/>
        </w:rPr>
        <w:t xml:space="preserve"> &amp; Uzo-Peters, P. (2003).</w:t>
      </w:r>
      <w:proofErr w:type="gramEnd"/>
      <w:r>
        <w:rPr>
          <w:rFonts w:ascii="Times New Roman" w:hAnsi="Times New Roman" w:cs="Times New Roman"/>
          <w:sz w:val="24"/>
          <w:szCs w:val="24"/>
        </w:rPr>
        <w:t xml:space="preserve"> Effects of colour and flavour changes on acceptability of ogi supplemented with okra seed meals. </w:t>
      </w:r>
      <w:r>
        <w:rPr>
          <w:rFonts w:ascii="Times New Roman" w:hAnsi="Times New Roman" w:cs="Times New Roman"/>
          <w:i/>
          <w:sz w:val="24"/>
          <w:szCs w:val="24"/>
        </w:rPr>
        <w:t>Plant Foods for Human Nutrition, 58</w:t>
      </w:r>
      <w:r>
        <w:rPr>
          <w:rFonts w:ascii="Times New Roman" w:hAnsi="Times New Roman" w:cs="Times New Roman"/>
          <w:sz w:val="24"/>
          <w:szCs w:val="24"/>
        </w:rPr>
        <w:t xml:space="preserve">(3), 1-9. </w:t>
      </w:r>
      <w:bookmarkEnd w:id="7"/>
    </w:p>
    <w:p w14:paraId="7EBB5769" w14:textId="77777777" w:rsidR="00406B68" w:rsidRDefault="001162EA">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AOAC. (2010). Official methods of Analysis of Association of Official Analytical</w:t>
      </w:r>
      <w:r>
        <w:rPr>
          <w:rFonts w:ascii="Times New Roman" w:hAnsi="Times New Roman" w:cs="Times New Roman"/>
          <w:color w:val="000000"/>
          <w:sz w:val="24"/>
          <w:szCs w:val="24"/>
        </w:rPr>
        <w:tab/>
        <w:t xml:space="preserve">Chemists 18th ed., Published by AOAC International, Gaithersburg, Maryland &amp; USA. </w:t>
      </w:r>
    </w:p>
    <w:p w14:paraId="74155B2A" w14:textId="5F8D6ACF" w:rsidR="00406B68" w:rsidRDefault="001162EA">
      <w:pPr>
        <w:pStyle w:val="EndNoteBibliography"/>
        <w:spacing w:after="0" w:line="480" w:lineRule="auto"/>
        <w:jc w:val="both"/>
        <w:rPr>
          <w:rFonts w:ascii="Times New Roman" w:hAnsi="Times New Roman" w:cs="Times New Roman"/>
          <w:sz w:val="24"/>
          <w:szCs w:val="24"/>
        </w:rPr>
      </w:pPr>
      <w:bookmarkStart w:id="8" w:name="_ENREF_8"/>
      <w:r>
        <w:rPr>
          <w:rFonts w:ascii="Times New Roman" w:hAnsi="Times New Roman" w:cs="Times New Roman"/>
          <w:sz w:val="24"/>
          <w:szCs w:val="24"/>
        </w:rPr>
        <w:t xml:space="preserve">Ashaye, O., Akingbala, J., </w:t>
      </w:r>
      <w:proofErr w:type="spellStart"/>
      <w:proofErr w:type="gramStart"/>
      <w:r>
        <w:rPr>
          <w:rFonts w:ascii="Times New Roman" w:hAnsi="Times New Roman" w:cs="Times New Roman"/>
          <w:sz w:val="24"/>
          <w:szCs w:val="24"/>
        </w:rPr>
        <w:t>Obatolu</w:t>
      </w:r>
      <w:proofErr w:type="spellEnd"/>
      <w:r w:rsidR="004D1E05">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V.</w:t>
      </w:r>
      <w:r w:rsidR="004D1E05">
        <w:rPr>
          <w:rFonts w:ascii="Times New Roman" w:hAnsi="Times New Roman" w:cs="Times New Roman"/>
          <w:sz w:val="24"/>
          <w:szCs w:val="24"/>
        </w:rPr>
        <w:t>,</w:t>
      </w:r>
      <w:r>
        <w:rPr>
          <w:rFonts w:ascii="Times New Roman" w:hAnsi="Times New Roman" w:cs="Times New Roman"/>
          <w:sz w:val="24"/>
          <w:szCs w:val="24"/>
        </w:rPr>
        <w:t xml:space="preserve"> &amp; Fasoyiro, S. (2004). Improving processing technology and nutritional composition of Nigerian traditional breakfast gruel from corn and Okra. </w:t>
      </w:r>
      <w:r>
        <w:rPr>
          <w:rFonts w:ascii="Times New Roman" w:hAnsi="Times New Roman" w:cs="Times New Roman"/>
          <w:i/>
          <w:sz w:val="24"/>
          <w:szCs w:val="24"/>
        </w:rPr>
        <w:t>Journal of agricultural &amp; food information, 6</w:t>
      </w:r>
      <w:r>
        <w:rPr>
          <w:rFonts w:ascii="Times New Roman" w:hAnsi="Times New Roman" w:cs="Times New Roman"/>
          <w:sz w:val="24"/>
          <w:szCs w:val="24"/>
        </w:rPr>
        <w:t xml:space="preserve">(1), 77-87. </w:t>
      </w:r>
      <w:bookmarkEnd w:id="8"/>
    </w:p>
    <w:p w14:paraId="72575C8E" w14:textId="4F476F33" w:rsidR="00406B68" w:rsidRDefault="001162EA">
      <w:pPr>
        <w:pStyle w:val="EndNoteBibliography"/>
        <w:spacing w:after="0" w:line="480" w:lineRule="auto"/>
        <w:jc w:val="both"/>
        <w:rPr>
          <w:rFonts w:ascii="Times New Roman" w:hAnsi="Times New Roman" w:cs="Times New Roman"/>
          <w:sz w:val="24"/>
          <w:szCs w:val="24"/>
        </w:rPr>
      </w:pPr>
      <w:bookmarkStart w:id="9" w:name="_ENREF_9"/>
      <w:proofErr w:type="gramStart"/>
      <w:r>
        <w:rPr>
          <w:rFonts w:ascii="Times New Roman" w:hAnsi="Times New Roman" w:cs="Times New Roman"/>
          <w:sz w:val="24"/>
          <w:szCs w:val="24"/>
        </w:rPr>
        <w:t>Asouzu, A.</w:t>
      </w:r>
      <w:r w:rsidR="004D1E05">
        <w:rPr>
          <w:rFonts w:ascii="Times New Roman" w:hAnsi="Times New Roman" w:cs="Times New Roman"/>
          <w:sz w:val="24"/>
          <w:szCs w:val="24"/>
        </w:rPr>
        <w:t>,</w:t>
      </w:r>
      <w:r>
        <w:rPr>
          <w:rFonts w:ascii="Times New Roman" w:hAnsi="Times New Roman" w:cs="Times New Roman"/>
          <w:sz w:val="24"/>
          <w:szCs w:val="24"/>
        </w:rPr>
        <w:t xml:space="preserve"> &amp; Umerah, N. (2020).</w:t>
      </w:r>
      <w:proofErr w:type="gramEnd"/>
      <w:r>
        <w:rPr>
          <w:rFonts w:ascii="Times New Roman" w:hAnsi="Times New Roman" w:cs="Times New Roman"/>
          <w:sz w:val="24"/>
          <w:szCs w:val="24"/>
        </w:rPr>
        <w:t xml:space="preserve"> Rheology and acceptance of pap (Zea mays) enriched with Jatropha carcus Leaves to improve iron status in children. </w:t>
      </w:r>
      <w:r>
        <w:rPr>
          <w:rFonts w:ascii="Times New Roman" w:hAnsi="Times New Roman" w:cs="Times New Roman"/>
          <w:i/>
          <w:sz w:val="24"/>
          <w:szCs w:val="24"/>
        </w:rPr>
        <w:t>Asian Journal of Biochemistry, Genetics and Molecular Biology</w:t>
      </w:r>
      <w:r>
        <w:rPr>
          <w:rFonts w:ascii="Times New Roman" w:hAnsi="Times New Roman" w:cs="Times New Roman"/>
          <w:sz w:val="24"/>
          <w:szCs w:val="24"/>
        </w:rPr>
        <w:t xml:space="preserve">, 22-34. </w:t>
      </w:r>
      <w:bookmarkEnd w:id="9"/>
    </w:p>
    <w:p w14:paraId="75F42667" w14:textId="77777777" w:rsidR="00406B68" w:rsidRDefault="001162EA">
      <w:pPr>
        <w:pStyle w:val="EndNoteBibliography"/>
        <w:spacing w:after="0" w:line="480" w:lineRule="auto"/>
        <w:jc w:val="both"/>
        <w:rPr>
          <w:rFonts w:ascii="Times New Roman" w:hAnsi="Times New Roman" w:cs="Times New Roman"/>
          <w:sz w:val="24"/>
          <w:szCs w:val="24"/>
        </w:rPr>
      </w:pPr>
      <w:bookmarkStart w:id="10" w:name="_ENREF_11"/>
      <w:proofErr w:type="spellStart"/>
      <w:r>
        <w:rPr>
          <w:rFonts w:ascii="Times New Roman" w:hAnsi="Times New Roman" w:cs="Times New Roman"/>
          <w:sz w:val="24"/>
          <w:szCs w:val="24"/>
        </w:rPr>
        <w:t>Bettermann</w:t>
      </w:r>
      <w:proofErr w:type="spellEnd"/>
      <w:r>
        <w:rPr>
          <w:rFonts w:ascii="Times New Roman" w:hAnsi="Times New Roman" w:cs="Times New Roman"/>
          <w:sz w:val="24"/>
          <w:szCs w:val="24"/>
        </w:rPr>
        <w:t xml:space="preserve">, E. (2019). What Are the Health Benefits of Tamarind? </w:t>
      </w:r>
      <w:bookmarkEnd w:id="10"/>
    </w:p>
    <w:p w14:paraId="32723F58" w14:textId="0281D5DE" w:rsidR="00406B68" w:rsidRDefault="001162EA">
      <w:pPr>
        <w:pStyle w:val="EndNoteBibliography"/>
        <w:spacing w:after="0" w:line="480" w:lineRule="auto"/>
        <w:jc w:val="both"/>
        <w:rPr>
          <w:rFonts w:ascii="Times New Roman" w:hAnsi="Times New Roman" w:cs="Times New Roman"/>
          <w:sz w:val="24"/>
          <w:szCs w:val="24"/>
        </w:rPr>
      </w:pPr>
      <w:bookmarkStart w:id="11" w:name="_ENREF_16"/>
      <w:proofErr w:type="gramStart"/>
      <w:r>
        <w:rPr>
          <w:rFonts w:ascii="Times New Roman" w:hAnsi="Times New Roman" w:cs="Times New Roman"/>
          <w:sz w:val="24"/>
          <w:szCs w:val="24"/>
        </w:rPr>
        <w:t>Dahdouh, S., Grande, F., Espinosa, S. N., Vincent, A., Gibson, R., Bailey, K., King, J., Rittenschober, D.</w:t>
      </w:r>
      <w:r w:rsidR="004D1E05">
        <w:rPr>
          <w:rFonts w:ascii="Times New Roman" w:hAnsi="Times New Roman" w:cs="Times New Roman"/>
          <w:sz w:val="24"/>
          <w:szCs w:val="24"/>
        </w:rPr>
        <w:t>,</w:t>
      </w:r>
      <w:r>
        <w:rPr>
          <w:rFonts w:ascii="Times New Roman" w:hAnsi="Times New Roman" w:cs="Times New Roman"/>
          <w:sz w:val="24"/>
          <w:szCs w:val="24"/>
        </w:rPr>
        <w:t xml:space="preserve"> &amp; Charrondière, U. R. (2019).</w:t>
      </w:r>
      <w:proofErr w:type="gramEnd"/>
      <w:r>
        <w:rPr>
          <w:rFonts w:ascii="Times New Roman" w:hAnsi="Times New Roman" w:cs="Times New Roman"/>
          <w:sz w:val="24"/>
          <w:szCs w:val="24"/>
        </w:rPr>
        <w:t xml:space="preserve"> Development of the FAO/INFOODS/IZINCG global food composition database for phytate. </w:t>
      </w:r>
      <w:r>
        <w:rPr>
          <w:rFonts w:ascii="Times New Roman" w:hAnsi="Times New Roman" w:cs="Times New Roman"/>
          <w:i/>
          <w:sz w:val="24"/>
          <w:szCs w:val="24"/>
        </w:rPr>
        <w:t>Journal of Food Composition and Analysis, 78</w:t>
      </w:r>
      <w:r>
        <w:rPr>
          <w:rFonts w:ascii="Times New Roman" w:hAnsi="Times New Roman" w:cs="Times New Roman"/>
          <w:sz w:val="24"/>
          <w:szCs w:val="24"/>
        </w:rPr>
        <w:t xml:space="preserve">, 42-48. </w:t>
      </w:r>
      <w:bookmarkEnd w:id="11"/>
    </w:p>
    <w:p w14:paraId="63F4EB9B" w14:textId="49F64D0F" w:rsidR="00406B68" w:rsidRDefault="001162EA">
      <w:pPr>
        <w:pStyle w:val="EndNoteBibliography"/>
        <w:spacing w:after="0" w:line="480" w:lineRule="auto"/>
        <w:jc w:val="both"/>
        <w:rPr>
          <w:rFonts w:ascii="Times New Roman" w:hAnsi="Times New Roman" w:cs="Times New Roman"/>
          <w:sz w:val="24"/>
          <w:szCs w:val="24"/>
        </w:rPr>
      </w:pPr>
      <w:bookmarkStart w:id="12" w:name="_ENREF_18"/>
      <w:proofErr w:type="gramStart"/>
      <w:r>
        <w:rPr>
          <w:rFonts w:ascii="Times New Roman" w:hAnsi="Times New Roman" w:cs="Times New Roman"/>
          <w:sz w:val="24"/>
          <w:szCs w:val="24"/>
        </w:rPr>
        <w:t>Duncan, R. S.</w:t>
      </w:r>
      <w:r w:rsidR="004D1E05">
        <w:rPr>
          <w:rFonts w:ascii="Times New Roman" w:hAnsi="Times New Roman" w:cs="Times New Roman"/>
          <w:sz w:val="24"/>
          <w:szCs w:val="24"/>
        </w:rPr>
        <w:t>,</w:t>
      </w:r>
      <w:r>
        <w:rPr>
          <w:rFonts w:ascii="Times New Roman" w:hAnsi="Times New Roman" w:cs="Times New Roman"/>
          <w:sz w:val="24"/>
          <w:szCs w:val="24"/>
        </w:rPr>
        <w:t xml:space="preserve"> &amp; Chapman, C. A. (1999).</w:t>
      </w:r>
      <w:proofErr w:type="gramEnd"/>
      <w:r>
        <w:rPr>
          <w:rFonts w:ascii="Times New Roman" w:hAnsi="Times New Roman" w:cs="Times New Roman"/>
          <w:sz w:val="24"/>
          <w:szCs w:val="24"/>
        </w:rPr>
        <w:t xml:space="preserve"> Seed dispersal and potential forest succession in abandoned agriculture in tropical Africa. </w:t>
      </w:r>
      <w:r>
        <w:rPr>
          <w:rFonts w:ascii="Times New Roman" w:hAnsi="Times New Roman" w:cs="Times New Roman"/>
          <w:i/>
          <w:sz w:val="24"/>
          <w:szCs w:val="24"/>
        </w:rPr>
        <w:t>Ecological applications, 9</w:t>
      </w:r>
      <w:r>
        <w:rPr>
          <w:rFonts w:ascii="Times New Roman" w:hAnsi="Times New Roman" w:cs="Times New Roman"/>
          <w:sz w:val="24"/>
          <w:szCs w:val="24"/>
        </w:rPr>
        <w:t xml:space="preserve">(3), 998-1008. </w:t>
      </w:r>
      <w:bookmarkEnd w:id="12"/>
    </w:p>
    <w:p w14:paraId="45FF94F1" w14:textId="77777777" w:rsidR="00406B68" w:rsidRDefault="001162EA">
      <w:pPr>
        <w:pStyle w:val="EndNoteBibliography"/>
        <w:spacing w:after="0" w:line="480" w:lineRule="auto"/>
        <w:jc w:val="both"/>
        <w:rPr>
          <w:rFonts w:ascii="Times New Roman" w:hAnsi="Times New Roman" w:cs="Times New Roman"/>
          <w:sz w:val="24"/>
          <w:szCs w:val="24"/>
        </w:rPr>
      </w:pPr>
      <w:bookmarkStart w:id="13" w:name="_ENREF_20"/>
      <w:r>
        <w:rPr>
          <w:rFonts w:ascii="Times New Roman" w:hAnsi="Times New Roman" w:cs="Times New Roman"/>
          <w:sz w:val="24"/>
          <w:szCs w:val="24"/>
        </w:rPr>
        <w:t xml:space="preserve">El-Siddig, K. (2006). </w:t>
      </w:r>
      <w:r>
        <w:rPr>
          <w:rFonts w:ascii="Times New Roman" w:hAnsi="Times New Roman" w:cs="Times New Roman"/>
          <w:i/>
          <w:sz w:val="24"/>
          <w:szCs w:val="24"/>
        </w:rPr>
        <w:t>Tamarind: Tamarindus Indica L</w:t>
      </w:r>
      <w:r>
        <w:rPr>
          <w:rFonts w:ascii="Times New Roman" w:hAnsi="Times New Roman" w:cs="Times New Roman"/>
          <w:sz w:val="24"/>
          <w:szCs w:val="24"/>
        </w:rPr>
        <w:t xml:space="preserve"> (Vol. 1): Crops for the Future.</w:t>
      </w:r>
      <w:bookmarkEnd w:id="13"/>
    </w:p>
    <w:p w14:paraId="7901B026" w14:textId="0CA4A59C" w:rsidR="00406B68" w:rsidRDefault="001162EA">
      <w:pPr>
        <w:pStyle w:val="EndNoteBibliography"/>
        <w:spacing w:after="0" w:line="480" w:lineRule="auto"/>
        <w:jc w:val="both"/>
        <w:rPr>
          <w:rFonts w:ascii="Times New Roman" w:hAnsi="Times New Roman" w:cs="Times New Roman"/>
          <w:sz w:val="24"/>
          <w:szCs w:val="24"/>
        </w:rPr>
      </w:pPr>
      <w:bookmarkStart w:id="14" w:name="_ENREF_21"/>
      <w:r>
        <w:rPr>
          <w:rFonts w:ascii="Times New Roman" w:hAnsi="Times New Roman" w:cs="Times New Roman"/>
          <w:sz w:val="24"/>
          <w:szCs w:val="24"/>
        </w:rPr>
        <w:t>Farinde, E. O. (2015)</w:t>
      </w:r>
      <w:r w:rsidR="004D1E05">
        <w:rPr>
          <w:rFonts w:ascii="Times New Roman" w:hAnsi="Times New Roman" w:cs="Times New Roman"/>
          <w:sz w:val="24"/>
          <w:szCs w:val="24"/>
        </w:rPr>
        <w:t>.</w:t>
      </w:r>
      <w:r>
        <w:rPr>
          <w:rFonts w:ascii="Times New Roman" w:hAnsi="Times New Roman" w:cs="Times New Roman"/>
          <w:sz w:val="24"/>
          <w:szCs w:val="24"/>
        </w:rPr>
        <w:t xml:space="preserve"> Chemical and sensory properties of sieved and unsieved fortified „ogi‟. </w:t>
      </w:r>
      <w:r>
        <w:rPr>
          <w:rFonts w:ascii="Times New Roman" w:hAnsi="Times New Roman" w:cs="Times New Roman"/>
          <w:i/>
          <w:sz w:val="24"/>
          <w:szCs w:val="24"/>
        </w:rPr>
        <w:t>Nat Sci, 13</w:t>
      </w:r>
      <w:r>
        <w:rPr>
          <w:rFonts w:ascii="Times New Roman" w:hAnsi="Times New Roman" w:cs="Times New Roman"/>
          <w:sz w:val="24"/>
          <w:szCs w:val="24"/>
        </w:rPr>
        <w:t xml:space="preserve">(1), 49-53. </w:t>
      </w:r>
      <w:bookmarkEnd w:id="14"/>
    </w:p>
    <w:p w14:paraId="50CF9066" w14:textId="77777777" w:rsidR="00406B68" w:rsidRDefault="001162EA">
      <w:pPr>
        <w:pStyle w:val="EndNoteBibliography"/>
        <w:spacing w:after="0" w:line="480" w:lineRule="auto"/>
        <w:jc w:val="both"/>
        <w:rPr>
          <w:rFonts w:ascii="Times New Roman" w:hAnsi="Times New Roman" w:cs="Times New Roman"/>
          <w:sz w:val="24"/>
          <w:szCs w:val="24"/>
        </w:rPr>
      </w:pPr>
      <w:bookmarkStart w:id="15" w:name="_ENREF_27"/>
      <w:r>
        <w:rPr>
          <w:rFonts w:ascii="Times New Roman" w:hAnsi="Times New Roman" w:cs="Times New Roman"/>
          <w:sz w:val="24"/>
          <w:szCs w:val="24"/>
        </w:rPr>
        <w:t xml:space="preserve">Hochberg-Garrett, H. F. (2008). </w:t>
      </w:r>
      <w:r>
        <w:rPr>
          <w:rFonts w:ascii="Times New Roman" w:hAnsi="Times New Roman" w:cs="Times New Roman"/>
          <w:i/>
          <w:sz w:val="24"/>
          <w:szCs w:val="24"/>
        </w:rPr>
        <w:t>The Skip To Breakfast project: Development, implementation, and feasibility evaluation of an intervention to increase healthful breakfast consumption among fifth grade students and their families.</w:t>
      </w:r>
      <w:r>
        <w:rPr>
          <w:rFonts w:ascii="Times New Roman" w:hAnsi="Times New Roman" w:cs="Times New Roman"/>
          <w:sz w:val="24"/>
          <w:szCs w:val="24"/>
        </w:rPr>
        <w:t xml:space="preserve"> The University of Texas School of Public Health.   </w:t>
      </w:r>
      <w:bookmarkEnd w:id="15"/>
    </w:p>
    <w:p w14:paraId="45E376CA" w14:textId="237200E1" w:rsidR="00406B68" w:rsidRDefault="001162EA">
      <w:pPr>
        <w:pStyle w:val="EndNoteBibliography"/>
        <w:spacing w:after="0" w:line="480" w:lineRule="auto"/>
        <w:jc w:val="both"/>
        <w:rPr>
          <w:rFonts w:ascii="Times New Roman" w:hAnsi="Times New Roman" w:cs="Times New Roman"/>
          <w:sz w:val="24"/>
          <w:szCs w:val="24"/>
        </w:rPr>
      </w:pPr>
      <w:bookmarkStart w:id="16" w:name="_ENREF_28"/>
      <w:proofErr w:type="gramStart"/>
      <w:r>
        <w:rPr>
          <w:rFonts w:ascii="Times New Roman" w:hAnsi="Times New Roman" w:cs="Times New Roman"/>
          <w:sz w:val="24"/>
          <w:szCs w:val="24"/>
        </w:rPr>
        <w:t>Howe, J. A.</w:t>
      </w:r>
      <w:r w:rsidR="004D1E05">
        <w:rPr>
          <w:rFonts w:ascii="Times New Roman" w:hAnsi="Times New Roman" w:cs="Times New Roman"/>
          <w:sz w:val="24"/>
          <w:szCs w:val="24"/>
        </w:rPr>
        <w:t>,</w:t>
      </w:r>
      <w:r>
        <w:rPr>
          <w:rFonts w:ascii="Times New Roman" w:hAnsi="Times New Roman" w:cs="Times New Roman"/>
          <w:sz w:val="24"/>
          <w:szCs w:val="24"/>
        </w:rPr>
        <w:t xml:space="preserve"> &amp; Tanumihardjo, S. A. (2006).</w:t>
      </w:r>
      <w:proofErr w:type="gramEnd"/>
      <w:r>
        <w:rPr>
          <w:rFonts w:ascii="Times New Roman" w:hAnsi="Times New Roman" w:cs="Times New Roman"/>
          <w:sz w:val="24"/>
          <w:szCs w:val="24"/>
        </w:rPr>
        <w:t xml:space="preserve"> Evaluation of analytical methods for carotenoid extraction from biofortified maize (Zea mays sp.). </w:t>
      </w:r>
      <w:r>
        <w:rPr>
          <w:rFonts w:ascii="Times New Roman" w:hAnsi="Times New Roman" w:cs="Times New Roman"/>
          <w:i/>
          <w:sz w:val="24"/>
          <w:szCs w:val="24"/>
        </w:rPr>
        <w:t>Journal of Agricultural and Food Chemistry, 54</w:t>
      </w:r>
      <w:r>
        <w:rPr>
          <w:rFonts w:ascii="Times New Roman" w:hAnsi="Times New Roman" w:cs="Times New Roman"/>
          <w:sz w:val="24"/>
          <w:szCs w:val="24"/>
        </w:rPr>
        <w:t xml:space="preserve">(21), 7992-7997. </w:t>
      </w:r>
      <w:bookmarkEnd w:id="16"/>
    </w:p>
    <w:p w14:paraId="42510623" w14:textId="67987BD9" w:rsidR="00406B68" w:rsidRDefault="001162EA">
      <w:pPr>
        <w:pStyle w:val="EndNoteBibliography"/>
        <w:spacing w:after="0" w:line="480" w:lineRule="auto"/>
        <w:jc w:val="both"/>
        <w:rPr>
          <w:rFonts w:ascii="Times New Roman" w:hAnsi="Times New Roman" w:cs="Times New Roman"/>
          <w:sz w:val="24"/>
          <w:szCs w:val="24"/>
        </w:rPr>
      </w:pPr>
      <w:bookmarkStart w:id="17" w:name="_ENREF_30"/>
      <w:proofErr w:type="gramStart"/>
      <w:r>
        <w:rPr>
          <w:rFonts w:ascii="Times New Roman" w:hAnsi="Times New Roman" w:cs="Times New Roman"/>
          <w:sz w:val="24"/>
          <w:szCs w:val="24"/>
        </w:rPr>
        <w:t>Ilelaboye, N., Amoo, I.</w:t>
      </w:r>
      <w:r w:rsidR="004D1E05">
        <w:rPr>
          <w:rFonts w:ascii="Times New Roman" w:hAnsi="Times New Roman" w:cs="Times New Roman"/>
          <w:sz w:val="24"/>
          <w:szCs w:val="24"/>
        </w:rPr>
        <w:t>,</w:t>
      </w:r>
      <w:r>
        <w:rPr>
          <w:rFonts w:ascii="Times New Roman" w:hAnsi="Times New Roman" w:cs="Times New Roman"/>
          <w:sz w:val="24"/>
          <w:szCs w:val="24"/>
        </w:rPr>
        <w:t xml:space="preserve"> &amp; Pikuda, O. (2013).</w:t>
      </w:r>
      <w:proofErr w:type="gramEnd"/>
      <w:r>
        <w:rPr>
          <w:rFonts w:ascii="Times New Roman" w:hAnsi="Times New Roman" w:cs="Times New Roman"/>
          <w:sz w:val="24"/>
          <w:szCs w:val="24"/>
        </w:rPr>
        <w:t xml:space="preserve"> Effect of cooking methods on mineral and anti nutrient composition of some green leafy vegetables. </w:t>
      </w:r>
      <w:r>
        <w:rPr>
          <w:rFonts w:ascii="Times New Roman" w:hAnsi="Times New Roman" w:cs="Times New Roman"/>
          <w:i/>
          <w:sz w:val="24"/>
          <w:szCs w:val="24"/>
        </w:rPr>
        <w:t>Archives of Applied science research, 5</w:t>
      </w:r>
      <w:r>
        <w:rPr>
          <w:rFonts w:ascii="Times New Roman" w:hAnsi="Times New Roman" w:cs="Times New Roman"/>
          <w:sz w:val="24"/>
          <w:szCs w:val="24"/>
        </w:rPr>
        <w:t xml:space="preserve">(3), 254-260. </w:t>
      </w:r>
      <w:bookmarkEnd w:id="17"/>
    </w:p>
    <w:p w14:paraId="396555FD" w14:textId="5FD411F1" w:rsidR="00406B68" w:rsidRDefault="001162EA">
      <w:pPr>
        <w:pStyle w:val="EndNoteBibliography"/>
        <w:spacing w:after="0" w:line="480" w:lineRule="auto"/>
        <w:jc w:val="both"/>
        <w:rPr>
          <w:rFonts w:ascii="Times New Roman" w:hAnsi="Times New Roman" w:cs="Times New Roman"/>
          <w:sz w:val="24"/>
          <w:szCs w:val="24"/>
        </w:rPr>
      </w:pPr>
      <w:bookmarkStart w:id="18" w:name="_ENREF_32"/>
      <w:r>
        <w:rPr>
          <w:rFonts w:ascii="Times New Roman" w:hAnsi="Times New Roman" w:cs="Times New Roman"/>
          <w:sz w:val="24"/>
          <w:szCs w:val="24"/>
        </w:rPr>
        <w:lastRenderedPageBreak/>
        <w:t>King, D. E., Mainous, A. G., Geesey, M. E.</w:t>
      </w:r>
      <w:r w:rsidR="004D1E05">
        <w:rPr>
          <w:rFonts w:ascii="Times New Roman" w:hAnsi="Times New Roman" w:cs="Times New Roman"/>
          <w:sz w:val="24"/>
          <w:szCs w:val="24"/>
        </w:rPr>
        <w:t>,</w:t>
      </w:r>
      <w:r>
        <w:rPr>
          <w:rFonts w:ascii="Times New Roman" w:hAnsi="Times New Roman" w:cs="Times New Roman"/>
          <w:sz w:val="24"/>
          <w:szCs w:val="24"/>
        </w:rPr>
        <w:t xml:space="preserve"> &amp; Woolson, R. F. (2005). Dietary magnesium and C-reactive protein levels. </w:t>
      </w:r>
      <w:r>
        <w:rPr>
          <w:rFonts w:ascii="Times New Roman" w:hAnsi="Times New Roman" w:cs="Times New Roman"/>
          <w:i/>
          <w:sz w:val="24"/>
          <w:szCs w:val="24"/>
        </w:rPr>
        <w:t>Journal of the American College of Nutrition, 24</w:t>
      </w:r>
      <w:r>
        <w:rPr>
          <w:rFonts w:ascii="Times New Roman" w:hAnsi="Times New Roman" w:cs="Times New Roman"/>
          <w:sz w:val="24"/>
          <w:szCs w:val="24"/>
        </w:rPr>
        <w:t xml:space="preserve">(3), 166-171. </w:t>
      </w:r>
      <w:bookmarkEnd w:id="18"/>
    </w:p>
    <w:p w14:paraId="7FA0AC9D" w14:textId="65C129C8" w:rsidR="00406B68" w:rsidRDefault="001162EA">
      <w:pPr>
        <w:pStyle w:val="EndNoteBibliography"/>
        <w:spacing w:after="0" w:line="480" w:lineRule="auto"/>
        <w:jc w:val="both"/>
        <w:rPr>
          <w:rFonts w:ascii="Times New Roman" w:hAnsi="Times New Roman" w:cs="Times New Roman"/>
          <w:sz w:val="24"/>
          <w:szCs w:val="24"/>
        </w:rPr>
      </w:pPr>
      <w:bookmarkStart w:id="19" w:name="_ENREF_36"/>
      <w:proofErr w:type="gramStart"/>
      <w:r>
        <w:rPr>
          <w:rFonts w:ascii="Times New Roman" w:hAnsi="Times New Roman" w:cs="Times New Roman"/>
          <w:sz w:val="24"/>
          <w:szCs w:val="24"/>
        </w:rPr>
        <w:t>Mboya, R., Tongoona, P., Derera, J., Mudhara, M.</w:t>
      </w:r>
      <w:r w:rsidR="004D1E05">
        <w:rPr>
          <w:rFonts w:ascii="Times New Roman" w:hAnsi="Times New Roman" w:cs="Times New Roman"/>
          <w:sz w:val="24"/>
          <w:szCs w:val="24"/>
        </w:rPr>
        <w:t>,</w:t>
      </w:r>
      <w:r>
        <w:rPr>
          <w:rFonts w:ascii="Times New Roman" w:hAnsi="Times New Roman" w:cs="Times New Roman"/>
          <w:sz w:val="24"/>
          <w:szCs w:val="24"/>
        </w:rPr>
        <w:t xml:space="preserve"> &amp; Langyintuo, A. (2011).</w:t>
      </w:r>
      <w:proofErr w:type="gramEnd"/>
      <w:r>
        <w:rPr>
          <w:rFonts w:ascii="Times New Roman" w:hAnsi="Times New Roman" w:cs="Times New Roman"/>
          <w:sz w:val="24"/>
          <w:szCs w:val="24"/>
        </w:rPr>
        <w:t xml:space="preserve"> The dietary importance of maize in Katumba ward, Rungwe district, Tanzania, and its contribution to household food security. </w:t>
      </w:r>
      <w:r>
        <w:rPr>
          <w:rFonts w:ascii="Times New Roman" w:hAnsi="Times New Roman" w:cs="Times New Roman"/>
          <w:i/>
          <w:sz w:val="24"/>
          <w:szCs w:val="24"/>
        </w:rPr>
        <w:t>African Journal of Agricultural Research, 6</w:t>
      </w:r>
      <w:r>
        <w:rPr>
          <w:rFonts w:ascii="Times New Roman" w:hAnsi="Times New Roman" w:cs="Times New Roman"/>
          <w:sz w:val="24"/>
          <w:szCs w:val="24"/>
        </w:rPr>
        <w:t xml:space="preserve">(11), 2617-2626. </w:t>
      </w:r>
      <w:bookmarkEnd w:id="19"/>
    </w:p>
    <w:p w14:paraId="520AFDD8" w14:textId="3E6CD8B0" w:rsidR="00406B68" w:rsidRDefault="001162EA">
      <w:pPr>
        <w:pStyle w:val="EndNoteBibliography"/>
        <w:spacing w:after="0" w:line="480" w:lineRule="auto"/>
        <w:jc w:val="both"/>
        <w:rPr>
          <w:rFonts w:ascii="Times New Roman" w:hAnsi="Times New Roman" w:cs="Times New Roman"/>
          <w:sz w:val="24"/>
          <w:szCs w:val="24"/>
        </w:rPr>
      </w:pPr>
      <w:bookmarkStart w:id="20" w:name="_ENREF_39"/>
      <w:proofErr w:type="gramStart"/>
      <w:r>
        <w:rPr>
          <w:rFonts w:ascii="Times New Roman" w:hAnsi="Times New Roman" w:cs="Times New Roman"/>
          <w:sz w:val="24"/>
          <w:szCs w:val="24"/>
        </w:rPr>
        <w:t xml:space="preserve">Nestel, P., Bouis, H. E., </w:t>
      </w:r>
      <w:proofErr w:type="spellStart"/>
      <w:r>
        <w:rPr>
          <w:rFonts w:ascii="Times New Roman" w:hAnsi="Times New Roman" w:cs="Times New Roman"/>
          <w:sz w:val="24"/>
          <w:szCs w:val="24"/>
        </w:rPr>
        <w:t>Meenakshi</w:t>
      </w:r>
      <w:proofErr w:type="spellEnd"/>
      <w:r>
        <w:rPr>
          <w:rFonts w:ascii="Times New Roman" w:hAnsi="Times New Roman" w:cs="Times New Roman"/>
          <w:sz w:val="24"/>
          <w:szCs w:val="24"/>
        </w:rPr>
        <w:t>, J.</w:t>
      </w:r>
      <w:r w:rsidR="004D1E05">
        <w:rPr>
          <w:rFonts w:ascii="Times New Roman" w:hAnsi="Times New Roman" w:cs="Times New Roman"/>
          <w:sz w:val="24"/>
          <w:szCs w:val="24"/>
        </w:rPr>
        <w:t>,</w:t>
      </w:r>
      <w:r>
        <w:rPr>
          <w:rFonts w:ascii="Times New Roman" w:hAnsi="Times New Roman" w:cs="Times New Roman"/>
          <w:sz w:val="24"/>
          <w:szCs w:val="24"/>
        </w:rPr>
        <w:t xml:space="preserve"> &amp; Pfeiffer, W. (2006).</w:t>
      </w:r>
      <w:proofErr w:type="gramEnd"/>
      <w:r>
        <w:rPr>
          <w:rFonts w:ascii="Times New Roman" w:hAnsi="Times New Roman" w:cs="Times New Roman"/>
          <w:sz w:val="24"/>
          <w:szCs w:val="24"/>
        </w:rPr>
        <w:t xml:space="preserve"> Biofortification of staple food crops. </w:t>
      </w:r>
      <w:r>
        <w:rPr>
          <w:rFonts w:ascii="Times New Roman" w:hAnsi="Times New Roman" w:cs="Times New Roman"/>
          <w:i/>
          <w:sz w:val="24"/>
          <w:szCs w:val="24"/>
        </w:rPr>
        <w:t>The Journal of nutrition, 136</w:t>
      </w:r>
      <w:r>
        <w:rPr>
          <w:rFonts w:ascii="Times New Roman" w:hAnsi="Times New Roman" w:cs="Times New Roman"/>
          <w:sz w:val="24"/>
          <w:szCs w:val="24"/>
        </w:rPr>
        <w:t xml:space="preserve">(4), 1064-1067. </w:t>
      </w:r>
      <w:bookmarkEnd w:id="20"/>
    </w:p>
    <w:p w14:paraId="0AB91639" w14:textId="70C1BB84" w:rsidR="00406B68" w:rsidRDefault="001162EA">
      <w:pPr>
        <w:pStyle w:val="EndNoteBibliography"/>
        <w:spacing w:after="0" w:line="480" w:lineRule="auto"/>
        <w:jc w:val="both"/>
        <w:rPr>
          <w:rFonts w:ascii="Times New Roman" w:hAnsi="Times New Roman" w:cs="Times New Roman"/>
          <w:sz w:val="24"/>
          <w:szCs w:val="24"/>
        </w:rPr>
      </w:pPr>
      <w:bookmarkStart w:id="21" w:name="_ENREF_40"/>
      <w:proofErr w:type="gramStart"/>
      <w:r>
        <w:rPr>
          <w:rFonts w:ascii="Times New Roman" w:hAnsi="Times New Roman" w:cs="Times New Roman"/>
          <w:sz w:val="24"/>
          <w:szCs w:val="24"/>
        </w:rPr>
        <w:t>Nwokoro, O.</w:t>
      </w:r>
      <w:r w:rsidR="004D1E05">
        <w:rPr>
          <w:rFonts w:ascii="Times New Roman" w:hAnsi="Times New Roman" w:cs="Times New Roman"/>
          <w:sz w:val="24"/>
          <w:szCs w:val="24"/>
        </w:rPr>
        <w:t>,</w:t>
      </w:r>
      <w:r>
        <w:rPr>
          <w:rFonts w:ascii="Times New Roman" w:hAnsi="Times New Roman" w:cs="Times New Roman"/>
          <w:sz w:val="24"/>
          <w:szCs w:val="24"/>
        </w:rPr>
        <w:t xml:space="preserve"> &amp; Chukwu, B. C. (2012).</w:t>
      </w:r>
      <w:proofErr w:type="gramEnd"/>
      <w:r>
        <w:rPr>
          <w:rFonts w:ascii="Times New Roman" w:hAnsi="Times New Roman" w:cs="Times New Roman"/>
          <w:sz w:val="24"/>
          <w:szCs w:val="24"/>
        </w:rPr>
        <w:t xml:space="preserve"> Studies on Akamu, a traditional fermented maize food. </w:t>
      </w:r>
      <w:r>
        <w:rPr>
          <w:rFonts w:ascii="Times New Roman" w:hAnsi="Times New Roman" w:cs="Times New Roman"/>
          <w:i/>
          <w:sz w:val="24"/>
          <w:szCs w:val="24"/>
        </w:rPr>
        <w:t>Revista Chilena de Nutrición, 39</w:t>
      </w:r>
      <w:r>
        <w:rPr>
          <w:rFonts w:ascii="Times New Roman" w:hAnsi="Times New Roman" w:cs="Times New Roman"/>
          <w:sz w:val="24"/>
          <w:szCs w:val="24"/>
        </w:rPr>
        <w:t xml:space="preserve">(4), 180-184. </w:t>
      </w:r>
      <w:bookmarkEnd w:id="21"/>
    </w:p>
    <w:p w14:paraId="79963882" w14:textId="5343A027" w:rsidR="00406B68" w:rsidRDefault="001162EA">
      <w:pPr>
        <w:pStyle w:val="EndNoteBibliography"/>
        <w:spacing w:after="0" w:line="480" w:lineRule="auto"/>
        <w:jc w:val="both"/>
        <w:rPr>
          <w:rFonts w:ascii="Times New Roman" w:hAnsi="Times New Roman" w:cs="Times New Roman"/>
          <w:sz w:val="24"/>
          <w:szCs w:val="24"/>
        </w:rPr>
      </w:pPr>
      <w:bookmarkStart w:id="22" w:name="_ENREF_41"/>
      <w:proofErr w:type="gramStart"/>
      <w:r>
        <w:rPr>
          <w:rFonts w:ascii="Times New Roman" w:hAnsi="Times New Roman" w:cs="Times New Roman"/>
          <w:sz w:val="24"/>
          <w:szCs w:val="24"/>
        </w:rPr>
        <w:t>Obinna‐Echem, P. C., Kuri, V.</w:t>
      </w:r>
      <w:r w:rsidR="004D1E05">
        <w:rPr>
          <w:rFonts w:ascii="Times New Roman" w:hAnsi="Times New Roman" w:cs="Times New Roman"/>
          <w:sz w:val="24"/>
          <w:szCs w:val="24"/>
        </w:rPr>
        <w:t>,</w:t>
      </w:r>
      <w:r>
        <w:rPr>
          <w:rFonts w:ascii="Times New Roman" w:hAnsi="Times New Roman" w:cs="Times New Roman"/>
          <w:sz w:val="24"/>
          <w:szCs w:val="24"/>
        </w:rPr>
        <w:t xml:space="preserve"> &amp; Beal, J. (2014).</w:t>
      </w:r>
      <w:proofErr w:type="gramEnd"/>
      <w:r>
        <w:rPr>
          <w:rFonts w:ascii="Times New Roman" w:hAnsi="Times New Roman" w:cs="Times New Roman"/>
          <w:sz w:val="24"/>
          <w:szCs w:val="24"/>
        </w:rPr>
        <w:t xml:space="preserve"> Evaluation of the microbial community, acidity and proximate composition of akamu, a fermented maize food. </w:t>
      </w:r>
      <w:r>
        <w:rPr>
          <w:rFonts w:ascii="Times New Roman" w:hAnsi="Times New Roman" w:cs="Times New Roman"/>
          <w:i/>
          <w:sz w:val="24"/>
          <w:szCs w:val="24"/>
        </w:rPr>
        <w:t>Journal of the Science of Food and Agriculture, 94</w:t>
      </w:r>
      <w:r>
        <w:rPr>
          <w:rFonts w:ascii="Times New Roman" w:hAnsi="Times New Roman" w:cs="Times New Roman"/>
          <w:sz w:val="24"/>
          <w:szCs w:val="24"/>
        </w:rPr>
        <w:t xml:space="preserve">(2), 331-340. </w:t>
      </w:r>
      <w:bookmarkEnd w:id="22"/>
    </w:p>
    <w:p w14:paraId="1302CF16" w14:textId="24FE19D4" w:rsidR="00406B68" w:rsidRDefault="001162EA">
      <w:pPr>
        <w:pStyle w:val="EndNoteBibliography"/>
        <w:spacing w:after="0" w:line="480" w:lineRule="auto"/>
        <w:jc w:val="both"/>
        <w:rPr>
          <w:rFonts w:ascii="Times New Roman" w:hAnsi="Times New Roman" w:cs="Times New Roman"/>
          <w:sz w:val="24"/>
          <w:szCs w:val="24"/>
        </w:rPr>
      </w:pPr>
      <w:bookmarkStart w:id="23" w:name="_ENREF_42"/>
      <w:proofErr w:type="gramStart"/>
      <w:r>
        <w:rPr>
          <w:rFonts w:ascii="Times New Roman" w:hAnsi="Times New Roman" w:cs="Times New Roman"/>
          <w:sz w:val="24"/>
          <w:szCs w:val="24"/>
        </w:rPr>
        <w:t>Odugbemi, T., Odujinrin, O., Akitoye, C., Oyerinde, J.</w:t>
      </w:r>
      <w:r w:rsidR="00787076">
        <w:rPr>
          <w:rFonts w:ascii="Times New Roman" w:hAnsi="Times New Roman" w:cs="Times New Roman"/>
          <w:sz w:val="24"/>
          <w:szCs w:val="24"/>
        </w:rPr>
        <w:t>,</w:t>
      </w:r>
      <w:r>
        <w:rPr>
          <w:rFonts w:ascii="Times New Roman" w:hAnsi="Times New Roman" w:cs="Times New Roman"/>
          <w:sz w:val="24"/>
          <w:szCs w:val="24"/>
        </w:rPr>
        <w:t xml:space="preserve"> &amp; Esumeh, F. (1991).</w:t>
      </w:r>
      <w:proofErr w:type="gramEnd"/>
      <w:r>
        <w:rPr>
          <w:rFonts w:ascii="Times New Roman" w:hAnsi="Times New Roman" w:cs="Times New Roman"/>
          <w:sz w:val="24"/>
          <w:szCs w:val="24"/>
        </w:rPr>
        <w:t xml:space="preserve"> Study on the pH of ogi, Nigerian fermented weaning food, and its effect on enteropathogenic Escherichia coli, Salmonella typhi and Salmonella paratyphi. </w:t>
      </w:r>
      <w:r>
        <w:rPr>
          <w:rFonts w:ascii="Times New Roman" w:hAnsi="Times New Roman" w:cs="Times New Roman"/>
          <w:i/>
          <w:sz w:val="24"/>
          <w:szCs w:val="24"/>
        </w:rPr>
        <w:t>The Journal of tropical medicine and hygiene, 94</w:t>
      </w:r>
      <w:r>
        <w:rPr>
          <w:rFonts w:ascii="Times New Roman" w:hAnsi="Times New Roman" w:cs="Times New Roman"/>
          <w:sz w:val="24"/>
          <w:szCs w:val="24"/>
        </w:rPr>
        <w:t xml:space="preserve">(4), 219-223. </w:t>
      </w:r>
      <w:bookmarkEnd w:id="23"/>
    </w:p>
    <w:p w14:paraId="6DCF3C35" w14:textId="4331A385" w:rsidR="00406B68" w:rsidRDefault="001162EA">
      <w:pPr>
        <w:pStyle w:val="EndNoteBibliography"/>
        <w:spacing w:after="0" w:line="480" w:lineRule="auto"/>
        <w:jc w:val="both"/>
        <w:rPr>
          <w:rFonts w:ascii="Times New Roman" w:hAnsi="Times New Roman" w:cs="Times New Roman"/>
          <w:sz w:val="24"/>
          <w:szCs w:val="24"/>
        </w:rPr>
      </w:pPr>
      <w:bookmarkStart w:id="24" w:name="_ENREF_44"/>
      <w:proofErr w:type="gramStart"/>
      <w:r>
        <w:rPr>
          <w:rFonts w:ascii="Times New Roman" w:hAnsi="Times New Roman" w:cs="Times New Roman"/>
          <w:sz w:val="24"/>
          <w:szCs w:val="24"/>
        </w:rPr>
        <w:t xml:space="preserve">Olayiwola, J. O., </w:t>
      </w:r>
      <w:proofErr w:type="spellStart"/>
      <w:r>
        <w:rPr>
          <w:rFonts w:ascii="Times New Roman" w:hAnsi="Times New Roman" w:cs="Times New Roman"/>
          <w:sz w:val="24"/>
          <w:szCs w:val="24"/>
        </w:rPr>
        <w:t>Inyang</w:t>
      </w:r>
      <w:proofErr w:type="spellEnd"/>
      <w:r>
        <w:rPr>
          <w:rFonts w:ascii="Times New Roman" w:hAnsi="Times New Roman" w:cs="Times New Roman"/>
          <w:sz w:val="24"/>
          <w:szCs w:val="24"/>
        </w:rPr>
        <w:t>, V.</w:t>
      </w:r>
      <w:r w:rsidR="00787076">
        <w:rPr>
          <w:rFonts w:ascii="Times New Roman" w:hAnsi="Times New Roman" w:cs="Times New Roman"/>
          <w:sz w:val="24"/>
          <w:szCs w:val="24"/>
        </w:rPr>
        <w:t>,</w:t>
      </w:r>
      <w:r>
        <w:rPr>
          <w:rFonts w:ascii="Times New Roman" w:hAnsi="Times New Roman" w:cs="Times New Roman"/>
          <w:sz w:val="24"/>
          <w:szCs w:val="24"/>
        </w:rPr>
        <w:t xml:space="preserve"> &amp; Bello, M. A. (2017).</w:t>
      </w:r>
      <w:proofErr w:type="gramEnd"/>
      <w:r>
        <w:rPr>
          <w:rFonts w:ascii="Times New Roman" w:hAnsi="Times New Roman" w:cs="Times New Roman"/>
          <w:sz w:val="24"/>
          <w:szCs w:val="24"/>
        </w:rPr>
        <w:t xml:space="preserve"> Bacteriological and proximate evaluation of ginger-fortified fermented Maize (OGI). </w:t>
      </w:r>
      <w:r>
        <w:rPr>
          <w:rFonts w:ascii="Times New Roman" w:hAnsi="Times New Roman" w:cs="Times New Roman"/>
          <w:i/>
          <w:sz w:val="24"/>
          <w:szCs w:val="24"/>
        </w:rPr>
        <w:t>Am. J. Food Technol, 12</w:t>
      </w:r>
      <w:r>
        <w:rPr>
          <w:rFonts w:ascii="Times New Roman" w:hAnsi="Times New Roman" w:cs="Times New Roman"/>
          <w:sz w:val="24"/>
          <w:szCs w:val="24"/>
        </w:rPr>
        <w:t xml:space="preserve">, 374-378. </w:t>
      </w:r>
      <w:bookmarkEnd w:id="24"/>
    </w:p>
    <w:p w14:paraId="4245A674" w14:textId="625B066C" w:rsidR="00406B68" w:rsidRDefault="001162EA">
      <w:pPr>
        <w:pStyle w:val="EndNoteBibliography"/>
        <w:spacing w:after="0" w:line="480" w:lineRule="auto"/>
        <w:jc w:val="both"/>
        <w:rPr>
          <w:rFonts w:ascii="Times New Roman" w:hAnsi="Times New Roman" w:cs="Times New Roman"/>
          <w:sz w:val="24"/>
          <w:szCs w:val="24"/>
        </w:rPr>
      </w:pPr>
      <w:bookmarkStart w:id="25" w:name="_ENREF_46"/>
      <w:proofErr w:type="gramStart"/>
      <w:r>
        <w:rPr>
          <w:rFonts w:ascii="Times New Roman" w:hAnsi="Times New Roman" w:cs="Times New Roman"/>
          <w:sz w:val="24"/>
          <w:szCs w:val="24"/>
        </w:rPr>
        <w:t xml:space="preserve">Ortiz, D., Nkhata, S. G., </w:t>
      </w:r>
      <w:proofErr w:type="spellStart"/>
      <w:r>
        <w:rPr>
          <w:rFonts w:ascii="Times New Roman" w:hAnsi="Times New Roman" w:cs="Times New Roman"/>
          <w:sz w:val="24"/>
          <w:szCs w:val="24"/>
        </w:rPr>
        <w:t>Rocheford</w:t>
      </w:r>
      <w:proofErr w:type="spellEnd"/>
      <w:r>
        <w:rPr>
          <w:rFonts w:ascii="Times New Roman" w:hAnsi="Times New Roman" w:cs="Times New Roman"/>
          <w:sz w:val="24"/>
          <w:szCs w:val="24"/>
        </w:rPr>
        <w:t>, T.</w:t>
      </w:r>
      <w:r w:rsidR="00787076">
        <w:rPr>
          <w:rFonts w:ascii="Times New Roman" w:hAnsi="Times New Roman" w:cs="Times New Roman"/>
          <w:sz w:val="24"/>
          <w:szCs w:val="24"/>
        </w:rPr>
        <w:t>,</w:t>
      </w:r>
      <w:r>
        <w:rPr>
          <w:rFonts w:ascii="Times New Roman" w:hAnsi="Times New Roman" w:cs="Times New Roman"/>
          <w:sz w:val="24"/>
          <w:szCs w:val="24"/>
        </w:rPr>
        <w:t xml:space="preserve"> &amp; Ferruzzi, M. G. (2019).</w:t>
      </w:r>
      <w:proofErr w:type="gramEnd"/>
      <w:r>
        <w:rPr>
          <w:rFonts w:ascii="Times New Roman" w:hAnsi="Times New Roman" w:cs="Times New Roman"/>
          <w:sz w:val="24"/>
          <w:szCs w:val="24"/>
        </w:rPr>
        <w:t xml:space="preserve"> Steeping of Biofortified Orange Maize Genotypes for Ogi Production Modifies Pasting Properties and Carotenoid Stability. </w:t>
      </w:r>
      <w:r>
        <w:rPr>
          <w:rFonts w:ascii="Times New Roman" w:hAnsi="Times New Roman" w:cs="Times New Roman"/>
          <w:i/>
          <w:sz w:val="24"/>
          <w:szCs w:val="24"/>
        </w:rPr>
        <w:t>Agronomy, 9</w:t>
      </w:r>
      <w:r>
        <w:rPr>
          <w:rFonts w:ascii="Times New Roman" w:hAnsi="Times New Roman" w:cs="Times New Roman"/>
          <w:sz w:val="24"/>
          <w:szCs w:val="24"/>
        </w:rPr>
        <w:t xml:space="preserve">(11), 771. </w:t>
      </w:r>
      <w:bookmarkEnd w:id="25"/>
    </w:p>
    <w:p w14:paraId="050F8AE2" w14:textId="77777777" w:rsidR="00406B68" w:rsidRDefault="001162EA">
      <w:pPr>
        <w:pStyle w:val="EndNoteBibliography"/>
        <w:spacing w:after="0" w:line="480" w:lineRule="auto"/>
        <w:jc w:val="both"/>
        <w:rPr>
          <w:rFonts w:ascii="Times New Roman" w:hAnsi="Times New Roman" w:cs="Times New Roman"/>
          <w:sz w:val="24"/>
          <w:szCs w:val="24"/>
        </w:rPr>
      </w:pPr>
      <w:bookmarkStart w:id="26" w:name="_ENREF_47"/>
      <w:r>
        <w:rPr>
          <w:rFonts w:ascii="Times New Roman" w:hAnsi="Times New Roman" w:cs="Times New Roman"/>
          <w:sz w:val="24"/>
          <w:szCs w:val="24"/>
        </w:rPr>
        <w:t xml:space="preserve">Oyarekua, M. (2011). Evaluation of the nutritional and microbiological status of co-fermented cereals/cowpea ‘OGI’. </w:t>
      </w:r>
      <w:r>
        <w:rPr>
          <w:rFonts w:ascii="Times New Roman" w:hAnsi="Times New Roman" w:cs="Times New Roman"/>
          <w:i/>
          <w:sz w:val="24"/>
          <w:szCs w:val="24"/>
        </w:rPr>
        <w:t>Agriculture and Biology Journal of North America, 2</w:t>
      </w:r>
      <w:r>
        <w:rPr>
          <w:rFonts w:ascii="Times New Roman" w:hAnsi="Times New Roman" w:cs="Times New Roman"/>
          <w:sz w:val="24"/>
          <w:szCs w:val="24"/>
        </w:rPr>
        <w:t xml:space="preserve">(1), 61-73. </w:t>
      </w:r>
      <w:bookmarkEnd w:id="26"/>
    </w:p>
    <w:p w14:paraId="404FB24E" w14:textId="591246A8" w:rsidR="00406B68" w:rsidRDefault="001162EA">
      <w:pPr>
        <w:pStyle w:val="EndNoteBibliography"/>
        <w:spacing w:after="0" w:line="480" w:lineRule="auto"/>
        <w:jc w:val="both"/>
        <w:rPr>
          <w:rFonts w:ascii="Times New Roman" w:hAnsi="Times New Roman" w:cs="Times New Roman"/>
          <w:sz w:val="24"/>
          <w:szCs w:val="24"/>
        </w:rPr>
      </w:pPr>
      <w:bookmarkStart w:id="27" w:name="_ENREF_50"/>
      <w:proofErr w:type="gramStart"/>
      <w:r>
        <w:rPr>
          <w:rFonts w:ascii="Times New Roman" w:hAnsi="Times New Roman" w:cs="Times New Roman"/>
          <w:sz w:val="24"/>
          <w:szCs w:val="24"/>
        </w:rPr>
        <w:t>Rao, Y. S.</w:t>
      </w:r>
      <w:r w:rsidR="00787076">
        <w:rPr>
          <w:rFonts w:ascii="Times New Roman" w:hAnsi="Times New Roman" w:cs="Times New Roman"/>
          <w:sz w:val="24"/>
          <w:szCs w:val="24"/>
        </w:rPr>
        <w:t>,</w:t>
      </w:r>
      <w:r>
        <w:rPr>
          <w:rFonts w:ascii="Times New Roman" w:hAnsi="Times New Roman" w:cs="Times New Roman"/>
          <w:sz w:val="24"/>
          <w:szCs w:val="24"/>
        </w:rPr>
        <w:t xml:space="preserve"> &amp; Mathew, K. M. (2012).</w:t>
      </w:r>
      <w:proofErr w:type="gramEnd"/>
      <w:r>
        <w:rPr>
          <w:rFonts w:ascii="Times New Roman" w:hAnsi="Times New Roman" w:cs="Times New Roman"/>
          <w:sz w:val="24"/>
          <w:szCs w:val="24"/>
        </w:rPr>
        <w:t xml:space="preserve"> Tamarind </w:t>
      </w:r>
      <w:r>
        <w:rPr>
          <w:rFonts w:ascii="Times New Roman" w:hAnsi="Times New Roman" w:cs="Times New Roman"/>
          <w:i/>
          <w:sz w:val="24"/>
          <w:szCs w:val="24"/>
        </w:rPr>
        <w:t>Handbook of Herbs and Spices</w:t>
      </w:r>
      <w:r>
        <w:rPr>
          <w:rFonts w:ascii="Times New Roman" w:hAnsi="Times New Roman" w:cs="Times New Roman"/>
          <w:sz w:val="24"/>
          <w:szCs w:val="24"/>
        </w:rPr>
        <w:t xml:space="preserve"> (pp. 512-533): Elsevier.</w:t>
      </w:r>
      <w:bookmarkEnd w:id="27"/>
    </w:p>
    <w:p w14:paraId="4C7828A3" w14:textId="77777777" w:rsidR="00406B68" w:rsidRDefault="001162EA">
      <w:pPr>
        <w:pStyle w:val="EndNoteBibliography"/>
        <w:spacing w:after="0" w:line="480" w:lineRule="auto"/>
        <w:jc w:val="both"/>
        <w:rPr>
          <w:rFonts w:ascii="Times New Roman" w:hAnsi="Times New Roman" w:cs="Times New Roman"/>
          <w:sz w:val="24"/>
          <w:szCs w:val="24"/>
        </w:rPr>
      </w:pPr>
      <w:bookmarkStart w:id="28" w:name="_ENREF_55"/>
      <w:r>
        <w:rPr>
          <w:rFonts w:ascii="Times New Roman" w:hAnsi="Times New Roman" w:cs="Times New Roman"/>
          <w:sz w:val="24"/>
          <w:szCs w:val="24"/>
        </w:rPr>
        <w:t xml:space="preserve">Shankaracharya, N. (1998). Tamarind-chemistry, technology and uses-a critical appraisal. </w:t>
      </w:r>
      <w:r>
        <w:rPr>
          <w:rFonts w:ascii="Times New Roman" w:hAnsi="Times New Roman" w:cs="Times New Roman"/>
          <w:i/>
          <w:sz w:val="24"/>
          <w:szCs w:val="24"/>
        </w:rPr>
        <w:t>Journal of Food Science and Technology, 35</w:t>
      </w:r>
      <w:r>
        <w:rPr>
          <w:rFonts w:ascii="Times New Roman" w:hAnsi="Times New Roman" w:cs="Times New Roman"/>
          <w:sz w:val="24"/>
          <w:szCs w:val="24"/>
        </w:rPr>
        <w:t xml:space="preserve">(3), 193-208. </w:t>
      </w:r>
      <w:bookmarkEnd w:id="28"/>
    </w:p>
    <w:p w14:paraId="38BBC7F0" w14:textId="0A767005" w:rsidR="00406B68" w:rsidRDefault="001162EA">
      <w:pPr>
        <w:pStyle w:val="EndNoteBibliography"/>
        <w:spacing w:after="0" w:line="480" w:lineRule="auto"/>
        <w:jc w:val="both"/>
        <w:rPr>
          <w:rFonts w:ascii="Times New Roman" w:hAnsi="Times New Roman" w:cs="Times New Roman"/>
          <w:sz w:val="24"/>
          <w:szCs w:val="24"/>
        </w:rPr>
      </w:pPr>
      <w:bookmarkStart w:id="29" w:name="_ENREF_57"/>
      <w:proofErr w:type="gramStart"/>
      <w:r>
        <w:rPr>
          <w:rFonts w:ascii="Times New Roman" w:hAnsi="Times New Roman" w:cs="Times New Roman"/>
          <w:sz w:val="24"/>
          <w:szCs w:val="24"/>
        </w:rPr>
        <w:lastRenderedPageBreak/>
        <w:t>Singh, N., Singh, S.</w:t>
      </w:r>
      <w:r w:rsidR="00E60107">
        <w:rPr>
          <w:rFonts w:ascii="Times New Roman" w:hAnsi="Times New Roman" w:cs="Times New Roman"/>
          <w:sz w:val="24"/>
          <w:szCs w:val="24"/>
        </w:rPr>
        <w:t>,</w:t>
      </w:r>
      <w:r>
        <w:rPr>
          <w:rFonts w:ascii="Times New Roman" w:hAnsi="Times New Roman" w:cs="Times New Roman"/>
          <w:sz w:val="24"/>
          <w:szCs w:val="24"/>
        </w:rPr>
        <w:t xml:space="preserve"> &amp; Shevkani, K. (2019).</w:t>
      </w:r>
      <w:proofErr w:type="gramEnd"/>
      <w:r>
        <w:rPr>
          <w:rFonts w:ascii="Times New Roman" w:hAnsi="Times New Roman" w:cs="Times New Roman"/>
          <w:sz w:val="24"/>
          <w:szCs w:val="24"/>
        </w:rPr>
        <w:t xml:space="preserve"> Maize: Composition, bioactive constituents, and unleavened bread </w:t>
      </w:r>
      <w:r>
        <w:rPr>
          <w:rFonts w:ascii="Times New Roman" w:hAnsi="Times New Roman" w:cs="Times New Roman"/>
          <w:i/>
          <w:sz w:val="24"/>
          <w:szCs w:val="24"/>
        </w:rPr>
        <w:t>Flour and breads and their fortification in health and disease prevention</w:t>
      </w:r>
      <w:r>
        <w:rPr>
          <w:rFonts w:ascii="Times New Roman" w:hAnsi="Times New Roman" w:cs="Times New Roman"/>
          <w:sz w:val="24"/>
          <w:szCs w:val="24"/>
        </w:rPr>
        <w:t xml:space="preserve"> (pp. 111-121): Elsevier.</w:t>
      </w:r>
      <w:bookmarkEnd w:id="29"/>
    </w:p>
    <w:p w14:paraId="16F20A0C" w14:textId="7CB429A9" w:rsidR="00406B68" w:rsidRDefault="001162EA">
      <w:pPr>
        <w:pStyle w:val="EndNoteBibliography"/>
        <w:spacing w:after="0" w:line="480" w:lineRule="auto"/>
        <w:jc w:val="both"/>
        <w:rPr>
          <w:rFonts w:ascii="Times New Roman" w:hAnsi="Times New Roman" w:cs="Times New Roman"/>
          <w:sz w:val="24"/>
          <w:szCs w:val="24"/>
        </w:rPr>
      </w:pPr>
      <w:bookmarkStart w:id="30" w:name="_ENREF_61"/>
      <w:proofErr w:type="gramStart"/>
      <w:r>
        <w:rPr>
          <w:rFonts w:ascii="Times New Roman" w:hAnsi="Times New Roman" w:cs="Times New Roman"/>
          <w:sz w:val="24"/>
          <w:szCs w:val="24"/>
        </w:rPr>
        <w:t>Tester, R. F.</w:t>
      </w:r>
      <w:r w:rsidR="00E60107">
        <w:rPr>
          <w:rFonts w:ascii="Times New Roman" w:hAnsi="Times New Roman" w:cs="Times New Roman"/>
          <w:sz w:val="24"/>
          <w:szCs w:val="24"/>
        </w:rPr>
        <w:t>,</w:t>
      </w:r>
      <w:r>
        <w:rPr>
          <w:rFonts w:ascii="Times New Roman" w:hAnsi="Times New Roman" w:cs="Times New Roman"/>
          <w:sz w:val="24"/>
          <w:szCs w:val="24"/>
        </w:rPr>
        <w:t xml:space="preserve"> &amp; Morrison, W. R. (1990).</w:t>
      </w:r>
      <w:proofErr w:type="gramEnd"/>
      <w:r>
        <w:rPr>
          <w:rFonts w:ascii="Times New Roman" w:hAnsi="Times New Roman" w:cs="Times New Roman"/>
          <w:sz w:val="24"/>
          <w:szCs w:val="24"/>
        </w:rPr>
        <w:t xml:space="preserve"> Swelling and gelatinization of cereal starches. I. Effects of amylopectin, amylose, and lipids. </w:t>
      </w:r>
      <w:r>
        <w:rPr>
          <w:rFonts w:ascii="Times New Roman" w:hAnsi="Times New Roman" w:cs="Times New Roman"/>
          <w:i/>
          <w:sz w:val="24"/>
          <w:szCs w:val="24"/>
        </w:rPr>
        <w:t>Cereal chem, 67</w:t>
      </w:r>
      <w:r>
        <w:rPr>
          <w:rFonts w:ascii="Times New Roman" w:hAnsi="Times New Roman" w:cs="Times New Roman"/>
          <w:sz w:val="24"/>
          <w:szCs w:val="24"/>
        </w:rPr>
        <w:t xml:space="preserve">(6), 551-557. </w:t>
      </w:r>
      <w:bookmarkEnd w:id="30"/>
    </w:p>
    <w:p w14:paraId="5E782940" w14:textId="26AF266E" w:rsidR="00406B68" w:rsidRDefault="001162EA">
      <w:pPr>
        <w:pStyle w:val="EndNoteBibliography"/>
        <w:spacing w:after="0" w:line="480" w:lineRule="auto"/>
        <w:jc w:val="both"/>
        <w:rPr>
          <w:rFonts w:ascii="Times New Roman" w:hAnsi="Times New Roman" w:cs="Times New Roman"/>
          <w:sz w:val="24"/>
          <w:szCs w:val="24"/>
        </w:rPr>
      </w:pPr>
      <w:bookmarkStart w:id="31" w:name="_ENREF_62"/>
      <w:proofErr w:type="gramStart"/>
      <w:r>
        <w:rPr>
          <w:rFonts w:ascii="Times New Roman" w:hAnsi="Times New Roman" w:cs="Times New Roman"/>
          <w:sz w:val="24"/>
          <w:szCs w:val="24"/>
        </w:rPr>
        <w:t xml:space="preserve">Ukom, A., Adiegwu, E., </w:t>
      </w:r>
      <w:proofErr w:type="spellStart"/>
      <w:r>
        <w:rPr>
          <w:rFonts w:ascii="Times New Roman" w:hAnsi="Times New Roman" w:cs="Times New Roman"/>
          <w:sz w:val="24"/>
          <w:szCs w:val="24"/>
        </w:rPr>
        <w:t>Ojimelukwe</w:t>
      </w:r>
      <w:proofErr w:type="spellEnd"/>
      <w:r>
        <w:rPr>
          <w:rFonts w:ascii="Times New Roman" w:hAnsi="Times New Roman" w:cs="Times New Roman"/>
          <w:sz w:val="24"/>
          <w:szCs w:val="24"/>
        </w:rPr>
        <w:t>, P.</w:t>
      </w:r>
      <w:r w:rsidR="00E60107">
        <w:rPr>
          <w:rFonts w:ascii="Times New Roman" w:hAnsi="Times New Roman" w:cs="Times New Roman"/>
          <w:sz w:val="24"/>
          <w:szCs w:val="24"/>
        </w:rPr>
        <w:t>,</w:t>
      </w:r>
      <w:r>
        <w:rPr>
          <w:rFonts w:ascii="Times New Roman" w:hAnsi="Times New Roman" w:cs="Times New Roman"/>
          <w:sz w:val="24"/>
          <w:szCs w:val="24"/>
        </w:rPr>
        <w:t xml:space="preserve"> &amp; Okwunodulu, I. (2019).</w:t>
      </w:r>
      <w:proofErr w:type="gramEnd"/>
      <w:r>
        <w:rPr>
          <w:rFonts w:ascii="Times New Roman" w:hAnsi="Times New Roman" w:cs="Times New Roman"/>
          <w:sz w:val="24"/>
          <w:szCs w:val="24"/>
        </w:rPr>
        <w:t xml:space="preserve"> Quality and sensory acceptability of yellow maize ogi porridge enriched with orange-fleshed sweet potato and African yam bean seed flours for infants. </w:t>
      </w:r>
      <w:r>
        <w:rPr>
          <w:rFonts w:ascii="Times New Roman" w:hAnsi="Times New Roman" w:cs="Times New Roman"/>
          <w:i/>
          <w:sz w:val="24"/>
          <w:szCs w:val="24"/>
        </w:rPr>
        <w:t>Scientific African, 6</w:t>
      </w:r>
      <w:r>
        <w:rPr>
          <w:rFonts w:ascii="Times New Roman" w:hAnsi="Times New Roman" w:cs="Times New Roman"/>
          <w:sz w:val="24"/>
          <w:szCs w:val="24"/>
        </w:rPr>
        <w:t xml:space="preserve">, e00194. </w:t>
      </w:r>
      <w:bookmarkEnd w:id="31"/>
    </w:p>
    <w:p w14:paraId="42D3739C" w14:textId="6372DBED" w:rsidR="00406B68" w:rsidRDefault="001162EA">
      <w:pPr>
        <w:pStyle w:val="EndNoteBibliography"/>
        <w:spacing w:after="0" w:line="480" w:lineRule="auto"/>
        <w:jc w:val="both"/>
        <w:rPr>
          <w:rFonts w:ascii="Times New Roman" w:hAnsi="Times New Roman" w:cs="Times New Roman"/>
          <w:sz w:val="24"/>
          <w:szCs w:val="24"/>
        </w:rPr>
      </w:pPr>
      <w:bookmarkStart w:id="32" w:name="_ENREF_64"/>
      <w:r>
        <w:rPr>
          <w:rFonts w:ascii="Times New Roman" w:hAnsi="Times New Roman" w:cs="Times New Roman"/>
          <w:sz w:val="24"/>
          <w:szCs w:val="24"/>
        </w:rPr>
        <w:t xml:space="preserve">Usman, G. O. (2012). </w:t>
      </w:r>
      <w:r>
        <w:rPr>
          <w:rFonts w:ascii="Times New Roman" w:hAnsi="Times New Roman" w:cs="Times New Roman"/>
          <w:i/>
          <w:sz w:val="24"/>
          <w:szCs w:val="24"/>
        </w:rPr>
        <w:t>Production and evaluation of breakfast cereals from blends of african yam bean (Sphenostylis stenocarpa), maize (Zea mays) and defatted coconut (Cocos nucifera).</w:t>
      </w:r>
      <w:r>
        <w:rPr>
          <w:rFonts w:ascii="Times New Roman" w:hAnsi="Times New Roman" w:cs="Times New Roman"/>
          <w:sz w:val="24"/>
          <w:szCs w:val="24"/>
        </w:rPr>
        <w:t xml:space="preserve"> </w:t>
      </w:r>
      <w:proofErr w:type="gramStart"/>
      <w:r>
        <w:rPr>
          <w:rFonts w:ascii="Times New Roman" w:hAnsi="Times New Roman" w:cs="Times New Roman"/>
          <w:sz w:val="24"/>
          <w:szCs w:val="24"/>
        </w:rPr>
        <w:t>M. Sc Thesis, Department of Food Science and Technology</w:t>
      </w:r>
      <w:r w:rsidR="0090153C">
        <w:rPr>
          <w:rFonts w:ascii="Times New Roman" w:hAnsi="Times New Roman" w:cs="Times New Roman"/>
          <w:sz w:val="24"/>
          <w:szCs w:val="24"/>
        </w:rPr>
        <w:t>.</w:t>
      </w:r>
      <w:proofErr w:type="gramEnd"/>
      <w:r>
        <w:rPr>
          <w:rFonts w:ascii="Times New Roman" w:hAnsi="Times New Roman" w:cs="Times New Roman"/>
          <w:sz w:val="24"/>
          <w:szCs w:val="24"/>
        </w:rPr>
        <w:t xml:space="preserve">  </w:t>
      </w:r>
      <w:bookmarkEnd w:id="32"/>
    </w:p>
    <w:p w14:paraId="45070F13" w14:textId="262FCB1D" w:rsidR="00406B68" w:rsidRDefault="001162EA">
      <w:pPr>
        <w:pStyle w:val="EndNoteBibliography"/>
        <w:spacing w:after="0" w:line="480" w:lineRule="auto"/>
        <w:jc w:val="both"/>
        <w:rPr>
          <w:rFonts w:ascii="Times New Roman" w:hAnsi="Times New Roman" w:cs="Times New Roman"/>
          <w:sz w:val="24"/>
          <w:szCs w:val="24"/>
        </w:rPr>
      </w:pPr>
      <w:bookmarkStart w:id="33" w:name="_ENREF_65"/>
      <w:r>
        <w:rPr>
          <w:rFonts w:ascii="Times New Roman" w:hAnsi="Times New Roman" w:cs="Times New Roman"/>
          <w:sz w:val="24"/>
          <w:szCs w:val="24"/>
        </w:rPr>
        <w:t>Uwagbale, E.E. D., Saratu, A.S., Akagwu, O. V., Stephen, O. O.</w:t>
      </w:r>
      <w:r w:rsidR="0090153C">
        <w:rPr>
          <w:rFonts w:ascii="Times New Roman" w:hAnsi="Times New Roman" w:cs="Times New Roman"/>
          <w:sz w:val="24"/>
          <w:szCs w:val="24"/>
        </w:rPr>
        <w:t>,</w:t>
      </w:r>
      <w:r>
        <w:rPr>
          <w:rFonts w:ascii="Times New Roman" w:hAnsi="Times New Roman" w:cs="Times New Roman"/>
          <w:sz w:val="24"/>
          <w:szCs w:val="24"/>
        </w:rPr>
        <w:t xml:space="preserve"> &amp; Lilian, A. M. (2016). African Cereals and Non-African Cereals: A Comparative Review of Their Nutritional Composition. </w:t>
      </w:r>
      <w:r>
        <w:rPr>
          <w:rFonts w:ascii="Times New Roman" w:hAnsi="Times New Roman" w:cs="Times New Roman"/>
          <w:i/>
          <w:sz w:val="24"/>
          <w:szCs w:val="24"/>
        </w:rPr>
        <w:t>World, 1</w:t>
      </w:r>
      <w:r>
        <w:rPr>
          <w:rFonts w:ascii="Times New Roman" w:hAnsi="Times New Roman" w:cs="Times New Roman"/>
          <w:sz w:val="24"/>
          <w:szCs w:val="24"/>
        </w:rPr>
        <w:t xml:space="preserve">(1), 30-37. </w:t>
      </w:r>
      <w:bookmarkEnd w:id="33"/>
    </w:p>
    <w:p w14:paraId="3ADA18DB" w14:textId="128FDB80" w:rsidR="00406B68" w:rsidRDefault="001162EA">
      <w:pPr>
        <w:pStyle w:val="EndNoteBibliography"/>
        <w:spacing w:after="0" w:line="480" w:lineRule="auto"/>
        <w:jc w:val="both"/>
        <w:rPr>
          <w:rFonts w:ascii="Times New Roman" w:hAnsi="Times New Roman" w:cs="Times New Roman"/>
          <w:sz w:val="24"/>
          <w:szCs w:val="24"/>
        </w:rPr>
      </w:pPr>
      <w:bookmarkStart w:id="34" w:name="_ENREF_66"/>
      <w:proofErr w:type="spellStart"/>
      <w:proofErr w:type="gramStart"/>
      <w:r>
        <w:rPr>
          <w:rFonts w:ascii="Times New Roman" w:hAnsi="Times New Roman" w:cs="Times New Roman"/>
          <w:sz w:val="24"/>
          <w:szCs w:val="24"/>
        </w:rPr>
        <w:t>Vollbrecht</w:t>
      </w:r>
      <w:proofErr w:type="spellEnd"/>
      <w:r>
        <w:rPr>
          <w:rFonts w:ascii="Times New Roman" w:hAnsi="Times New Roman" w:cs="Times New Roman"/>
          <w:sz w:val="24"/>
          <w:szCs w:val="24"/>
        </w:rPr>
        <w:t>, E.</w:t>
      </w:r>
      <w:r w:rsidR="0090153C">
        <w:rPr>
          <w:rFonts w:ascii="Times New Roman" w:hAnsi="Times New Roman" w:cs="Times New Roman"/>
          <w:sz w:val="24"/>
          <w:szCs w:val="24"/>
        </w:rPr>
        <w:t>,</w:t>
      </w:r>
      <w:r>
        <w:rPr>
          <w:rFonts w:ascii="Times New Roman" w:hAnsi="Times New Roman" w:cs="Times New Roman"/>
          <w:sz w:val="24"/>
          <w:szCs w:val="24"/>
        </w:rPr>
        <w:t xml:space="preserve"> &amp; Sigmon, B. (2005).</w:t>
      </w:r>
      <w:proofErr w:type="gramEnd"/>
      <w:r>
        <w:rPr>
          <w:rFonts w:ascii="Times New Roman" w:hAnsi="Times New Roman" w:cs="Times New Roman"/>
          <w:sz w:val="24"/>
          <w:szCs w:val="24"/>
        </w:rPr>
        <w:t xml:space="preserve"> Amazing grass: developmental genetics of maize domestication. </w:t>
      </w:r>
      <w:r>
        <w:rPr>
          <w:rFonts w:ascii="Times New Roman" w:hAnsi="Times New Roman" w:cs="Times New Roman"/>
          <w:i/>
          <w:sz w:val="24"/>
          <w:szCs w:val="24"/>
        </w:rPr>
        <w:t>Biochemical Society Transactions, 33</w:t>
      </w:r>
      <w:r>
        <w:rPr>
          <w:rFonts w:ascii="Times New Roman" w:hAnsi="Times New Roman" w:cs="Times New Roman"/>
          <w:sz w:val="24"/>
          <w:szCs w:val="24"/>
        </w:rPr>
        <w:t xml:space="preserve">(6), 1502-1506. </w:t>
      </w:r>
      <w:bookmarkEnd w:id="34"/>
    </w:p>
    <w:p w14:paraId="5BF851F0" w14:textId="77777777" w:rsidR="00406B68" w:rsidRDefault="001162EA">
      <w:pPr>
        <w:pStyle w:val="EndNoteBibliography"/>
        <w:spacing w:line="480" w:lineRule="auto"/>
        <w:jc w:val="both"/>
        <w:rPr>
          <w:rFonts w:ascii="Times New Roman" w:hAnsi="Times New Roman" w:cs="Times New Roman"/>
          <w:sz w:val="24"/>
          <w:szCs w:val="24"/>
        </w:rPr>
      </w:pPr>
      <w:bookmarkStart w:id="35" w:name="_ENREF_67"/>
      <w:r>
        <w:rPr>
          <w:rFonts w:ascii="Times New Roman" w:hAnsi="Times New Roman" w:cs="Times New Roman"/>
          <w:sz w:val="24"/>
          <w:szCs w:val="24"/>
        </w:rPr>
        <w:t xml:space="preserve">Williams, P. G. (2014). The benefits of breakfast cereal consumption: a systematic review of the evidence base. </w:t>
      </w:r>
      <w:r>
        <w:rPr>
          <w:rFonts w:ascii="Times New Roman" w:hAnsi="Times New Roman" w:cs="Times New Roman"/>
          <w:i/>
          <w:sz w:val="24"/>
          <w:szCs w:val="24"/>
        </w:rPr>
        <w:t>Advances in Nutrition, 5</w:t>
      </w:r>
      <w:r>
        <w:rPr>
          <w:rFonts w:ascii="Times New Roman" w:hAnsi="Times New Roman" w:cs="Times New Roman"/>
          <w:sz w:val="24"/>
          <w:szCs w:val="24"/>
        </w:rPr>
        <w:t xml:space="preserve">(5), 636S-673S. </w:t>
      </w:r>
      <w:bookmarkEnd w:id="35"/>
    </w:p>
    <w:p w14:paraId="606C4FDC" w14:textId="77777777" w:rsidR="00406B68" w:rsidRDefault="001162E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644BDD59" w14:textId="77777777" w:rsidR="00406B68" w:rsidRDefault="00406B68">
      <w:pPr>
        <w:pStyle w:val="ListParagraph"/>
        <w:spacing w:line="480" w:lineRule="auto"/>
        <w:jc w:val="both"/>
        <w:rPr>
          <w:rFonts w:ascii="Times New Roman" w:hAnsi="Times New Roman" w:cs="Times New Roman"/>
          <w:sz w:val="24"/>
          <w:szCs w:val="24"/>
        </w:rPr>
      </w:pPr>
    </w:p>
    <w:p w14:paraId="4D7779FF" w14:textId="77777777" w:rsidR="00406B68" w:rsidRDefault="00406B68">
      <w:pPr>
        <w:pStyle w:val="ListParagraph"/>
        <w:spacing w:line="480" w:lineRule="auto"/>
        <w:jc w:val="both"/>
        <w:rPr>
          <w:rFonts w:ascii="Times New Roman" w:hAnsi="Times New Roman" w:cs="Times New Roman"/>
          <w:sz w:val="24"/>
          <w:szCs w:val="24"/>
        </w:rPr>
      </w:pPr>
    </w:p>
    <w:p w14:paraId="7B8FFD3B" w14:textId="77777777" w:rsidR="00406B68" w:rsidRDefault="00406B68">
      <w:pPr>
        <w:pStyle w:val="ListParagraph"/>
        <w:spacing w:line="480" w:lineRule="auto"/>
        <w:jc w:val="both"/>
        <w:rPr>
          <w:rFonts w:ascii="Times New Roman" w:hAnsi="Times New Roman" w:cs="Times New Roman"/>
          <w:sz w:val="24"/>
          <w:szCs w:val="24"/>
        </w:rPr>
      </w:pPr>
    </w:p>
    <w:p w14:paraId="5DF2B937" w14:textId="77777777" w:rsidR="00406B68" w:rsidRDefault="00406B68">
      <w:pPr>
        <w:spacing w:line="480" w:lineRule="auto"/>
        <w:jc w:val="both"/>
        <w:rPr>
          <w:rFonts w:ascii="Times New Roman" w:hAnsi="Times New Roman" w:cs="Times New Roman"/>
          <w:b/>
          <w:sz w:val="24"/>
          <w:szCs w:val="24"/>
        </w:rPr>
      </w:pPr>
    </w:p>
    <w:p w14:paraId="43B86BB1" w14:textId="77777777" w:rsidR="00406B68" w:rsidRDefault="00406B68">
      <w:pPr>
        <w:spacing w:line="480" w:lineRule="auto"/>
        <w:jc w:val="both"/>
        <w:rPr>
          <w:rFonts w:ascii="Times New Roman" w:hAnsi="Times New Roman" w:cs="Times New Roman"/>
          <w:b/>
          <w:sz w:val="24"/>
          <w:szCs w:val="24"/>
        </w:rPr>
      </w:pPr>
    </w:p>
    <w:p w14:paraId="150830AE" w14:textId="77777777" w:rsidR="00406B68" w:rsidRDefault="00406B68">
      <w:pPr>
        <w:spacing w:line="480" w:lineRule="auto"/>
        <w:jc w:val="both"/>
        <w:rPr>
          <w:rFonts w:ascii="Times New Roman" w:hAnsi="Times New Roman" w:cs="Times New Roman"/>
          <w:sz w:val="24"/>
          <w:szCs w:val="24"/>
        </w:rPr>
      </w:pPr>
    </w:p>
    <w:sectPr w:rsidR="00406B68">
      <w:footerReference w:type="default" r:id="rId10"/>
      <w:pgSz w:w="12240" w:h="15840"/>
      <w:pgMar w:top="864" w:right="864" w:bottom="864" w:left="864"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32744D" w15:done="0"/>
  <w15:commentEx w15:paraId="69851CB5" w15:done="0"/>
  <w15:commentEx w15:paraId="31223339" w15:done="0"/>
  <w15:commentEx w15:paraId="4C4C240D" w15:done="0"/>
  <w15:commentEx w15:paraId="33563BBC" w15:done="0"/>
  <w15:commentEx w15:paraId="34213F7B" w15:done="0"/>
  <w15:commentEx w15:paraId="56C0751F" w15:done="0"/>
  <w15:commentEx w15:paraId="281B7FBD" w15:done="0"/>
  <w15:commentEx w15:paraId="6F5C0337" w15:done="0"/>
  <w15:commentEx w15:paraId="413C7A9D" w15:done="0"/>
  <w15:commentEx w15:paraId="47BF2A72" w15:done="0"/>
  <w15:commentEx w15:paraId="109B1D9F" w15:done="0"/>
  <w15:commentEx w15:paraId="5EA46E67" w15:done="0"/>
  <w15:commentEx w15:paraId="00962348" w15:done="0"/>
  <w15:commentEx w15:paraId="34F14731" w15:done="0"/>
  <w15:commentEx w15:paraId="63DC1A30" w15:done="0"/>
  <w15:commentEx w15:paraId="27AF305F" w15:done="0"/>
  <w15:commentEx w15:paraId="06C65EE4" w15:done="0"/>
  <w15:commentEx w15:paraId="373877C9" w15:done="0"/>
  <w15:commentEx w15:paraId="334D1C35" w15:done="0"/>
  <w15:commentEx w15:paraId="17354C0A" w15:done="0"/>
  <w15:commentEx w15:paraId="4D5F2742" w15:done="0"/>
  <w15:commentEx w15:paraId="06A41768" w15:done="0"/>
  <w15:commentEx w15:paraId="249F099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32744D" w16cid:durableId="27E2571A"/>
  <w16cid:commentId w16cid:paraId="69851CB5" w16cid:durableId="27E2571B"/>
  <w16cid:commentId w16cid:paraId="31223339" w16cid:durableId="27E2571C"/>
  <w16cid:commentId w16cid:paraId="4C4C240D" w16cid:durableId="27E2571D"/>
  <w16cid:commentId w16cid:paraId="33563BBC" w16cid:durableId="27E2571E"/>
  <w16cid:commentId w16cid:paraId="34213F7B" w16cid:durableId="27E2571F"/>
  <w16cid:commentId w16cid:paraId="56C0751F" w16cid:durableId="27E25720"/>
  <w16cid:commentId w16cid:paraId="281B7FBD" w16cid:durableId="27E25721"/>
  <w16cid:commentId w16cid:paraId="6F5C0337" w16cid:durableId="27E25722"/>
  <w16cid:commentId w16cid:paraId="413C7A9D" w16cid:durableId="27E25723"/>
  <w16cid:commentId w16cid:paraId="47BF2A72" w16cid:durableId="27E25724"/>
  <w16cid:commentId w16cid:paraId="109B1D9F" w16cid:durableId="27E25725"/>
  <w16cid:commentId w16cid:paraId="5EA46E67" w16cid:durableId="27E25726"/>
  <w16cid:commentId w16cid:paraId="00962348" w16cid:durableId="27E25727"/>
  <w16cid:commentId w16cid:paraId="34F14731" w16cid:durableId="27E25728"/>
  <w16cid:commentId w16cid:paraId="63DC1A30" w16cid:durableId="27E25729"/>
  <w16cid:commentId w16cid:paraId="27AF305F" w16cid:durableId="27E2572A"/>
  <w16cid:commentId w16cid:paraId="06C65EE4" w16cid:durableId="27E2572B"/>
  <w16cid:commentId w16cid:paraId="373877C9" w16cid:durableId="27E2572C"/>
  <w16cid:commentId w16cid:paraId="334D1C35" w16cid:durableId="27E2572D"/>
  <w16cid:commentId w16cid:paraId="17354C0A" w16cid:durableId="27E2572E"/>
  <w16cid:commentId w16cid:paraId="4D5F2742" w16cid:durableId="27E2572F"/>
  <w16cid:commentId w16cid:paraId="06A41768" w16cid:durableId="27E25730"/>
  <w16cid:commentId w16cid:paraId="249F099B" w16cid:durableId="27E2573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5909C" w14:textId="77777777" w:rsidR="007167B8" w:rsidRDefault="007167B8">
      <w:pPr>
        <w:spacing w:line="240" w:lineRule="auto"/>
      </w:pPr>
      <w:r>
        <w:separator/>
      </w:r>
    </w:p>
  </w:endnote>
  <w:endnote w:type="continuationSeparator" w:id="0">
    <w:p w14:paraId="3EF4AAE0" w14:textId="77777777" w:rsidR="007167B8" w:rsidRDefault="007167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288460"/>
      <w:docPartObj>
        <w:docPartGallery w:val="AutoText"/>
      </w:docPartObj>
    </w:sdtPr>
    <w:sdtEndPr/>
    <w:sdtContent>
      <w:p w14:paraId="4EC906DA" w14:textId="77777777" w:rsidR="00FD7E7D" w:rsidRDefault="00FD7E7D">
        <w:pPr>
          <w:pStyle w:val="Footer"/>
          <w:jc w:val="center"/>
        </w:pPr>
        <w:r>
          <w:fldChar w:fldCharType="begin"/>
        </w:r>
        <w:r>
          <w:instrText xml:space="preserve"> PAGE   \* MERGEFORMAT </w:instrText>
        </w:r>
        <w:r>
          <w:fldChar w:fldCharType="separate"/>
        </w:r>
        <w:r w:rsidR="00454ECD">
          <w:rPr>
            <w:noProof/>
          </w:rPr>
          <w:t>5</w:t>
        </w:r>
        <w:r>
          <w:fldChar w:fldCharType="end"/>
        </w:r>
      </w:p>
    </w:sdtContent>
  </w:sdt>
  <w:p w14:paraId="1118AC12" w14:textId="77777777" w:rsidR="00FD7E7D" w:rsidRDefault="00FD7E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61BF74" w14:textId="77777777" w:rsidR="007167B8" w:rsidRDefault="007167B8">
      <w:pPr>
        <w:spacing w:after="0"/>
      </w:pPr>
      <w:r>
        <w:separator/>
      </w:r>
    </w:p>
  </w:footnote>
  <w:footnote w:type="continuationSeparator" w:id="0">
    <w:p w14:paraId="4E5AEAB2" w14:textId="77777777" w:rsidR="007167B8" w:rsidRDefault="007167B8">
      <w:pPr>
        <w:spacing w:after="0"/>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rson w15:author="SOLA">
    <w15:presenceInfo w15:providerId="None" w15:userId="SO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3F4"/>
    <w:rsid w:val="00001829"/>
    <w:rsid w:val="0000378C"/>
    <w:rsid w:val="00003BFD"/>
    <w:rsid w:val="00004225"/>
    <w:rsid w:val="0000491A"/>
    <w:rsid w:val="00005F3D"/>
    <w:rsid w:val="00007616"/>
    <w:rsid w:val="00010598"/>
    <w:rsid w:val="00011BC2"/>
    <w:rsid w:val="00011F68"/>
    <w:rsid w:val="00011FC0"/>
    <w:rsid w:val="0001265C"/>
    <w:rsid w:val="000203F1"/>
    <w:rsid w:val="000208B8"/>
    <w:rsid w:val="00020C4C"/>
    <w:rsid w:val="00022554"/>
    <w:rsid w:val="0002446C"/>
    <w:rsid w:val="000254C2"/>
    <w:rsid w:val="00026781"/>
    <w:rsid w:val="0003069B"/>
    <w:rsid w:val="00030AAD"/>
    <w:rsid w:val="00032D32"/>
    <w:rsid w:val="00035BE5"/>
    <w:rsid w:val="00041DAE"/>
    <w:rsid w:val="00047B17"/>
    <w:rsid w:val="00047B83"/>
    <w:rsid w:val="00050052"/>
    <w:rsid w:val="00052AB2"/>
    <w:rsid w:val="000530C1"/>
    <w:rsid w:val="00056E6D"/>
    <w:rsid w:val="0005770F"/>
    <w:rsid w:val="0006071C"/>
    <w:rsid w:val="0006325E"/>
    <w:rsid w:val="0006380A"/>
    <w:rsid w:val="00067415"/>
    <w:rsid w:val="00067CDE"/>
    <w:rsid w:val="00070203"/>
    <w:rsid w:val="00072789"/>
    <w:rsid w:val="00073441"/>
    <w:rsid w:val="000735F8"/>
    <w:rsid w:val="00073A96"/>
    <w:rsid w:val="00074744"/>
    <w:rsid w:val="00074F01"/>
    <w:rsid w:val="00075FFF"/>
    <w:rsid w:val="00077513"/>
    <w:rsid w:val="00080758"/>
    <w:rsid w:val="000827EA"/>
    <w:rsid w:val="00085E26"/>
    <w:rsid w:val="00094FD9"/>
    <w:rsid w:val="0009504D"/>
    <w:rsid w:val="00096643"/>
    <w:rsid w:val="00096ACA"/>
    <w:rsid w:val="0009770D"/>
    <w:rsid w:val="000A1032"/>
    <w:rsid w:val="000A314F"/>
    <w:rsid w:val="000A7E6A"/>
    <w:rsid w:val="000B3B7F"/>
    <w:rsid w:val="000C4E49"/>
    <w:rsid w:val="000D0140"/>
    <w:rsid w:val="000D1B02"/>
    <w:rsid w:val="000D4A5F"/>
    <w:rsid w:val="000D5BF7"/>
    <w:rsid w:val="000E14DF"/>
    <w:rsid w:val="000E1C22"/>
    <w:rsid w:val="000E346E"/>
    <w:rsid w:val="000E5A25"/>
    <w:rsid w:val="000E66CA"/>
    <w:rsid w:val="000E691B"/>
    <w:rsid w:val="000E6F71"/>
    <w:rsid w:val="000F3FB5"/>
    <w:rsid w:val="000F52C1"/>
    <w:rsid w:val="000F5F4F"/>
    <w:rsid w:val="000F6C05"/>
    <w:rsid w:val="000F7318"/>
    <w:rsid w:val="000F7796"/>
    <w:rsid w:val="000F7930"/>
    <w:rsid w:val="00106312"/>
    <w:rsid w:val="001073AC"/>
    <w:rsid w:val="001101A7"/>
    <w:rsid w:val="001103AB"/>
    <w:rsid w:val="00114885"/>
    <w:rsid w:val="00115765"/>
    <w:rsid w:val="001162EA"/>
    <w:rsid w:val="001203B6"/>
    <w:rsid w:val="00121AFD"/>
    <w:rsid w:val="00122769"/>
    <w:rsid w:val="001234B2"/>
    <w:rsid w:val="00124659"/>
    <w:rsid w:val="00124D26"/>
    <w:rsid w:val="00130B75"/>
    <w:rsid w:val="001335A3"/>
    <w:rsid w:val="00137878"/>
    <w:rsid w:val="00145762"/>
    <w:rsid w:val="00145A88"/>
    <w:rsid w:val="00147850"/>
    <w:rsid w:val="00150164"/>
    <w:rsid w:val="00152BE0"/>
    <w:rsid w:val="00153B43"/>
    <w:rsid w:val="00154AC0"/>
    <w:rsid w:val="00154BD9"/>
    <w:rsid w:val="00155862"/>
    <w:rsid w:val="00155D18"/>
    <w:rsid w:val="001633C9"/>
    <w:rsid w:val="001710B4"/>
    <w:rsid w:val="00172719"/>
    <w:rsid w:val="00177A79"/>
    <w:rsid w:val="00182298"/>
    <w:rsid w:val="00187897"/>
    <w:rsid w:val="00190AB2"/>
    <w:rsid w:val="00192C49"/>
    <w:rsid w:val="00194184"/>
    <w:rsid w:val="001945C2"/>
    <w:rsid w:val="0019764D"/>
    <w:rsid w:val="001A26F6"/>
    <w:rsid w:val="001A36C7"/>
    <w:rsid w:val="001A379E"/>
    <w:rsid w:val="001A5052"/>
    <w:rsid w:val="001B005E"/>
    <w:rsid w:val="001B008F"/>
    <w:rsid w:val="001B0AAD"/>
    <w:rsid w:val="001B104B"/>
    <w:rsid w:val="001B1FEB"/>
    <w:rsid w:val="001B2900"/>
    <w:rsid w:val="001B49BC"/>
    <w:rsid w:val="001B51BB"/>
    <w:rsid w:val="001B5C84"/>
    <w:rsid w:val="001B7206"/>
    <w:rsid w:val="001C2846"/>
    <w:rsid w:val="001C2E8E"/>
    <w:rsid w:val="001C50E5"/>
    <w:rsid w:val="001C6996"/>
    <w:rsid w:val="001C6FE5"/>
    <w:rsid w:val="001C7927"/>
    <w:rsid w:val="001D0F98"/>
    <w:rsid w:val="001D4BCA"/>
    <w:rsid w:val="001D51DE"/>
    <w:rsid w:val="001D76E3"/>
    <w:rsid w:val="001D779A"/>
    <w:rsid w:val="001E1312"/>
    <w:rsid w:val="002103B8"/>
    <w:rsid w:val="00210DB9"/>
    <w:rsid w:val="002131C1"/>
    <w:rsid w:val="002169B6"/>
    <w:rsid w:val="00220E4E"/>
    <w:rsid w:val="002215B2"/>
    <w:rsid w:val="00221ABD"/>
    <w:rsid w:val="002225AE"/>
    <w:rsid w:val="002253E5"/>
    <w:rsid w:val="0023080E"/>
    <w:rsid w:val="0023403F"/>
    <w:rsid w:val="002341BF"/>
    <w:rsid w:val="00234B70"/>
    <w:rsid w:val="002365EE"/>
    <w:rsid w:val="00240270"/>
    <w:rsid w:val="0024414B"/>
    <w:rsid w:val="00245E93"/>
    <w:rsid w:val="00246043"/>
    <w:rsid w:val="00250189"/>
    <w:rsid w:val="00253B80"/>
    <w:rsid w:val="002565D0"/>
    <w:rsid w:val="00256EFE"/>
    <w:rsid w:val="002573A5"/>
    <w:rsid w:val="002659C1"/>
    <w:rsid w:val="0028072D"/>
    <w:rsid w:val="00282C53"/>
    <w:rsid w:val="00282F50"/>
    <w:rsid w:val="00291427"/>
    <w:rsid w:val="0029287F"/>
    <w:rsid w:val="00292AB3"/>
    <w:rsid w:val="0029440F"/>
    <w:rsid w:val="002A0CA8"/>
    <w:rsid w:val="002A3158"/>
    <w:rsid w:val="002B0266"/>
    <w:rsid w:val="002B192A"/>
    <w:rsid w:val="002C4E2C"/>
    <w:rsid w:val="002C5044"/>
    <w:rsid w:val="002C7EF8"/>
    <w:rsid w:val="002D241C"/>
    <w:rsid w:val="002D4709"/>
    <w:rsid w:val="002E009F"/>
    <w:rsid w:val="002E0D72"/>
    <w:rsid w:val="002E11EB"/>
    <w:rsid w:val="002E4F15"/>
    <w:rsid w:val="002E6544"/>
    <w:rsid w:val="002F1358"/>
    <w:rsid w:val="0030284D"/>
    <w:rsid w:val="00304371"/>
    <w:rsid w:val="00304D05"/>
    <w:rsid w:val="003056B6"/>
    <w:rsid w:val="00306E8C"/>
    <w:rsid w:val="00307B21"/>
    <w:rsid w:val="00311A9D"/>
    <w:rsid w:val="00313735"/>
    <w:rsid w:val="00314627"/>
    <w:rsid w:val="00314D99"/>
    <w:rsid w:val="00323B0D"/>
    <w:rsid w:val="00325BEB"/>
    <w:rsid w:val="00325C85"/>
    <w:rsid w:val="00330173"/>
    <w:rsid w:val="00330A18"/>
    <w:rsid w:val="003349E0"/>
    <w:rsid w:val="00336027"/>
    <w:rsid w:val="00336C1C"/>
    <w:rsid w:val="00340387"/>
    <w:rsid w:val="00340735"/>
    <w:rsid w:val="003412FE"/>
    <w:rsid w:val="00341646"/>
    <w:rsid w:val="00344306"/>
    <w:rsid w:val="0035049F"/>
    <w:rsid w:val="003505C9"/>
    <w:rsid w:val="00350AB5"/>
    <w:rsid w:val="00352795"/>
    <w:rsid w:val="0035325F"/>
    <w:rsid w:val="003576F9"/>
    <w:rsid w:val="00365C3A"/>
    <w:rsid w:val="0037063B"/>
    <w:rsid w:val="00373390"/>
    <w:rsid w:val="00377E9E"/>
    <w:rsid w:val="0038062B"/>
    <w:rsid w:val="00386D7C"/>
    <w:rsid w:val="00387137"/>
    <w:rsid w:val="00387571"/>
    <w:rsid w:val="00390B0E"/>
    <w:rsid w:val="00390D4A"/>
    <w:rsid w:val="00391EA5"/>
    <w:rsid w:val="00393D63"/>
    <w:rsid w:val="00394265"/>
    <w:rsid w:val="003978D1"/>
    <w:rsid w:val="003A1A9E"/>
    <w:rsid w:val="003A67F0"/>
    <w:rsid w:val="003B11FC"/>
    <w:rsid w:val="003C5D58"/>
    <w:rsid w:val="003D0E80"/>
    <w:rsid w:val="003D30CB"/>
    <w:rsid w:val="003D4C42"/>
    <w:rsid w:val="003D615C"/>
    <w:rsid w:val="003D7989"/>
    <w:rsid w:val="003E2D3F"/>
    <w:rsid w:val="003E5599"/>
    <w:rsid w:val="003E6BB5"/>
    <w:rsid w:val="003F153B"/>
    <w:rsid w:val="003F69ED"/>
    <w:rsid w:val="004028E8"/>
    <w:rsid w:val="00403462"/>
    <w:rsid w:val="00403A78"/>
    <w:rsid w:val="00403AA9"/>
    <w:rsid w:val="004043D9"/>
    <w:rsid w:val="00406B68"/>
    <w:rsid w:val="00412546"/>
    <w:rsid w:val="00413A9F"/>
    <w:rsid w:val="0041493F"/>
    <w:rsid w:val="0041774B"/>
    <w:rsid w:val="00417AD7"/>
    <w:rsid w:val="004215D7"/>
    <w:rsid w:val="00422245"/>
    <w:rsid w:val="004224D3"/>
    <w:rsid w:val="0042471E"/>
    <w:rsid w:val="00426FD0"/>
    <w:rsid w:val="00427EE7"/>
    <w:rsid w:val="004301BA"/>
    <w:rsid w:val="004305D8"/>
    <w:rsid w:val="00436CFD"/>
    <w:rsid w:val="00446693"/>
    <w:rsid w:val="00447371"/>
    <w:rsid w:val="00450693"/>
    <w:rsid w:val="004509E0"/>
    <w:rsid w:val="00451A95"/>
    <w:rsid w:val="00452F08"/>
    <w:rsid w:val="00454ECD"/>
    <w:rsid w:val="00456E0E"/>
    <w:rsid w:val="004578EB"/>
    <w:rsid w:val="004579B3"/>
    <w:rsid w:val="00457A66"/>
    <w:rsid w:val="00467B4D"/>
    <w:rsid w:val="004716D6"/>
    <w:rsid w:val="00474399"/>
    <w:rsid w:val="004743D6"/>
    <w:rsid w:val="0047635F"/>
    <w:rsid w:val="00480BDA"/>
    <w:rsid w:val="00482281"/>
    <w:rsid w:val="00482A9D"/>
    <w:rsid w:val="004846C3"/>
    <w:rsid w:val="00484773"/>
    <w:rsid w:val="00495EF6"/>
    <w:rsid w:val="00497153"/>
    <w:rsid w:val="004979CB"/>
    <w:rsid w:val="004A2943"/>
    <w:rsid w:val="004A2EAA"/>
    <w:rsid w:val="004A364B"/>
    <w:rsid w:val="004A427F"/>
    <w:rsid w:val="004A4FEC"/>
    <w:rsid w:val="004B07D0"/>
    <w:rsid w:val="004B1484"/>
    <w:rsid w:val="004B40C8"/>
    <w:rsid w:val="004B5E91"/>
    <w:rsid w:val="004B7382"/>
    <w:rsid w:val="004B7542"/>
    <w:rsid w:val="004C0D3A"/>
    <w:rsid w:val="004C6C65"/>
    <w:rsid w:val="004D1E05"/>
    <w:rsid w:val="004D3A27"/>
    <w:rsid w:val="004D3D32"/>
    <w:rsid w:val="004E158A"/>
    <w:rsid w:val="004E2A48"/>
    <w:rsid w:val="004E2C3B"/>
    <w:rsid w:val="004E6715"/>
    <w:rsid w:val="004F0E04"/>
    <w:rsid w:val="004F1475"/>
    <w:rsid w:val="004F2229"/>
    <w:rsid w:val="004F5ACC"/>
    <w:rsid w:val="004F699B"/>
    <w:rsid w:val="005003C8"/>
    <w:rsid w:val="00501415"/>
    <w:rsid w:val="0050480C"/>
    <w:rsid w:val="00504C6F"/>
    <w:rsid w:val="00506E22"/>
    <w:rsid w:val="005105E5"/>
    <w:rsid w:val="005114C7"/>
    <w:rsid w:val="00513E96"/>
    <w:rsid w:val="0051470C"/>
    <w:rsid w:val="00516BB1"/>
    <w:rsid w:val="0052035B"/>
    <w:rsid w:val="0052089A"/>
    <w:rsid w:val="00522926"/>
    <w:rsid w:val="005242A8"/>
    <w:rsid w:val="005262C8"/>
    <w:rsid w:val="00531BFE"/>
    <w:rsid w:val="00531D81"/>
    <w:rsid w:val="00533231"/>
    <w:rsid w:val="00533E4E"/>
    <w:rsid w:val="00535369"/>
    <w:rsid w:val="005369F4"/>
    <w:rsid w:val="005404D2"/>
    <w:rsid w:val="0054119D"/>
    <w:rsid w:val="00541923"/>
    <w:rsid w:val="00544DE4"/>
    <w:rsid w:val="00547437"/>
    <w:rsid w:val="005515BB"/>
    <w:rsid w:val="0055431B"/>
    <w:rsid w:val="00555038"/>
    <w:rsid w:val="0055596C"/>
    <w:rsid w:val="00560394"/>
    <w:rsid w:val="0056416D"/>
    <w:rsid w:val="00564599"/>
    <w:rsid w:val="005708EC"/>
    <w:rsid w:val="0057225A"/>
    <w:rsid w:val="005725A2"/>
    <w:rsid w:val="00573042"/>
    <w:rsid w:val="005766DE"/>
    <w:rsid w:val="00581E39"/>
    <w:rsid w:val="00590305"/>
    <w:rsid w:val="00591871"/>
    <w:rsid w:val="00593526"/>
    <w:rsid w:val="00597388"/>
    <w:rsid w:val="005A62A9"/>
    <w:rsid w:val="005A630E"/>
    <w:rsid w:val="005A6B9D"/>
    <w:rsid w:val="005A6F4B"/>
    <w:rsid w:val="005C038D"/>
    <w:rsid w:val="005C12CB"/>
    <w:rsid w:val="005C1CCA"/>
    <w:rsid w:val="005C3348"/>
    <w:rsid w:val="005C5429"/>
    <w:rsid w:val="005C6E27"/>
    <w:rsid w:val="005D198A"/>
    <w:rsid w:val="005D1F5F"/>
    <w:rsid w:val="005D4801"/>
    <w:rsid w:val="005D55E1"/>
    <w:rsid w:val="005D73AB"/>
    <w:rsid w:val="005E077D"/>
    <w:rsid w:val="005E41D4"/>
    <w:rsid w:val="005E42B2"/>
    <w:rsid w:val="005E4376"/>
    <w:rsid w:val="005E512D"/>
    <w:rsid w:val="005E7E8A"/>
    <w:rsid w:val="005F1595"/>
    <w:rsid w:val="005F1F1A"/>
    <w:rsid w:val="005F57A3"/>
    <w:rsid w:val="00601267"/>
    <w:rsid w:val="00605951"/>
    <w:rsid w:val="00606E44"/>
    <w:rsid w:val="00610343"/>
    <w:rsid w:val="00613068"/>
    <w:rsid w:val="00617C79"/>
    <w:rsid w:val="00620328"/>
    <w:rsid w:val="00621503"/>
    <w:rsid w:val="00621522"/>
    <w:rsid w:val="00621C77"/>
    <w:rsid w:val="00622F03"/>
    <w:rsid w:val="006302B3"/>
    <w:rsid w:val="00630EB2"/>
    <w:rsid w:val="006314A7"/>
    <w:rsid w:val="006333BD"/>
    <w:rsid w:val="00634C90"/>
    <w:rsid w:val="006353AC"/>
    <w:rsid w:val="0063560A"/>
    <w:rsid w:val="006417C3"/>
    <w:rsid w:val="006421BB"/>
    <w:rsid w:val="0064477D"/>
    <w:rsid w:val="00645F9C"/>
    <w:rsid w:val="00651CF1"/>
    <w:rsid w:val="006527D6"/>
    <w:rsid w:val="00654140"/>
    <w:rsid w:val="00654FBD"/>
    <w:rsid w:val="00656E5F"/>
    <w:rsid w:val="00665D4E"/>
    <w:rsid w:val="00670809"/>
    <w:rsid w:val="00675635"/>
    <w:rsid w:val="006778DA"/>
    <w:rsid w:val="00681881"/>
    <w:rsid w:val="006856D5"/>
    <w:rsid w:val="006873C1"/>
    <w:rsid w:val="00687A1B"/>
    <w:rsid w:val="006903D7"/>
    <w:rsid w:val="00692EFD"/>
    <w:rsid w:val="00695865"/>
    <w:rsid w:val="00697364"/>
    <w:rsid w:val="006A07F7"/>
    <w:rsid w:val="006A19D1"/>
    <w:rsid w:val="006A255E"/>
    <w:rsid w:val="006B1839"/>
    <w:rsid w:val="006B7B83"/>
    <w:rsid w:val="006C08D2"/>
    <w:rsid w:val="006C56A0"/>
    <w:rsid w:val="006E1814"/>
    <w:rsid w:val="006F0A45"/>
    <w:rsid w:val="006F1FFC"/>
    <w:rsid w:val="006F3430"/>
    <w:rsid w:val="006F41CB"/>
    <w:rsid w:val="006F515B"/>
    <w:rsid w:val="006F52CC"/>
    <w:rsid w:val="006F62DF"/>
    <w:rsid w:val="006F663C"/>
    <w:rsid w:val="006F7828"/>
    <w:rsid w:val="006F7A13"/>
    <w:rsid w:val="00701B96"/>
    <w:rsid w:val="007045E2"/>
    <w:rsid w:val="00714702"/>
    <w:rsid w:val="007167B8"/>
    <w:rsid w:val="0071783D"/>
    <w:rsid w:val="007232D6"/>
    <w:rsid w:val="007240DD"/>
    <w:rsid w:val="0072511C"/>
    <w:rsid w:val="007275F4"/>
    <w:rsid w:val="00730DC6"/>
    <w:rsid w:val="00734BA6"/>
    <w:rsid w:val="00734C61"/>
    <w:rsid w:val="00735E2A"/>
    <w:rsid w:val="00736123"/>
    <w:rsid w:val="00736E36"/>
    <w:rsid w:val="007373B1"/>
    <w:rsid w:val="00737828"/>
    <w:rsid w:val="00740897"/>
    <w:rsid w:val="00744D6E"/>
    <w:rsid w:val="00751695"/>
    <w:rsid w:val="00751841"/>
    <w:rsid w:val="007539FD"/>
    <w:rsid w:val="007569DD"/>
    <w:rsid w:val="00756CE9"/>
    <w:rsid w:val="00757436"/>
    <w:rsid w:val="00760AB1"/>
    <w:rsid w:val="00761DD3"/>
    <w:rsid w:val="00764B10"/>
    <w:rsid w:val="00765172"/>
    <w:rsid w:val="0076706A"/>
    <w:rsid w:val="00772EC7"/>
    <w:rsid w:val="007737FC"/>
    <w:rsid w:val="007772EF"/>
    <w:rsid w:val="007827F9"/>
    <w:rsid w:val="00784D96"/>
    <w:rsid w:val="007861E7"/>
    <w:rsid w:val="00787076"/>
    <w:rsid w:val="007879F3"/>
    <w:rsid w:val="00791847"/>
    <w:rsid w:val="00791BD7"/>
    <w:rsid w:val="00797713"/>
    <w:rsid w:val="007A0B87"/>
    <w:rsid w:val="007A34A3"/>
    <w:rsid w:val="007A37DC"/>
    <w:rsid w:val="007A6CF5"/>
    <w:rsid w:val="007B1990"/>
    <w:rsid w:val="007B1BA2"/>
    <w:rsid w:val="007B3F91"/>
    <w:rsid w:val="007B4039"/>
    <w:rsid w:val="007B5C7D"/>
    <w:rsid w:val="007B7A45"/>
    <w:rsid w:val="007C0C8C"/>
    <w:rsid w:val="007C21A3"/>
    <w:rsid w:val="007C59E9"/>
    <w:rsid w:val="007C6EF1"/>
    <w:rsid w:val="007C79F3"/>
    <w:rsid w:val="007D0B65"/>
    <w:rsid w:val="007E0E2C"/>
    <w:rsid w:val="007E2DE8"/>
    <w:rsid w:val="007E4262"/>
    <w:rsid w:val="007F1190"/>
    <w:rsid w:val="007F15EB"/>
    <w:rsid w:val="007F1D40"/>
    <w:rsid w:val="008015E4"/>
    <w:rsid w:val="00806BB9"/>
    <w:rsid w:val="008111B7"/>
    <w:rsid w:val="008128C0"/>
    <w:rsid w:val="008136A0"/>
    <w:rsid w:val="00816996"/>
    <w:rsid w:val="00817F17"/>
    <w:rsid w:val="00824DF1"/>
    <w:rsid w:val="008275A9"/>
    <w:rsid w:val="0083119F"/>
    <w:rsid w:val="00832706"/>
    <w:rsid w:val="00832F2C"/>
    <w:rsid w:val="00833016"/>
    <w:rsid w:val="00833CE6"/>
    <w:rsid w:val="00833F76"/>
    <w:rsid w:val="008353DC"/>
    <w:rsid w:val="00835A20"/>
    <w:rsid w:val="008403AA"/>
    <w:rsid w:val="008407ED"/>
    <w:rsid w:val="00840B08"/>
    <w:rsid w:val="0084125B"/>
    <w:rsid w:val="00842E98"/>
    <w:rsid w:val="00845A6A"/>
    <w:rsid w:val="00847EF8"/>
    <w:rsid w:val="00853E1D"/>
    <w:rsid w:val="00854E4B"/>
    <w:rsid w:val="00857B7F"/>
    <w:rsid w:val="00861775"/>
    <w:rsid w:val="00861AC7"/>
    <w:rsid w:val="00861FD3"/>
    <w:rsid w:val="00862812"/>
    <w:rsid w:val="00862EB9"/>
    <w:rsid w:val="00863818"/>
    <w:rsid w:val="00864CDB"/>
    <w:rsid w:val="008678F1"/>
    <w:rsid w:val="008736E5"/>
    <w:rsid w:val="00874D25"/>
    <w:rsid w:val="0087550A"/>
    <w:rsid w:val="00875EE0"/>
    <w:rsid w:val="00876B71"/>
    <w:rsid w:val="00881382"/>
    <w:rsid w:val="00881F5B"/>
    <w:rsid w:val="00882485"/>
    <w:rsid w:val="00884EF4"/>
    <w:rsid w:val="008876F4"/>
    <w:rsid w:val="00890ECF"/>
    <w:rsid w:val="008915A7"/>
    <w:rsid w:val="008934F9"/>
    <w:rsid w:val="0089763B"/>
    <w:rsid w:val="008A1879"/>
    <w:rsid w:val="008A2494"/>
    <w:rsid w:val="008B29E1"/>
    <w:rsid w:val="008B3F9C"/>
    <w:rsid w:val="008B529C"/>
    <w:rsid w:val="008B768E"/>
    <w:rsid w:val="008C0FBB"/>
    <w:rsid w:val="008C1F3D"/>
    <w:rsid w:val="008C4677"/>
    <w:rsid w:val="008C5E42"/>
    <w:rsid w:val="008D433D"/>
    <w:rsid w:val="008D44BD"/>
    <w:rsid w:val="008D47D9"/>
    <w:rsid w:val="008D48B7"/>
    <w:rsid w:val="008D53B4"/>
    <w:rsid w:val="008D7120"/>
    <w:rsid w:val="008E03CE"/>
    <w:rsid w:val="008E0A4F"/>
    <w:rsid w:val="008E6F24"/>
    <w:rsid w:val="008F4056"/>
    <w:rsid w:val="008F6BE9"/>
    <w:rsid w:val="008F6F2E"/>
    <w:rsid w:val="0090153C"/>
    <w:rsid w:val="00902E0B"/>
    <w:rsid w:val="009042A0"/>
    <w:rsid w:val="00906FFB"/>
    <w:rsid w:val="0091013C"/>
    <w:rsid w:val="00910C64"/>
    <w:rsid w:val="00910E5F"/>
    <w:rsid w:val="00912AE4"/>
    <w:rsid w:val="00913A53"/>
    <w:rsid w:val="00913DF7"/>
    <w:rsid w:val="0091431A"/>
    <w:rsid w:val="009168D3"/>
    <w:rsid w:val="00917F54"/>
    <w:rsid w:val="009211EB"/>
    <w:rsid w:val="009220F6"/>
    <w:rsid w:val="00922309"/>
    <w:rsid w:val="00922EE3"/>
    <w:rsid w:val="0092686F"/>
    <w:rsid w:val="009274C0"/>
    <w:rsid w:val="00931CC4"/>
    <w:rsid w:val="00932415"/>
    <w:rsid w:val="009332C5"/>
    <w:rsid w:val="00935361"/>
    <w:rsid w:val="00936AB1"/>
    <w:rsid w:val="0093703E"/>
    <w:rsid w:val="009400B1"/>
    <w:rsid w:val="00943B80"/>
    <w:rsid w:val="00951510"/>
    <w:rsid w:val="009546AA"/>
    <w:rsid w:val="00954808"/>
    <w:rsid w:val="00954C46"/>
    <w:rsid w:val="00954FDD"/>
    <w:rsid w:val="00957CB3"/>
    <w:rsid w:val="00957E07"/>
    <w:rsid w:val="00962601"/>
    <w:rsid w:val="0096352B"/>
    <w:rsid w:val="00964B82"/>
    <w:rsid w:val="00967FEC"/>
    <w:rsid w:val="00973353"/>
    <w:rsid w:val="00973A8E"/>
    <w:rsid w:val="00976AEC"/>
    <w:rsid w:val="00977256"/>
    <w:rsid w:val="009775F9"/>
    <w:rsid w:val="00982DAC"/>
    <w:rsid w:val="009943F6"/>
    <w:rsid w:val="009945FB"/>
    <w:rsid w:val="00997964"/>
    <w:rsid w:val="00997F28"/>
    <w:rsid w:val="009A0F9C"/>
    <w:rsid w:val="009A4255"/>
    <w:rsid w:val="009A6B8D"/>
    <w:rsid w:val="009B0A43"/>
    <w:rsid w:val="009B14CF"/>
    <w:rsid w:val="009B23F4"/>
    <w:rsid w:val="009B3541"/>
    <w:rsid w:val="009B4A99"/>
    <w:rsid w:val="009B61DE"/>
    <w:rsid w:val="009B786F"/>
    <w:rsid w:val="009B79B7"/>
    <w:rsid w:val="009C592B"/>
    <w:rsid w:val="009C71C2"/>
    <w:rsid w:val="009C754B"/>
    <w:rsid w:val="009D10E3"/>
    <w:rsid w:val="009D3AE4"/>
    <w:rsid w:val="009E58C2"/>
    <w:rsid w:val="009F7D1B"/>
    <w:rsid w:val="00A0070A"/>
    <w:rsid w:val="00A104A3"/>
    <w:rsid w:val="00A12E6A"/>
    <w:rsid w:val="00A159AB"/>
    <w:rsid w:val="00A1667F"/>
    <w:rsid w:val="00A22FCE"/>
    <w:rsid w:val="00A23B6A"/>
    <w:rsid w:val="00A2414B"/>
    <w:rsid w:val="00A24567"/>
    <w:rsid w:val="00A25039"/>
    <w:rsid w:val="00A27A54"/>
    <w:rsid w:val="00A30E77"/>
    <w:rsid w:val="00A33974"/>
    <w:rsid w:val="00A4124A"/>
    <w:rsid w:val="00A43DB1"/>
    <w:rsid w:val="00A4518B"/>
    <w:rsid w:val="00A4625B"/>
    <w:rsid w:val="00A50BB1"/>
    <w:rsid w:val="00A51AC6"/>
    <w:rsid w:val="00A56F26"/>
    <w:rsid w:val="00A609F7"/>
    <w:rsid w:val="00A60F32"/>
    <w:rsid w:val="00A60F78"/>
    <w:rsid w:val="00A6670A"/>
    <w:rsid w:val="00A67A6F"/>
    <w:rsid w:val="00A71457"/>
    <w:rsid w:val="00A71F2D"/>
    <w:rsid w:val="00A77601"/>
    <w:rsid w:val="00A814F3"/>
    <w:rsid w:val="00A81C5E"/>
    <w:rsid w:val="00A84452"/>
    <w:rsid w:val="00A8449C"/>
    <w:rsid w:val="00A92392"/>
    <w:rsid w:val="00A92A5F"/>
    <w:rsid w:val="00A9364B"/>
    <w:rsid w:val="00A95ADA"/>
    <w:rsid w:val="00A96BD6"/>
    <w:rsid w:val="00A977CE"/>
    <w:rsid w:val="00AA0D96"/>
    <w:rsid w:val="00AA163A"/>
    <w:rsid w:val="00AA1E34"/>
    <w:rsid w:val="00AA4364"/>
    <w:rsid w:val="00AA4AF3"/>
    <w:rsid w:val="00AB2298"/>
    <w:rsid w:val="00AB3706"/>
    <w:rsid w:val="00AB4C34"/>
    <w:rsid w:val="00AB6CB7"/>
    <w:rsid w:val="00AB7516"/>
    <w:rsid w:val="00AB7847"/>
    <w:rsid w:val="00AB7C6C"/>
    <w:rsid w:val="00AC3D0E"/>
    <w:rsid w:val="00AC4CB2"/>
    <w:rsid w:val="00AC61D6"/>
    <w:rsid w:val="00AC652C"/>
    <w:rsid w:val="00AC66D8"/>
    <w:rsid w:val="00AD0AA2"/>
    <w:rsid w:val="00AD4922"/>
    <w:rsid w:val="00AD69BA"/>
    <w:rsid w:val="00AE0522"/>
    <w:rsid w:val="00AE11B7"/>
    <w:rsid w:val="00AE2159"/>
    <w:rsid w:val="00AE50B4"/>
    <w:rsid w:val="00AE6E63"/>
    <w:rsid w:val="00AF1332"/>
    <w:rsid w:val="00AF25D6"/>
    <w:rsid w:val="00AF4BAD"/>
    <w:rsid w:val="00AF584D"/>
    <w:rsid w:val="00AF760F"/>
    <w:rsid w:val="00B01918"/>
    <w:rsid w:val="00B02B1B"/>
    <w:rsid w:val="00B136E6"/>
    <w:rsid w:val="00B21D18"/>
    <w:rsid w:val="00B2217C"/>
    <w:rsid w:val="00B26F73"/>
    <w:rsid w:val="00B2753E"/>
    <w:rsid w:val="00B3276E"/>
    <w:rsid w:val="00B33048"/>
    <w:rsid w:val="00B358EC"/>
    <w:rsid w:val="00B4226D"/>
    <w:rsid w:val="00B4250D"/>
    <w:rsid w:val="00B427D0"/>
    <w:rsid w:val="00B432D3"/>
    <w:rsid w:val="00B43957"/>
    <w:rsid w:val="00B44513"/>
    <w:rsid w:val="00B4492E"/>
    <w:rsid w:val="00B45B62"/>
    <w:rsid w:val="00B47445"/>
    <w:rsid w:val="00B50EB7"/>
    <w:rsid w:val="00B52537"/>
    <w:rsid w:val="00B52D3B"/>
    <w:rsid w:val="00B5502E"/>
    <w:rsid w:val="00B557B0"/>
    <w:rsid w:val="00B564EE"/>
    <w:rsid w:val="00B6167A"/>
    <w:rsid w:val="00B638FE"/>
    <w:rsid w:val="00B63EE5"/>
    <w:rsid w:val="00B6439E"/>
    <w:rsid w:val="00B64A46"/>
    <w:rsid w:val="00B70B8A"/>
    <w:rsid w:val="00B720D7"/>
    <w:rsid w:val="00B72912"/>
    <w:rsid w:val="00B734BA"/>
    <w:rsid w:val="00B74C3E"/>
    <w:rsid w:val="00B75C2F"/>
    <w:rsid w:val="00B77C91"/>
    <w:rsid w:val="00B77EBC"/>
    <w:rsid w:val="00B85EAB"/>
    <w:rsid w:val="00B9052B"/>
    <w:rsid w:val="00B90B43"/>
    <w:rsid w:val="00B92793"/>
    <w:rsid w:val="00B94D0B"/>
    <w:rsid w:val="00B95E07"/>
    <w:rsid w:val="00B96D8B"/>
    <w:rsid w:val="00B9735D"/>
    <w:rsid w:val="00BA1089"/>
    <w:rsid w:val="00BA171E"/>
    <w:rsid w:val="00BA77AD"/>
    <w:rsid w:val="00BB25C4"/>
    <w:rsid w:val="00BB7718"/>
    <w:rsid w:val="00BB7AA6"/>
    <w:rsid w:val="00BC03F9"/>
    <w:rsid w:val="00BC071C"/>
    <w:rsid w:val="00BC1222"/>
    <w:rsid w:val="00BC157E"/>
    <w:rsid w:val="00BC184D"/>
    <w:rsid w:val="00BC4B27"/>
    <w:rsid w:val="00BC52D8"/>
    <w:rsid w:val="00BD18E2"/>
    <w:rsid w:val="00BD1DB1"/>
    <w:rsid w:val="00BD2095"/>
    <w:rsid w:val="00BD2625"/>
    <w:rsid w:val="00BD2FAD"/>
    <w:rsid w:val="00BD3778"/>
    <w:rsid w:val="00BD621E"/>
    <w:rsid w:val="00BE2969"/>
    <w:rsid w:val="00BE5313"/>
    <w:rsid w:val="00BE567F"/>
    <w:rsid w:val="00BE68DB"/>
    <w:rsid w:val="00BF4A4A"/>
    <w:rsid w:val="00BF5DC3"/>
    <w:rsid w:val="00C004CA"/>
    <w:rsid w:val="00C06021"/>
    <w:rsid w:val="00C10085"/>
    <w:rsid w:val="00C103F7"/>
    <w:rsid w:val="00C10428"/>
    <w:rsid w:val="00C11843"/>
    <w:rsid w:val="00C15E60"/>
    <w:rsid w:val="00C175AD"/>
    <w:rsid w:val="00C23AFF"/>
    <w:rsid w:val="00C26AAC"/>
    <w:rsid w:val="00C4026B"/>
    <w:rsid w:val="00C41814"/>
    <w:rsid w:val="00C42799"/>
    <w:rsid w:val="00C4491C"/>
    <w:rsid w:val="00C46A1E"/>
    <w:rsid w:val="00C502C3"/>
    <w:rsid w:val="00C5461F"/>
    <w:rsid w:val="00C650C2"/>
    <w:rsid w:val="00C66899"/>
    <w:rsid w:val="00C67B45"/>
    <w:rsid w:val="00C761C2"/>
    <w:rsid w:val="00C83EEE"/>
    <w:rsid w:val="00C8690F"/>
    <w:rsid w:val="00C8752F"/>
    <w:rsid w:val="00C92842"/>
    <w:rsid w:val="00C93522"/>
    <w:rsid w:val="00C9477A"/>
    <w:rsid w:val="00CA089C"/>
    <w:rsid w:val="00CA0A6F"/>
    <w:rsid w:val="00CA29D0"/>
    <w:rsid w:val="00CA34E7"/>
    <w:rsid w:val="00CA4E25"/>
    <w:rsid w:val="00CA51B2"/>
    <w:rsid w:val="00CA6075"/>
    <w:rsid w:val="00CB23E6"/>
    <w:rsid w:val="00CB3E44"/>
    <w:rsid w:val="00CB4C23"/>
    <w:rsid w:val="00CB513C"/>
    <w:rsid w:val="00CB5D75"/>
    <w:rsid w:val="00CB7C64"/>
    <w:rsid w:val="00CC1FDA"/>
    <w:rsid w:val="00CC2D2E"/>
    <w:rsid w:val="00CC4196"/>
    <w:rsid w:val="00CC6FF1"/>
    <w:rsid w:val="00CD0ED5"/>
    <w:rsid w:val="00CD1617"/>
    <w:rsid w:val="00CD1C18"/>
    <w:rsid w:val="00CD3A78"/>
    <w:rsid w:val="00CD3C0C"/>
    <w:rsid w:val="00CD46D9"/>
    <w:rsid w:val="00CD71B5"/>
    <w:rsid w:val="00CD7CB0"/>
    <w:rsid w:val="00CE4215"/>
    <w:rsid w:val="00CE659B"/>
    <w:rsid w:val="00CF2B4D"/>
    <w:rsid w:val="00CF5E3F"/>
    <w:rsid w:val="00D00636"/>
    <w:rsid w:val="00D01FE7"/>
    <w:rsid w:val="00D02062"/>
    <w:rsid w:val="00D03DBA"/>
    <w:rsid w:val="00D046B7"/>
    <w:rsid w:val="00D0524A"/>
    <w:rsid w:val="00D059D5"/>
    <w:rsid w:val="00D07048"/>
    <w:rsid w:val="00D12A8F"/>
    <w:rsid w:val="00D12E14"/>
    <w:rsid w:val="00D22BB0"/>
    <w:rsid w:val="00D23D38"/>
    <w:rsid w:val="00D24565"/>
    <w:rsid w:val="00D26131"/>
    <w:rsid w:val="00D27144"/>
    <w:rsid w:val="00D304EF"/>
    <w:rsid w:val="00D31C6B"/>
    <w:rsid w:val="00D31EE0"/>
    <w:rsid w:val="00D32A1B"/>
    <w:rsid w:val="00D35D72"/>
    <w:rsid w:val="00D36A0B"/>
    <w:rsid w:val="00D42E48"/>
    <w:rsid w:val="00D47B8B"/>
    <w:rsid w:val="00D51F36"/>
    <w:rsid w:val="00D53396"/>
    <w:rsid w:val="00D53DDB"/>
    <w:rsid w:val="00D57FF7"/>
    <w:rsid w:val="00D61F98"/>
    <w:rsid w:val="00D6636C"/>
    <w:rsid w:val="00D672AA"/>
    <w:rsid w:val="00D67F6A"/>
    <w:rsid w:val="00D7186C"/>
    <w:rsid w:val="00D72D68"/>
    <w:rsid w:val="00D76088"/>
    <w:rsid w:val="00D823E2"/>
    <w:rsid w:val="00D857AB"/>
    <w:rsid w:val="00D86D19"/>
    <w:rsid w:val="00D87120"/>
    <w:rsid w:val="00D909B5"/>
    <w:rsid w:val="00D92F5D"/>
    <w:rsid w:val="00D93AFD"/>
    <w:rsid w:val="00D94282"/>
    <w:rsid w:val="00DA1F55"/>
    <w:rsid w:val="00DB0177"/>
    <w:rsid w:val="00DB0616"/>
    <w:rsid w:val="00DB1011"/>
    <w:rsid w:val="00DB2BCF"/>
    <w:rsid w:val="00DB3062"/>
    <w:rsid w:val="00DC1B68"/>
    <w:rsid w:val="00DC24E6"/>
    <w:rsid w:val="00DC6F0A"/>
    <w:rsid w:val="00DC74AF"/>
    <w:rsid w:val="00DC7E5D"/>
    <w:rsid w:val="00DD1727"/>
    <w:rsid w:val="00DD6152"/>
    <w:rsid w:val="00DE0B3B"/>
    <w:rsid w:val="00DE28D1"/>
    <w:rsid w:val="00DE4586"/>
    <w:rsid w:val="00DE7C50"/>
    <w:rsid w:val="00DE7C77"/>
    <w:rsid w:val="00DF1E60"/>
    <w:rsid w:val="00DF3C47"/>
    <w:rsid w:val="00DF67BE"/>
    <w:rsid w:val="00DF6F0C"/>
    <w:rsid w:val="00DF7F5E"/>
    <w:rsid w:val="00E02625"/>
    <w:rsid w:val="00E06BE4"/>
    <w:rsid w:val="00E10C3B"/>
    <w:rsid w:val="00E1113F"/>
    <w:rsid w:val="00E11B5E"/>
    <w:rsid w:val="00E126B4"/>
    <w:rsid w:val="00E17B03"/>
    <w:rsid w:val="00E200DF"/>
    <w:rsid w:val="00E206E5"/>
    <w:rsid w:val="00E22781"/>
    <w:rsid w:val="00E24216"/>
    <w:rsid w:val="00E244CA"/>
    <w:rsid w:val="00E24996"/>
    <w:rsid w:val="00E26EEE"/>
    <w:rsid w:val="00E301E4"/>
    <w:rsid w:val="00E307E8"/>
    <w:rsid w:val="00E30EF8"/>
    <w:rsid w:val="00E3628A"/>
    <w:rsid w:val="00E371AF"/>
    <w:rsid w:val="00E40966"/>
    <w:rsid w:val="00E437D5"/>
    <w:rsid w:val="00E443A0"/>
    <w:rsid w:val="00E452FC"/>
    <w:rsid w:val="00E5009F"/>
    <w:rsid w:val="00E50DE2"/>
    <w:rsid w:val="00E5375F"/>
    <w:rsid w:val="00E546EB"/>
    <w:rsid w:val="00E60107"/>
    <w:rsid w:val="00E6030A"/>
    <w:rsid w:val="00E61E05"/>
    <w:rsid w:val="00E637FA"/>
    <w:rsid w:val="00E66FA7"/>
    <w:rsid w:val="00E67CFA"/>
    <w:rsid w:val="00E70587"/>
    <w:rsid w:val="00E70646"/>
    <w:rsid w:val="00E7331C"/>
    <w:rsid w:val="00E774C5"/>
    <w:rsid w:val="00E77CA5"/>
    <w:rsid w:val="00E819C0"/>
    <w:rsid w:val="00E833EC"/>
    <w:rsid w:val="00E8557E"/>
    <w:rsid w:val="00E86FDD"/>
    <w:rsid w:val="00E870DC"/>
    <w:rsid w:val="00E87294"/>
    <w:rsid w:val="00E90833"/>
    <w:rsid w:val="00E92DBA"/>
    <w:rsid w:val="00E94871"/>
    <w:rsid w:val="00E950D1"/>
    <w:rsid w:val="00E9626D"/>
    <w:rsid w:val="00E97B96"/>
    <w:rsid w:val="00EA0612"/>
    <w:rsid w:val="00EA426C"/>
    <w:rsid w:val="00EA62DA"/>
    <w:rsid w:val="00EB3319"/>
    <w:rsid w:val="00EB3EEC"/>
    <w:rsid w:val="00EB46F6"/>
    <w:rsid w:val="00EB51AF"/>
    <w:rsid w:val="00EB6D12"/>
    <w:rsid w:val="00EB7FA0"/>
    <w:rsid w:val="00EC09B1"/>
    <w:rsid w:val="00EC4B0B"/>
    <w:rsid w:val="00EC5DA1"/>
    <w:rsid w:val="00EC6F0C"/>
    <w:rsid w:val="00ED1598"/>
    <w:rsid w:val="00ED4655"/>
    <w:rsid w:val="00ED67EA"/>
    <w:rsid w:val="00ED7290"/>
    <w:rsid w:val="00EE18D8"/>
    <w:rsid w:val="00EE4F76"/>
    <w:rsid w:val="00EF390B"/>
    <w:rsid w:val="00EF3F81"/>
    <w:rsid w:val="00F0246A"/>
    <w:rsid w:val="00F03882"/>
    <w:rsid w:val="00F12B97"/>
    <w:rsid w:val="00F12E5D"/>
    <w:rsid w:val="00F14D0D"/>
    <w:rsid w:val="00F17A29"/>
    <w:rsid w:val="00F17E30"/>
    <w:rsid w:val="00F21105"/>
    <w:rsid w:val="00F21BFF"/>
    <w:rsid w:val="00F231BF"/>
    <w:rsid w:val="00F3742A"/>
    <w:rsid w:val="00F43898"/>
    <w:rsid w:val="00F43AFD"/>
    <w:rsid w:val="00F4538C"/>
    <w:rsid w:val="00F4542F"/>
    <w:rsid w:val="00F4613E"/>
    <w:rsid w:val="00F503FD"/>
    <w:rsid w:val="00F51D8A"/>
    <w:rsid w:val="00F5359B"/>
    <w:rsid w:val="00F53D72"/>
    <w:rsid w:val="00F61968"/>
    <w:rsid w:val="00F6422B"/>
    <w:rsid w:val="00F652B2"/>
    <w:rsid w:val="00F715A0"/>
    <w:rsid w:val="00F7192E"/>
    <w:rsid w:val="00F759DE"/>
    <w:rsid w:val="00F8040C"/>
    <w:rsid w:val="00F8551E"/>
    <w:rsid w:val="00F9235B"/>
    <w:rsid w:val="00F94075"/>
    <w:rsid w:val="00F94F42"/>
    <w:rsid w:val="00F97691"/>
    <w:rsid w:val="00FA1BBF"/>
    <w:rsid w:val="00FA372D"/>
    <w:rsid w:val="00FA377D"/>
    <w:rsid w:val="00FA7CAD"/>
    <w:rsid w:val="00FB3D7D"/>
    <w:rsid w:val="00FB48B3"/>
    <w:rsid w:val="00FB51DF"/>
    <w:rsid w:val="00FB75BE"/>
    <w:rsid w:val="00FC3DB1"/>
    <w:rsid w:val="00FC476A"/>
    <w:rsid w:val="00FC7872"/>
    <w:rsid w:val="00FD028A"/>
    <w:rsid w:val="00FD28A7"/>
    <w:rsid w:val="00FD4B48"/>
    <w:rsid w:val="00FD70C1"/>
    <w:rsid w:val="00FD7E7D"/>
    <w:rsid w:val="00FE5D91"/>
    <w:rsid w:val="00FE73DE"/>
    <w:rsid w:val="00FF40CF"/>
    <w:rsid w:val="00FF4141"/>
    <w:rsid w:val="13296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annotation reference"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basedOn w:val="DefaultParagraphFont"/>
    <w:uiPriority w:val="99"/>
    <w:semiHidden/>
    <w:unhideWhenUsed/>
    <w:qForma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qFormat/>
    <w:rPr>
      <w:rFonts w:ascii="Times Roman" w:hAnsi="Times Roman" w:hint="default"/>
      <w:color w:val="000000"/>
      <w:sz w:val="20"/>
      <w:szCs w:val="20"/>
    </w:rPr>
  </w:style>
  <w:style w:type="character" w:customStyle="1" w:styleId="fontstyle21">
    <w:name w:val="fontstyle21"/>
    <w:basedOn w:val="DefaultParagraphFont"/>
    <w:rPr>
      <w:rFonts w:ascii="Times Roman" w:hAnsi="Times Roman" w:hint="default"/>
      <w:color w:val="000000"/>
      <w:sz w:val="20"/>
      <w:szCs w:val="20"/>
    </w:rPr>
  </w:style>
  <w:style w:type="paragraph" w:customStyle="1" w:styleId="EndNoteBibliographyTitle">
    <w:name w:val="EndNote Bibliography Title"/>
    <w:basedOn w:val="Normal"/>
    <w:link w:val="EndNoteBibliographyTitleChar"/>
    <w:qFormat/>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Pr>
      <w:rFonts w:ascii="Calibri" w:hAnsi="Calibri" w:cs="Calibri"/>
    </w:rPr>
  </w:style>
  <w:style w:type="paragraph" w:customStyle="1" w:styleId="EndNoteBibliography">
    <w:name w:val="EndNote Bibliography"/>
    <w:basedOn w:val="Normal"/>
    <w:link w:val="EndNoteBibliographyChar"/>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Pr>
      <w:rFonts w:ascii="Calibri" w:hAnsi="Calibri" w:cs="Calibri"/>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annotation reference"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basedOn w:val="DefaultParagraphFont"/>
    <w:uiPriority w:val="99"/>
    <w:semiHidden/>
    <w:unhideWhenUsed/>
    <w:qForma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qFormat/>
    <w:rPr>
      <w:rFonts w:ascii="Times Roman" w:hAnsi="Times Roman" w:hint="default"/>
      <w:color w:val="000000"/>
      <w:sz w:val="20"/>
      <w:szCs w:val="20"/>
    </w:rPr>
  </w:style>
  <w:style w:type="character" w:customStyle="1" w:styleId="fontstyle21">
    <w:name w:val="fontstyle21"/>
    <w:basedOn w:val="DefaultParagraphFont"/>
    <w:rPr>
      <w:rFonts w:ascii="Times Roman" w:hAnsi="Times Roman" w:hint="default"/>
      <w:color w:val="000000"/>
      <w:sz w:val="20"/>
      <w:szCs w:val="20"/>
    </w:rPr>
  </w:style>
  <w:style w:type="paragraph" w:customStyle="1" w:styleId="EndNoteBibliographyTitle">
    <w:name w:val="EndNote Bibliography Title"/>
    <w:basedOn w:val="Normal"/>
    <w:link w:val="EndNoteBibliographyTitleChar"/>
    <w:qFormat/>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Pr>
      <w:rFonts w:ascii="Calibri" w:hAnsi="Calibri" w:cs="Calibri"/>
    </w:rPr>
  </w:style>
  <w:style w:type="paragraph" w:customStyle="1" w:styleId="EndNoteBibliography">
    <w:name w:val="EndNote Bibliography"/>
    <w:basedOn w:val="Normal"/>
    <w:link w:val="EndNoteBibliographyChar"/>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Pr>
      <w:rFonts w:ascii="Calibri" w:hAnsi="Calibri" w:cs="Calibri"/>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auda.ao@unilorin.edu.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degboladaud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18</Pages>
  <Words>9894</Words>
  <Characters>56402</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 DAUDA</dc:creator>
  <cp:lastModifiedBy>DR A. DAUDA</cp:lastModifiedBy>
  <cp:revision>30</cp:revision>
  <dcterms:created xsi:type="dcterms:W3CDTF">2023-04-14T13:24:00Z</dcterms:created>
  <dcterms:modified xsi:type="dcterms:W3CDTF">2023-04-15T21:13:00Z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2C05965B5EA4488598FFD430B9D02410</vt:lpwstr>
  </property>
  <property fmtid="{D5CDD505-2E9C-101B-9397-08002B2CF9AE}" pid="4" name="GrammarlyDocumentId">
    <vt:lpwstr>8b8fec26afe11dc7f6fda8934df9d519ee1a427873f6c93d700e581d6fcac4f2</vt:lpwstr>
  </property>
</Properties>
</file>