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4EDB2B1" w14:textId="2FCD1DAD" w:rsidR="00406B68" w:rsidRDefault="001162EA">
      <w:pPr>
        <w:spacing w:line="360" w:lineRule="auto"/>
        <w:jc w:val="both"/>
        <w:rPr>
          <w:rFonts w:ascii="Times New Roman" w:hAnsi="Times New Roman" w:cs="Times New Roman"/>
          <w:b/>
          <w:i/>
          <w:sz w:val="24"/>
          <w:szCs w:val="24"/>
        </w:rPr>
      </w:pPr>
      <w:r>
        <w:rPr>
          <w:rFonts w:ascii="Times New Roman" w:hAnsi="Times New Roman" w:cs="Times New Roman"/>
          <w:b/>
          <w:sz w:val="24"/>
          <w:szCs w:val="24"/>
        </w:rPr>
        <w:t>Physicochemical and Sensory Qualities of Pap</w:t>
      </w:r>
      <w:r w:rsidR="00701B96">
        <w:rPr>
          <w:rFonts w:ascii="Times New Roman" w:hAnsi="Times New Roman" w:cs="Times New Roman"/>
          <w:b/>
          <w:sz w:val="24"/>
          <w:szCs w:val="24"/>
        </w:rPr>
        <w:t xml:space="preserve"> (</w:t>
      </w:r>
      <w:proofErr w:type="spellStart"/>
      <w:r w:rsidR="00701B96">
        <w:rPr>
          <w:rFonts w:ascii="Times New Roman" w:hAnsi="Times New Roman" w:cs="Times New Roman"/>
          <w:b/>
          <w:sz w:val="24"/>
          <w:szCs w:val="24"/>
        </w:rPr>
        <w:t>O</w:t>
      </w:r>
      <w:r w:rsidR="00701B96" w:rsidRPr="00701B96">
        <w:rPr>
          <w:rFonts w:ascii="Times New Roman" w:hAnsi="Times New Roman" w:cs="Times New Roman"/>
          <w:b/>
          <w:i/>
          <w:sz w:val="24"/>
          <w:szCs w:val="24"/>
        </w:rPr>
        <w:t>gi</w:t>
      </w:r>
      <w:proofErr w:type="spellEnd"/>
      <w:r w:rsidR="00701B96">
        <w:rPr>
          <w:rFonts w:ascii="Times New Roman" w:hAnsi="Times New Roman" w:cs="Times New Roman"/>
          <w:b/>
          <w:sz w:val="24"/>
          <w:szCs w:val="24"/>
        </w:rPr>
        <w:t>)</w:t>
      </w:r>
      <w:r>
        <w:rPr>
          <w:rFonts w:ascii="Times New Roman" w:hAnsi="Times New Roman" w:cs="Times New Roman"/>
          <w:b/>
          <w:sz w:val="24"/>
          <w:szCs w:val="24"/>
        </w:rPr>
        <w:t xml:space="preserve"> produced from Bio-fortified Maize (</w:t>
      </w:r>
      <w:proofErr w:type="spellStart"/>
      <w:r>
        <w:rPr>
          <w:rFonts w:ascii="Times New Roman" w:hAnsi="Times New Roman" w:cs="Times New Roman"/>
          <w:b/>
          <w:i/>
          <w:sz w:val="24"/>
          <w:szCs w:val="24"/>
        </w:rPr>
        <w:t>Zea</w:t>
      </w:r>
      <w:proofErr w:type="spellEnd"/>
      <w:r>
        <w:rPr>
          <w:rFonts w:ascii="Times New Roman" w:hAnsi="Times New Roman" w:cs="Times New Roman"/>
          <w:b/>
          <w:i/>
          <w:sz w:val="24"/>
          <w:szCs w:val="24"/>
        </w:rPr>
        <w:t xml:space="preserve"> mays L.)</w:t>
      </w:r>
      <w:r>
        <w:rPr>
          <w:rFonts w:ascii="Times New Roman" w:hAnsi="Times New Roman" w:cs="Times New Roman"/>
          <w:b/>
          <w:sz w:val="24"/>
          <w:szCs w:val="24"/>
        </w:rPr>
        <w:t xml:space="preserve"> and Tamarind Fruit Pulp (</w:t>
      </w:r>
      <w:proofErr w:type="spellStart"/>
      <w:r>
        <w:rPr>
          <w:rFonts w:ascii="Times New Roman" w:hAnsi="Times New Roman" w:cs="Times New Roman"/>
          <w:b/>
          <w:i/>
          <w:sz w:val="24"/>
          <w:szCs w:val="24"/>
        </w:rPr>
        <w:t>Tamarindus</w:t>
      </w:r>
      <w:proofErr w:type="spell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indica</w:t>
      </w:r>
      <w:proofErr w:type="spellEnd"/>
      <w:r>
        <w:rPr>
          <w:rFonts w:ascii="Times New Roman" w:hAnsi="Times New Roman" w:cs="Times New Roman"/>
          <w:b/>
          <w:i/>
          <w:sz w:val="24"/>
          <w:szCs w:val="24"/>
        </w:rPr>
        <w:t xml:space="preserve"> L.)</w:t>
      </w:r>
    </w:p>
    <w:p w14:paraId="2C610492" w14:textId="672EB5EC" w:rsidR="00406B68" w:rsidRDefault="001162EA">
      <w:pPr>
        <w:spacing w:line="360" w:lineRule="auto"/>
        <w:jc w:val="both"/>
        <w:rPr>
          <w:rFonts w:ascii="Times New Roman" w:hAnsi="Times New Roman" w:cs="Times New Roman"/>
          <w:b/>
          <w:sz w:val="24"/>
          <w:szCs w:val="24"/>
        </w:rPr>
      </w:pPr>
      <w:r>
        <w:rPr>
          <w:rFonts w:ascii="Times New Roman" w:hAnsi="Times New Roman" w:cs="Times New Roman"/>
          <w:b/>
          <w:sz w:val="24"/>
          <w:szCs w:val="24"/>
        </w:rPr>
        <w:t>*</w:t>
      </w:r>
      <w:r>
        <w:rPr>
          <w:rFonts w:ascii="Times New Roman" w:hAnsi="Times New Roman" w:cs="Times New Roman"/>
          <w:b/>
          <w:sz w:val="24"/>
          <w:szCs w:val="24"/>
          <w:vertAlign w:val="superscript"/>
        </w:rPr>
        <w:t>1</w:t>
      </w:r>
      <w:r>
        <w:rPr>
          <w:rFonts w:ascii="Times New Roman" w:hAnsi="Times New Roman" w:cs="Times New Roman"/>
          <w:b/>
          <w:sz w:val="24"/>
          <w:szCs w:val="24"/>
        </w:rPr>
        <w:t>Adegbola </w:t>
      </w:r>
      <w:proofErr w:type="spellStart"/>
      <w:r>
        <w:rPr>
          <w:rFonts w:ascii="Times New Roman" w:hAnsi="Times New Roman" w:cs="Times New Roman"/>
          <w:b/>
          <w:sz w:val="24"/>
          <w:szCs w:val="24"/>
        </w:rPr>
        <w:t>Dauda</w:t>
      </w:r>
      <w:proofErr w:type="spellEnd"/>
      <w:r>
        <w:rPr>
          <w:rFonts w:ascii="Times New Roman" w:hAnsi="Times New Roman" w:cs="Times New Roman"/>
          <w:b/>
          <w:sz w:val="24"/>
          <w:szCs w:val="24"/>
        </w:rPr>
        <w:t>; </w:t>
      </w:r>
      <w:r>
        <w:rPr>
          <w:rFonts w:ascii="Times New Roman" w:hAnsi="Times New Roman" w:cs="Times New Roman"/>
          <w:b/>
          <w:sz w:val="24"/>
          <w:szCs w:val="24"/>
          <w:vertAlign w:val="superscript"/>
        </w:rPr>
        <w:t>1</w:t>
      </w:r>
      <w:r>
        <w:rPr>
          <w:rFonts w:ascii="Times New Roman" w:hAnsi="Times New Roman" w:cs="Times New Roman"/>
          <w:b/>
          <w:sz w:val="24"/>
          <w:szCs w:val="24"/>
        </w:rPr>
        <w:t>Adeshola </w:t>
      </w:r>
      <w:proofErr w:type="spellStart"/>
      <w:r>
        <w:rPr>
          <w:rFonts w:ascii="Times New Roman" w:hAnsi="Times New Roman" w:cs="Times New Roman"/>
          <w:b/>
          <w:sz w:val="24"/>
          <w:szCs w:val="24"/>
        </w:rPr>
        <w:t>Babayeju</w:t>
      </w:r>
      <w:proofErr w:type="spellEnd"/>
      <w:r w:rsidR="00701B96">
        <w:rPr>
          <w:rFonts w:ascii="Times New Roman" w:hAnsi="Times New Roman" w:cs="Times New Roman"/>
          <w:b/>
          <w:sz w:val="24"/>
          <w:szCs w:val="24"/>
        </w:rPr>
        <w:t xml:space="preserve">; </w:t>
      </w:r>
      <w:r>
        <w:rPr>
          <w:rFonts w:ascii="Times New Roman" w:hAnsi="Times New Roman" w:cs="Times New Roman"/>
          <w:b/>
          <w:sz w:val="24"/>
          <w:szCs w:val="24"/>
          <w:vertAlign w:val="superscript"/>
        </w:rPr>
        <w:t>2</w:t>
      </w:r>
      <w:r>
        <w:rPr>
          <w:rFonts w:ascii="Times New Roman" w:hAnsi="Times New Roman" w:cs="Times New Roman"/>
          <w:b/>
          <w:sz w:val="24"/>
          <w:szCs w:val="24"/>
        </w:rPr>
        <w:t xml:space="preserve">Rachael </w:t>
      </w:r>
      <w:proofErr w:type="spellStart"/>
      <w:r>
        <w:rPr>
          <w:rFonts w:ascii="Times New Roman" w:hAnsi="Times New Roman" w:cs="Times New Roman"/>
          <w:b/>
          <w:sz w:val="24"/>
          <w:szCs w:val="24"/>
        </w:rPr>
        <w:t>Oyelade</w:t>
      </w:r>
      <w:proofErr w:type="spellEnd"/>
    </w:p>
    <w:p w14:paraId="3F6D8EAC" w14:textId="77777777" w:rsidR="00406B68" w:rsidRDefault="001162E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 Department of Home Economics and Food Science, University of Ilorin, P.M.B. 1515, </w:t>
      </w:r>
      <w:proofErr w:type="spellStart"/>
      <w:r>
        <w:rPr>
          <w:rFonts w:ascii="Times New Roman" w:hAnsi="Times New Roman" w:cs="Times New Roman"/>
          <w:b/>
          <w:sz w:val="24"/>
          <w:szCs w:val="24"/>
        </w:rPr>
        <w:t>Tanke</w:t>
      </w:r>
      <w:proofErr w:type="spellEnd"/>
      <w:r>
        <w:rPr>
          <w:rFonts w:ascii="Times New Roman" w:hAnsi="Times New Roman" w:cs="Times New Roman"/>
          <w:b/>
          <w:sz w:val="24"/>
          <w:szCs w:val="24"/>
        </w:rPr>
        <w:t xml:space="preserve"> Road, Ilorin, </w:t>
      </w:r>
      <w:proofErr w:type="spellStart"/>
      <w:r>
        <w:rPr>
          <w:rFonts w:ascii="Times New Roman" w:hAnsi="Times New Roman" w:cs="Times New Roman"/>
          <w:b/>
          <w:sz w:val="24"/>
          <w:szCs w:val="24"/>
        </w:rPr>
        <w:t>Kwara</w:t>
      </w:r>
      <w:proofErr w:type="spellEnd"/>
      <w:r>
        <w:rPr>
          <w:rFonts w:ascii="Times New Roman" w:hAnsi="Times New Roman" w:cs="Times New Roman"/>
          <w:b/>
          <w:sz w:val="24"/>
          <w:szCs w:val="24"/>
        </w:rPr>
        <w:t xml:space="preserve"> State; 2. Department of Agricultural Extension and Rural Development, University of Ibadan, Ibadan, Nigeria</w:t>
      </w:r>
    </w:p>
    <w:p w14:paraId="6907277C" w14:textId="2AA34682" w:rsidR="00406B68" w:rsidRDefault="001162EA">
      <w:pPr>
        <w:spacing w:line="360" w:lineRule="auto"/>
        <w:jc w:val="both"/>
        <w:rPr>
          <w:rFonts w:ascii="Times New Roman" w:hAnsi="Times New Roman" w:cs="Times New Roman"/>
          <w:b/>
          <w:sz w:val="24"/>
          <w:szCs w:val="24"/>
        </w:rPr>
      </w:pPr>
      <w:r>
        <w:rPr>
          <w:rFonts w:ascii="Times New Roman" w:hAnsi="Times New Roman" w:cs="Times New Roman"/>
          <w:b/>
          <w:sz w:val="24"/>
          <w:szCs w:val="24"/>
        </w:rPr>
        <w:t>*Corresponding author: </w:t>
      </w:r>
      <w:hyperlink r:id="rId8" w:history="1">
        <w:r>
          <w:rPr>
            <w:rStyle w:val="Hyperlink"/>
            <w:rFonts w:ascii="Times New Roman" w:hAnsi="Times New Roman" w:cs="Times New Roman"/>
            <w:b/>
            <w:sz w:val="24"/>
            <w:szCs w:val="24"/>
          </w:rPr>
          <w:t>dauda.ao@unilorin.edu.ng</w:t>
        </w:r>
      </w:hyperlink>
      <w:r>
        <w:rPr>
          <w:rFonts w:ascii="Times New Roman" w:hAnsi="Times New Roman" w:cs="Times New Roman"/>
          <w:b/>
          <w:sz w:val="24"/>
          <w:szCs w:val="24"/>
        </w:rPr>
        <w:t>; </w:t>
      </w:r>
      <w:hyperlink r:id="rId9" w:history="1">
        <w:r>
          <w:rPr>
            <w:rStyle w:val="Hyperlink"/>
            <w:rFonts w:ascii="Times New Roman" w:hAnsi="Times New Roman" w:cs="Times New Roman"/>
            <w:b/>
            <w:sz w:val="24"/>
            <w:szCs w:val="24"/>
          </w:rPr>
          <w:t>adegboladauda@yahoo.com</w:t>
        </w:r>
      </w:hyperlink>
      <w:r>
        <w:rPr>
          <w:rFonts w:ascii="Times New Roman" w:hAnsi="Times New Roman" w:cs="Times New Roman"/>
          <w:b/>
          <w:sz w:val="24"/>
          <w:szCs w:val="24"/>
        </w:rPr>
        <w:t>; +2348055369645;</w:t>
      </w:r>
      <w:r w:rsidR="00751841">
        <w:rPr>
          <w:rFonts w:ascii="Times New Roman" w:hAnsi="Times New Roman" w:cs="Times New Roman"/>
          <w:b/>
          <w:sz w:val="24"/>
          <w:szCs w:val="24"/>
        </w:rPr>
        <w:t xml:space="preserve"> </w:t>
      </w:r>
      <w:r>
        <w:rPr>
          <w:rFonts w:ascii="Times New Roman" w:hAnsi="Times New Roman" w:cs="Times New Roman"/>
          <w:b/>
          <w:sz w:val="24"/>
          <w:szCs w:val="24"/>
        </w:rPr>
        <w:t>+2347086382585</w:t>
      </w:r>
    </w:p>
    <w:p w14:paraId="5282B96E" w14:textId="77777777" w:rsidR="00406B68" w:rsidRDefault="001162EA">
      <w:pPr>
        <w:tabs>
          <w:tab w:val="left" w:pos="3831"/>
        </w:tabs>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Abstract: </w:t>
      </w:r>
      <w:proofErr w:type="spellStart"/>
      <w:r>
        <w:rPr>
          <w:rFonts w:ascii="Times New Roman" w:hAnsi="Times New Roman" w:cs="Times New Roman"/>
          <w:i/>
          <w:sz w:val="24"/>
          <w:szCs w:val="24"/>
        </w:rPr>
        <w:t>Ogi</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a fermented cereal-based product, is low in vitamin A, and needs fortification, most especially for children. Tamarind fruit pulp was added to the maize for </w:t>
      </w:r>
      <w:proofErr w:type="spellStart"/>
      <w:r>
        <w:rPr>
          <w:rFonts w:ascii="Times New Roman" w:hAnsi="Times New Roman" w:cs="Times New Roman"/>
          <w:i/>
          <w:sz w:val="24"/>
          <w:szCs w:val="24"/>
        </w:rPr>
        <w:t>ogi</w:t>
      </w:r>
      <w:proofErr w:type="spellEnd"/>
      <w:r>
        <w:rPr>
          <w:rFonts w:ascii="Times New Roman" w:hAnsi="Times New Roman" w:cs="Times New Roman"/>
          <w:sz w:val="24"/>
          <w:szCs w:val="24"/>
        </w:rPr>
        <w:t xml:space="preserve"> processing before wet-milling at 5%, 10%, 15%, 20%, 25%, 30% levels for nutrient and health benefits. Physicochemical and sensory qualities of the pap produced were evaluated. The samples prepared were samples A (100% maize), B (95% maize, 5% tamarind), C (90% maize, 10% tamarind), D (85% maize, 15% tamarind), E (80% maize, 20% tamarind), F (75% maize, 25% tamarind), G (70% maize, 30% tamarind). Beta carotene, proximate, swelling capacity, mineral, anti-nutritional and sensory properties of the samples was </w:t>
      </w:r>
      <w:proofErr w:type="spellStart"/>
      <w:r>
        <w:rPr>
          <w:rFonts w:ascii="Times New Roman" w:hAnsi="Times New Roman" w:cs="Times New Roman"/>
          <w:sz w:val="24"/>
          <w:szCs w:val="24"/>
        </w:rPr>
        <w:t>analysed</w:t>
      </w:r>
      <w:proofErr w:type="spellEnd"/>
      <w:r>
        <w:rPr>
          <w:rFonts w:ascii="Times New Roman" w:hAnsi="Times New Roman" w:cs="Times New Roman"/>
          <w:sz w:val="24"/>
          <w:szCs w:val="24"/>
        </w:rPr>
        <w:t xml:space="preserve"> using standard methods. The control (sample A) had the highest Beta carotene content (35.98 µg/ml), but reduced with increased tamarind pulp addition. Proximate composition was moisture (66.70–65.40%), protein (10.40–9.74%), fat (5.56–7.66%), </w:t>
      </w:r>
      <w:proofErr w:type="spellStart"/>
      <w:r>
        <w:rPr>
          <w:rFonts w:ascii="Times New Roman" w:hAnsi="Times New Roman" w:cs="Times New Roman"/>
          <w:sz w:val="24"/>
          <w:szCs w:val="24"/>
        </w:rPr>
        <w:t>fibre</w:t>
      </w:r>
      <w:proofErr w:type="spellEnd"/>
      <w:r>
        <w:rPr>
          <w:rFonts w:ascii="Times New Roman" w:hAnsi="Times New Roman" w:cs="Times New Roman"/>
          <w:sz w:val="24"/>
          <w:szCs w:val="24"/>
        </w:rPr>
        <w:t xml:space="preserve"> (0.61–1.02%), ash (0.88–1.19%), and carbohydrate (15.85–14.99%). The swelling capacity increased as tamarind quantity increased. Calcium, magnesium, sodium, potassium, copper, zinc were 3.00–2.00 mg/L; 2.00-2.32 mg/L; 1.84-1.88 mg/L; 1.28 – 1.02 mg/L; 0.02-0.01 mg/L and 0.68-0.59 respectively, with the treated samples having the highest quantities. The oxalates, tannins, </w:t>
      </w:r>
      <w:proofErr w:type="spellStart"/>
      <w:r>
        <w:rPr>
          <w:rFonts w:ascii="Times New Roman" w:hAnsi="Times New Roman" w:cs="Times New Roman"/>
          <w:sz w:val="24"/>
          <w:szCs w:val="24"/>
        </w:rPr>
        <w:t>phytates</w:t>
      </w:r>
      <w:proofErr w:type="spellEnd"/>
      <w:r>
        <w:rPr>
          <w:rFonts w:ascii="Times New Roman" w:hAnsi="Times New Roman" w:cs="Times New Roman"/>
          <w:sz w:val="24"/>
          <w:szCs w:val="24"/>
        </w:rPr>
        <w:t xml:space="preserve"> were 13.13-11.03mg; 1.48-1.43mg and 0.90-1.23mg respectively. The lightness, redness and yellowness of the samples reduced with increased tamarind content. The sensory evaluation showed that sample G (70% maize, 30% tamarind) was the most preferred, and can be concluded that tamarind improved pap-quality in terms of organoleptic and nutritional properties.</w:t>
      </w:r>
    </w:p>
    <w:p w14:paraId="7C1094B0" w14:textId="77777777" w:rsidR="00406B68" w:rsidRDefault="001162EA">
      <w:pPr>
        <w:tabs>
          <w:tab w:val="left" w:pos="3831"/>
        </w:tabs>
        <w:spacing w:line="360" w:lineRule="auto"/>
        <w:jc w:val="both"/>
        <w:rPr>
          <w:rFonts w:ascii="Times New Roman" w:hAnsi="Times New Roman" w:cs="Times New Roman"/>
          <w:i/>
          <w:sz w:val="24"/>
          <w:szCs w:val="24"/>
        </w:rPr>
      </w:pPr>
      <w:r>
        <w:rPr>
          <w:rFonts w:ascii="Times New Roman" w:hAnsi="Times New Roman" w:cs="Times New Roman"/>
          <w:b/>
          <w:sz w:val="24"/>
          <w:szCs w:val="24"/>
        </w:rPr>
        <w:t>Keywords</w:t>
      </w:r>
      <w:r>
        <w:rPr>
          <w:rFonts w:ascii="Times New Roman" w:hAnsi="Times New Roman" w:cs="Times New Roman"/>
          <w:sz w:val="24"/>
          <w:szCs w:val="24"/>
        </w:rPr>
        <w:t xml:space="preserve">: </w:t>
      </w:r>
      <w:r>
        <w:rPr>
          <w:rFonts w:ascii="Times New Roman" w:hAnsi="Times New Roman" w:cs="Times New Roman"/>
          <w:i/>
          <w:sz w:val="24"/>
          <w:szCs w:val="24"/>
        </w:rPr>
        <w:t xml:space="preserve">Bio-fortified maize, tamarind seed, fermentation process, pro-vitamin A, </w:t>
      </w:r>
      <w:proofErr w:type="spellStart"/>
      <w:r>
        <w:rPr>
          <w:rFonts w:ascii="Times New Roman" w:hAnsi="Times New Roman" w:cs="Times New Roman"/>
          <w:i/>
          <w:sz w:val="24"/>
          <w:szCs w:val="24"/>
        </w:rPr>
        <w:t>ogi</w:t>
      </w:r>
      <w:proofErr w:type="spellEnd"/>
    </w:p>
    <w:p w14:paraId="618C7A8C" w14:textId="77777777" w:rsidR="00406B68" w:rsidRDefault="001162EA">
      <w:pPr>
        <w:spacing w:line="480" w:lineRule="auto"/>
        <w:jc w:val="both"/>
        <w:rPr>
          <w:rFonts w:ascii="Times New Roman" w:hAnsi="Times New Roman" w:cs="Times New Roman"/>
          <w:i/>
          <w:color w:val="000000"/>
          <w:sz w:val="24"/>
          <w:szCs w:val="24"/>
        </w:rPr>
      </w:pPr>
      <w:r>
        <w:rPr>
          <w:rFonts w:ascii="Times New Roman" w:hAnsi="Times New Roman" w:cs="Times New Roman"/>
          <w:b/>
          <w:sz w:val="24"/>
          <w:szCs w:val="24"/>
        </w:rPr>
        <w:t xml:space="preserve">Introduction: </w:t>
      </w:r>
      <w:r>
        <w:rPr>
          <w:rFonts w:ascii="Times New Roman" w:hAnsi="Times New Roman" w:cs="Times New Roman"/>
          <w:sz w:val="24"/>
          <w:szCs w:val="24"/>
        </w:rPr>
        <w:t xml:space="preserve">Breakfast is commonly referred to as the most important meal of the day, a meal that ends a long overnight fast, and provides the body with energy for the day’s use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&lt;EndNote&gt;&lt;Cite&gt;&lt;Author&gt;Hochberg-Garrett&lt;/Author&gt;&lt;Year&gt;2008&lt;/Year&gt;&lt;RecNum&gt;53&lt;/RecNum&gt;&lt;DisplayText&gt;(Hochberg-Garrett, 2008)&lt;/DisplayText&gt;&lt;record&gt;&lt;rec-number&gt;53&lt;/rec-number&gt;&lt;foreign-keys&gt;&lt;key app="EN" db-id="tz9rpzspgx2teie0pzs5w5a7v2exvttzvvdr"&gt;53&lt;/key&gt;&lt;/foreign-keys&gt;&lt;ref-type name="Thesis"&gt;32&lt;/ref-type&gt;&lt;contributors&gt;&lt;authors&gt;&lt;author&gt;Hochberg-Garrett, Heather F&lt;/author&gt;&lt;/authors&gt;&lt;/contributors&gt;&lt;titles&gt;&lt;title&gt;The Skip To Breakfast project: Development, implementation, and feasibility evaluation of an intervention to increase healthful breakfast consumption among fifth grade students and their families&lt;/title&gt;&lt;/titles&gt;&lt;dates&gt;&lt;year&gt;2008&lt;/year&gt;&lt;/dates&gt;&lt;publisher&gt;The University of Texas School of Public Health&lt;/publisher&gt;&lt;isbn&gt;0549455671&lt;/isbn&gt;&lt;urls&gt;&lt;/urls&gt;&lt;/record&gt;&lt;/Cite&gt;&lt;/EndNote&gt;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27" w:tooltip="Hochberg-Garrett, 2008 #53" w:history="1">
        <w:r>
          <w:rPr>
            <w:rFonts w:ascii="Times New Roman" w:hAnsi="Times New Roman" w:cs="Times New Roman"/>
            <w:sz w:val="24"/>
            <w:szCs w:val="24"/>
          </w:rPr>
          <w:t>Hochberg-Garrett, 2008</w:t>
        </w:r>
      </w:hyperlink>
      <w:r>
        <w:rPr>
          <w:rFonts w:ascii="Times New Roman" w:hAnsi="Times New Roman" w:cs="Times New Roman"/>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cs="Times New Roman"/>
          <w:color w:val="000000"/>
          <w:sz w:val="24"/>
          <w:szCs w:val="24"/>
        </w:rPr>
        <w:t>Breakfast of cereals in developing countries, has a recognized role in balanced diet. D</w:t>
      </w:r>
      <w:r>
        <w:rPr>
          <w:rFonts w:ascii="Times New Roman" w:hAnsi="Times New Roman" w:cs="Times New Roman"/>
          <w:sz w:val="24"/>
          <w:szCs w:val="24"/>
        </w:rPr>
        <w:t xml:space="preserve">ietary guidelines says high nutrient density of breakfast cereals makes an important source of key nutrients, as they provide vital </w:t>
      </w:r>
      <w:r>
        <w:rPr>
          <w:rFonts w:ascii="Times New Roman" w:hAnsi="Times New Roman" w:cs="Times New Roman"/>
          <w:sz w:val="24"/>
          <w:szCs w:val="24"/>
        </w:rPr>
        <w:lastRenderedPageBreak/>
        <w:t xml:space="preserve">vitamins and minerals, as well as important sources of antioxidants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&lt;EndNote&gt;&lt;Cite&gt;&lt;Author&gt;Williams&lt;/Author&gt;&lt;Year&gt;2014&lt;/Year&gt;&lt;RecNum&gt;47&lt;/RecNum&gt;&lt;DisplayText&gt;(Williams, 2014)&lt;/DisplayText&gt;&lt;record&gt;&lt;rec-number&gt;47&lt;/rec-number&gt;&lt;foreign-keys&gt;&lt;key app="EN" db-id="tz9rpzspgx2teie0pzs5w5a7v2exvttzvvdr"&gt;47&lt;/key&gt;&lt;/foreign-keys&gt;&lt;ref-type name="Journal Article"&gt;17&lt;/ref-type&gt;&lt;contributors&gt;&lt;authors&gt;&lt;author&gt;Williams, Peter G&lt;/author&gt;&lt;/authors&gt;&lt;/contributors&gt;&lt;titles&gt;&lt;title&gt;The benefits of breakfast cereal consumption: a systematic review of the evidence base&lt;/title&gt;&lt;secondary-title&gt;Advances in Nutrition&lt;/secondary-title&gt;&lt;/titles&gt;&lt;periodical&gt;&lt;full-title&gt;Advances in Nutrition&lt;/full-title&gt;&lt;/periodical&gt;&lt;pages&gt;636S-673S&lt;/pages&gt;&lt;volume&gt;5&lt;/volume&gt;&lt;number&gt;5&lt;/number&gt;&lt;dates&gt;&lt;year&gt;2014&lt;/year&gt;&lt;/dates&gt;&lt;isbn&gt;2156-5376&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67" w:tooltip="Williams, 2014 #47" w:history="1">
        <w:r>
          <w:rPr>
            <w:rFonts w:ascii="Times New Roman" w:hAnsi="Times New Roman" w:cs="Times New Roman"/>
            <w:sz w:val="24"/>
            <w:szCs w:val="24"/>
          </w:rPr>
          <w:t>Williams, 2014</w:t>
        </w:r>
      </w:hyperlink>
      <w:r>
        <w:rPr>
          <w:rFonts w:ascii="Times New Roman" w:hAnsi="Times New Roman" w:cs="Times New Roman"/>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cs="Times New Roman"/>
          <w:color w:val="000000"/>
          <w:sz w:val="24"/>
          <w:szCs w:val="24"/>
        </w:rPr>
        <w:t xml:space="preserve">Cereal account for about 35% worldwide daily calorie intake, and locally and/or fermented cereal foods (e.g. </w:t>
      </w:r>
      <w:proofErr w:type="spellStart"/>
      <w:r>
        <w:rPr>
          <w:rFonts w:ascii="Times New Roman" w:hAnsi="Times New Roman" w:cs="Times New Roman"/>
          <w:i/>
          <w:color w:val="000000"/>
          <w:sz w:val="24"/>
          <w:szCs w:val="24"/>
        </w:rPr>
        <w:t>ogi</w:t>
      </w:r>
      <w:proofErr w:type="spellEnd"/>
      <w:r>
        <w:rPr>
          <w:rFonts w:ascii="Times New Roman" w:hAnsi="Times New Roman" w:cs="Times New Roman"/>
          <w:color w:val="000000"/>
          <w:sz w:val="24"/>
          <w:szCs w:val="24"/>
        </w:rPr>
        <w:t xml:space="preserve"> or pap) are key part of human diet in Africa, and sources of nutrients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 xml:space="preserve"> ADDIN EN.CITE &lt;EndNote&gt;&lt;Cite&gt;&lt;Author&gt;Obinna‐Echem&lt;/Author&gt;&lt;Year&gt;2014&lt;/Year&gt;&lt;RecNum&gt;28&lt;/RecNum&gt;&lt;DisplayText&gt;(Obinna‐Echem&lt;style face="italic"&gt; et al.&lt;/style&gt;, 2014)&lt;/DisplayText&gt;&lt;record&gt;&lt;rec-number&gt;28&lt;/rec-number&gt;&lt;foreign-keys&gt;&lt;key app="EN" db-id="tz9rpzspgx2teie0pzs5w5a7v2exvttzvvdr"&gt;28&lt;/key&gt;&lt;/foreign-keys&gt;&lt;ref-type name="Journal Article"&gt;17&lt;/ref-type&gt;&lt;contributors&gt;&lt;authors&gt;&lt;author&gt;Obinna‐Echem, Patience C&lt;/author&gt;&lt;author&gt;Kuri, Victor&lt;/author&gt;&lt;author&gt;Beal, Jane&lt;/author&gt;&lt;/authors&gt;&lt;/contributors&gt;&lt;titles&gt;&lt;title&gt;Evaluation of the microbial community, acidity and proximate composition of akamu, a fermented maize food&lt;/title&gt;&lt;secondary-title&gt;Journal of the Science of Food and Agriculture&lt;/secondary-title&gt;&lt;/titles&gt;&lt;periodical&gt;&lt;full-title&gt;Journal of the Science of Food and Agriculture&lt;/full-title&gt;&lt;/periodical&gt;&lt;pages&gt;331-340&lt;/pages&gt;&lt;volume&gt;94&lt;/volume&gt;&lt;number&gt;2&lt;/number&gt;&lt;dates&gt;&lt;year&gt;2014&lt;/year&gt;&lt;/dates&gt;&lt;isbn&gt;0022-5142&lt;/isbn&gt;&lt;urls&gt;&lt;/urls&gt;&lt;/record&gt;&lt;/Cite&gt;&lt;/EndNote&gt;</w:instrText>
      </w:r>
      <w:r>
        <w:rPr>
          <w:rFonts w:ascii="Times New Roman" w:hAnsi="Times New Roman" w:cs="Times New Roman"/>
          <w:color w:val="000000"/>
          <w:sz w:val="24"/>
          <w:szCs w:val="24"/>
        </w:rPr>
        <w:fldChar w:fldCharType="separate"/>
      </w:r>
      <w:r>
        <w:rPr>
          <w:rFonts w:ascii="Times New Roman" w:hAnsi="Times New Roman" w:cs="Times New Roman"/>
          <w:color w:val="000000"/>
          <w:sz w:val="24"/>
          <w:szCs w:val="24"/>
        </w:rPr>
        <w:t>(</w:t>
      </w:r>
      <w:hyperlink w:anchor="_ENREF_41" w:tooltip="Obinna‐Echem, 2014 #28" w:history="1">
        <w:r>
          <w:rPr>
            <w:rFonts w:ascii="Times New Roman" w:hAnsi="Times New Roman" w:cs="Times New Roman"/>
            <w:color w:val="000000"/>
            <w:sz w:val="24"/>
            <w:szCs w:val="24"/>
          </w:rPr>
          <w:t>Obinna‐Echem</w:t>
        </w:r>
        <w:r>
          <w:rPr>
            <w:rFonts w:ascii="Times New Roman" w:hAnsi="Times New Roman" w:cs="Times New Roman"/>
            <w:i/>
            <w:color w:val="000000"/>
            <w:sz w:val="24"/>
            <w:szCs w:val="24"/>
          </w:rPr>
          <w:t xml:space="preserve"> et al.</w:t>
        </w:r>
        <w:r>
          <w:rPr>
            <w:rFonts w:ascii="Times New Roman" w:hAnsi="Times New Roman" w:cs="Times New Roman"/>
            <w:color w:val="000000"/>
            <w:sz w:val="24"/>
            <w:szCs w:val="24"/>
          </w:rPr>
          <w:t>, 2014</w:t>
        </w:r>
      </w:hyperlink>
      <w:r>
        <w:rPr>
          <w:rFonts w:ascii="Times New Roman" w:hAnsi="Times New Roman" w:cs="Times New Roman"/>
          <w:color w:val="000000"/>
          <w:sz w:val="24"/>
          <w:szCs w:val="24"/>
        </w:rPr>
        <w:t>)</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w:t>
      </w:r>
    </w:p>
    <w:p w14:paraId="5149FB8D" w14:textId="77777777" w:rsidR="00406B68" w:rsidRDefault="001162EA">
      <w:pPr>
        <w:spacing w:line="480" w:lineRule="auto"/>
        <w:jc w:val="both"/>
        <w:rPr>
          <w:rFonts w:ascii="Times New Roman" w:hAnsi="Times New Roman" w:cs="Times New Roman"/>
          <w:sz w:val="24"/>
          <w:szCs w:val="24"/>
        </w:rPr>
      </w:pPr>
      <w:r>
        <w:rPr>
          <w:rFonts w:ascii="Times New Roman" w:hAnsi="Times New Roman" w:cs="Times New Roman"/>
          <w:bCs/>
          <w:sz w:val="24"/>
          <w:szCs w:val="24"/>
        </w:rPr>
        <w:t xml:space="preserve">Cereals are cultivated fruit grasses of the monocotyledonous family </w:t>
      </w:r>
      <w:proofErr w:type="spellStart"/>
      <w:r>
        <w:rPr>
          <w:rFonts w:ascii="Times New Roman" w:hAnsi="Times New Roman" w:cs="Times New Roman"/>
          <w:bCs/>
          <w:i/>
          <w:sz w:val="24"/>
          <w:szCs w:val="24"/>
        </w:rPr>
        <w:t>Graminae</w:t>
      </w:r>
      <w:proofErr w:type="spellEnd"/>
      <w:r>
        <w:rPr>
          <w:rFonts w:ascii="Times New Roman" w:hAnsi="Times New Roman" w:cs="Times New Roman"/>
          <w:bCs/>
          <w:i/>
          <w:sz w:val="24"/>
          <w:szCs w:val="24"/>
        </w:rPr>
        <w:t xml:space="preserve"> </w:t>
      </w:r>
      <w:r>
        <w:rPr>
          <w:rFonts w:ascii="Times New Roman" w:hAnsi="Times New Roman" w:cs="Times New Roman"/>
          <w:bCs/>
          <w:i/>
          <w:sz w:val="24"/>
          <w:szCs w:val="24"/>
        </w:rPr>
        <w:fldChar w:fldCharType="begin"/>
      </w:r>
      <w:r>
        <w:rPr>
          <w:rFonts w:ascii="Times New Roman" w:hAnsi="Times New Roman" w:cs="Times New Roman"/>
          <w:bCs/>
          <w:i/>
          <w:sz w:val="24"/>
          <w:szCs w:val="24"/>
        </w:rPr>
        <w:instrText xml:space="preserve"> ADDIN EN.CITE &lt;EndNote&gt;&lt;Cite&gt;&lt;Author&gt;Usman&lt;/Author&gt;&lt;Year&gt;2012&lt;/Year&gt;&lt;RecNum&gt;58&lt;/RecNum&gt;&lt;DisplayText&gt;(Usman, 2012)&lt;/DisplayText&gt;&lt;record&gt;&lt;rec-number&gt;58&lt;/rec-number&gt;&lt;foreign-keys&gt;&lt;key app="EN" db-id="tz9rpzspgx2teie0pzs5w5a7v2exvttzvvdr"&gt;58&lt;/key&gt;&lt;/foreign-keys&gt;&lt;ref-type name="Thesis"&gt;32&lt;/ref-type&gt;&lt;contributors&gt;&lt;authors&gt;&lt;author&gt;Usman, Grace Ojali&lt;/author&gt;&lt;/authors&gt;&lt;/contributors&gt;&lt;titles&gt;&lt;title&gt;Production and evaluation of breakfast cereals from blends of african yam bean (Sphenostylis stenocarpa), maize (Zea mays) and defatted coconut (Cocos nucifera)&lt;/title&gt;&lt;/titles&gt;&lt;dates&gt;&lt;year&gt;2012&lt;/year&gt;&lt;/dates&gt;&lt;publisher&gt;M. Sc Thesis, Department of Food Science and Technology, Nniversity of …&lt;/publisher&gt;&lt;urls&gt;&lt;/urls&gt;&lt;/record&gt;&lt;/Cite&gt;&lt;/EndNote&gt;</w:instrText>
      </w:r>
      <w:r>
        <w:rPr>
          <w:rFonts w:ascii="Times New Roman" w:hAnsi="Times New Roman" w:cs="Times New Roman"/>
          <w:bCs/>
          <w:i/>
          <w:sz w:val="24"/>
          <w:szCs w:val="24"/>
        </w:rPr>
        <w:fldChar w:fldCharType="separate"/>
      </w:r>
      <w:r>
        <w:rPr>
          <w:rFonts w:ascii="Times New Roman" w:hAnsi="Times New Roman" w:cs="Times New Roman"/>
          <w:bCs/>
          <w:sz w:val="24"/>
          <w:szCs w:val="24"/>
        </w:rPr>
        <w:t>(</w:t>
      </w:r>
      <w:hyperlink w:anchor="_ENREF_64" w:tooltip="Usman, 2012 #58" w:history="1">
        <w:r>
          <w:rPr>
            <w:rFonts w:ascii="Times New Roman" w:hAnsi="Times New Roman" w:cs="Times New Roman"/>
            <w:bCs/>
            <w:sz w:val="24"/>
            <w:szCs w:val="24"/>
          </w:rPr>
          <w:t>Usman, 2012</w:t>
        </w:r>
      </w:hyperlink>
      <w:r>
        <w:rPr>
          <w:rFonts w:ascii="Times New Roman" w:hAnsi="Times New Roman" w:cs="Times New Roman"/>
          <w:bCs/>
          <w:i/>
          <w:sz w:val="24"/>
          <w:szCs w:val="24"/>
        </w:rPr>
        <w:t>)</w:t>
      </w:r>
      <w:r>
        <w:rPr>
          <w:rFonts w:ascii="Times New Roman" w:hAnsi="Times New Roman" w:cs="Times New Roman"/>
          <w:bCs/>
          <w:i/>
          <w:sz w:val="24"/>
          <w:szCs w:val="24"/>
        </w:rPr>
        <w:fldChar w:fldCharType="end"/>
      </w:r>
      <w:r>
        <w:rPr>
          <w:rFonts w:ascii="Times New Roman" w:hAnsi="Times New Roman" w:cs="Times New Roman"/>
          <w:bCs/>
          <w:i/>
          <w:sz w:val="24"/>
          <w:szCs w:val="24"/>
        </w:rPr>
        <w:t xml:space="preserve">, </w:t>
      </w:r>
      <w:r>
        <w:rPr>
          <w:rFonts w:ascii="Times New Roman" w:hAnsi="Times New Roman" w:cs="Times New Roman"/>
          <w:bCs/>
          <w:sz w:val="24"/>
          <w:szCs w:val="24"/>
        </w:rPr>
        <w:t xml:space="preserve">and are staples providing carbohydrate, protein, B-vitamins and minerals for world’s population </w:t>
      </w:r>
      <w:r>
        <w:rPr>
          <w:rFonts w:ascii="Times New Roman" w:hAnsi="Times New Roman" w:cs="Times New Roman"/>
          <w:bCs/>
          <w:sz w:val="24"/>
          <w:szCs w:val="24"/>
        </w:rPr>
        <w:fldChar w:fldCharType="begin"/>
      </w:r>
      <w:r>
        <w:rPr>
          <w:rFonts w:ascii="Times New Roman" w:hAnsi="Times New Roman" w:cs="Times New Roman"/>
          <w:bCs/>
          <w:sz w:val="24"/>
          <w:szCs w:val="24"/>
        </w:rPr>
        <w:instrText xml:space="preserve"> ADDIN EN.CITE &lt;EndNote&gt;&lt;Cite&gt;&lt;Author&gt;Uwagbale&lt;/Author&gt;&lt;Year&gt;2016&lt;/Year&gt;&lt;RecNum&gt;62&lt;/RecNum&gt;&lt;DisplayText&gt;(Uwagbale&lt;style face="italic"&gt; et al.&lt;/style&gt;, 2016)&lt;/DisplayText&gt;&lt;record&gt;&lt;rec-number&gt;62&lt;/rec-number&gt;&lt;foreign-keys&gt;&lt;key app="EN" db-id="tz9rpzspgx2teie0pzs5w5a7v2exvttzvvdr"&gt;62&lt;/key&gt;&lt;/foreign-keys&gt;&lt;ref-type name="Journal Article"&gt;17&lt;/ref-type&gt;&lt;contributors&gt;&lt;authors&gt;&lt;author&gt;Uwagbale, Edward-Ekpu Douglas&lt;/author&gt;&lt;author&gt;Saratu, Audu Stephen&lt;/author&gt;&lt;author&gt;Akagwu, Odiba Victor&lt;/author&gt;&lt;author&gt;Stephen, Okopi Ochaba&lt;/author&gt;&lt;author&gt;Lilian, Affiku Manyi&lt;/author&gt;&lt;/authors&gt;&lt;/contributors&gt;&lt;titles&gt;&lt;title&gt;African Cereals and Non-African Cereals: A Comparative Review of Their Nutritional Composition&lt;/title&gt;&lt;secondary-title&gt;World&lt;/secondary-title&gt;&lt;/titles&gt;&lt;periodical&gt;&lt;full-title&gt;World&lt;/full-title&gt;&lt;/periodical&gt;&lt;pages&gt;30-37&lt;/pages&gt;&lt;volume&gt;1&lt;/volume&gt;&lt;number&gt;1&lt;/number&gt;&lt;dates&gt;&lt;year&gt;2016&lt;/year&gt;&lt;/dates&gt;&lt;urls&gt;&lt;/urls&gt;&lt;/record&gt;&lt;/Cite&gt;&lt;/EndNote&gt;</w:instrText>
      </w:r>
      <w:r>
        <w:rPr>
          <w:rFonts w:ascii="Times New Roman" w:hAnsi="Times New Roman" w:cs="Times New Roman"/>
          <w:bCs/>
          <w:sz w:val="24"/>
          <w:szCs w:val="24"/>
        </w:rPr>
        <w:fldChar w:fldCharType="separate"/>
      </w:r>
      <w:r>
        <w:rPr>
          <w:rFonts w:ascii="Times New Roman" w:hAnsi="Times New Roman" w:cs="Times New Roman"/>
          <w:bCs/>
          <w:sz w:val="24"/>
          <w:szCs w:val="24"/>
        </w:rPr>
        <w:t>(</w:t>
      </w:r>
      <w:hyperlink w:anchor="_ENREF_65" w:tooltip="Uwagbale, 2016 #62" w:history="1">
        <w:r>
          <w:rPr>
            <w:rFonts w:ascii="Times New Roman" w:hAnsi="Times New Roman" w:cs="Times New Roman"/>
            <w:bCs/>
            <w:sz w:val="24"/>
            <w:szCs w:val="24"/>
          </w:rPr>
          <w:t>Uwagbale</w:t>
        </w:r>
        <w:r>
          <w:rPr>
            <w:rFonts w:ascii="Times New Roman" w:hAnsi="Times New Roman" w:cs="Times New Roman"/>
            <w:bCs/>
            <w:i/>
            <w:sz w:val="24"/>
            <w:szCs w:val="24"/>
          </w:rPr>
          <w:t xml:space="preserve"> et al.</w:t>
        </w:r>
        <w:r>
          <w:rPr>
            <w:rFonts w:ascii="Times New Roman" w:hAnsi="Times New Roman" w:cs="Times New Roman"/>
            <w:bCs/>
            <w:sz w:val="24"/>
            <w:szCs w:val="24"/>
          </w:rPr>
          <w:t>, 2016</w:t>
        </w:r>
      </w:hyperlink>
      <w:r>
        <w:rPr>
          <w:rFonts w:ascii="Times New Roman" w:hAnsi="Times New Roman" w:cs="Times New Roman"/>
          <w:bCs/>
          <w:sz w:val="24"/>
          <w:szCs w:val="24"/>
        </w:rPr>
        <w:t>)</w:t>
      </w:r>
      <w:r>
        <w:rPr>
          <w:rFonts w:ascii="Times New Roman" w:hAnsi="Times New Roman" w:cs="Times New Roman"/>
          <w:bCs/>
          <w:sz w:val="24"/>
          <w:szCs w:val="24"/>
        </w:rPr>
        <w:fldChar w:fldCharType="end"/>
      </w:r>
      <w:r>
        <w:rPr>
          <w:rFonts w:ascii="Times New Roman" w:hAnsi="Times New Roman" w:cs="Times New Roman"/>
          <w:bCs/>
          <w:sz w:val="24"/>
          <w:szCs w:val="24"/>
        </w:rPr>
        <w:t xml:space="preserve">, with main ones being wheat, barley, rice, maize, sorghum and millets. However, maize, rice, sorghum and millets are most common in developing countries. </w:t>
      </w:r>
      <w:r>
        <w:rPr>
          <w:rFonts w:ascii="Times New Roman" w:hAnsi="Times New Roman" w:cs="Times New Roman"/>
          <w:sz w:val="24"/>
          <w:szCs w:val="24"/>
        </w:rPr>
        <w:t xml:space="preserve">Maize is important, as it provides food and fuel for humans and animals, nutritionally rich and useful industrially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&lt;EndNote&gt;&lt;Cite&gt;&lt;Author&gt;Afzal&lt;/Author&gt;&lt;Year&gt;2009&lt;/Year&gt;&lt;RecNum&gt;29&lt;/RecNum&gt;&lt;DisplayText&gt;(Afzal&lt;style face="italic"&gt; et al.&lt;/style&gt;, 2009)&lt;/DisplayText&gt;&lt;record&gt;&lt;rec-number&gt;29&lt;/rec-number&gt;&lt;foreign-keys&gt;&lt;key app="EN" db-id="tz9rpzspgx2teie0pzs5w5a7v2exvttzvvdr"&gt;29&lt;/key&gt;&lt;/foreign-keys&gt;&lt;ref-type name="Journal Article"&gt;17&lt;/ref-type&gt;&lt;contributors&gt;&lt;authors&gt;&lt;author&gt;Afzal, Muhammad&lt;/author&gt;&lt;author&gt;Nazir, Zahid&lt;/author&gt;&lt;author&gt;Bashir, Muhammad Hamid&lt;/author&gt;&lt;author&gt;Khan, Bilal Saeed&lt;/author&gt;&lt;/authors&gt;&lt;/contributors&gt;&lt;titles&gt;&lt;title&gt;Analysis of host plant resistance in some genotypes of maize against Chilo partellus (Swinhoe)(Pyralidae: Lepidoptera)&lt;/title&gt;&lt;secondary-title&gt;Pak. J. Bot&lt;/secondary-title&gt;&lt;/titles&gt;&lt;periodical&gt;&lt;full-title&gt;Pak. J. Bot&lt;/full-title&gt;&lt;/periodical&gt;&lt;pages&gt;421-428&lt;/pages&gt;&lt;volume&gt;41&lt;/volume&gt;&lt;number&gt;1&lt;/number&gt;&lt;dates&gt;&lt;year&gt;2009&lt;/year&gt;&lt;/dates&gt;&lt;urls&gt;&lt;/urls&gt;&lt;/record&gt;&lt;/Cite&gt;&lt;/EndNote&gt;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4" w:tooltip="Afzal, 2009 #29" w:history="1">
        <w:r>
          <w:rPr>
            <w:rFonts w:ascii="Times New Roman" w:hAnsi="Times New Roman" w:cs="Times New Roman"/>
            <w:sz w:val="24"/>
            <w:szCs w:val="24"/>
          </w:rPr>
          <w:t>Afzal</w:t>
        </w:r>
        <w:r>
          <w:rPr>
            <w:rFonts w:ascii="Times New Roman" w:hAnsi="Times New Roman" w:cs="Times New Roman"/>
            <w:i/>
            <w:sz w:val="24"/>
            <w:szCs w:val="24"/>
          </w:rPr>
          <w:t xml:space="preserve"> et al.</w:t>
        </w:r>
        <w:r>
          <w:rPr>
            <w:rFonts w:ascii="Times New Roman" w:hAnsi="Times New Roman" w:cs="Times New Roman"/>
            <w:sz w:val="24"/>
            <w:szCs w:val="24"/>
          </w:rPr>
          <w:t>, 2009</w:t>
        </w:r>
      </w:hyperlink>
      <w:r>
        <w:rPr>
          <w:rFonts w:ascii="Times New Roman" w:hAnsi="Times New Roman" w:cs="Times New Roman"/>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Maize has high phosphorus, small amounts of calcium, iron, thiamine, niacin, fat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&lt;EndNote&gt;&lt;Cite&gt;&lt;Author&gt;Adeyemo&lt;/Author&gt;&lt;Year&gt;1984&lt;/Year&gt;&lt;RecNum&gt;31&lt;/RecNum&gt;&lt;DisplayText&gt;(Adeyemo, 1984)&lt;/DisplayText&gt;&lt;record&gt;&lt;rec-number&gt;31&lt;/rec-number&gt;&lt;foreign-keys&gt;&lt;key app="EN" db-id="tz9rpzspgx2teie0pzs5w5a7v2exvttzvvdr"&gt;31&lt;/key&gt;&lt;/foreign-keys&gt;&lt;ref-type name="Journal Article"&gt;17&lt;/ref-type&gt;&lt;contributors&gt;&lt;authors&gt;&lt;author&gt;Adeyemo, Remi&lt;/author&gt;&lt;/authors&gt;&lt;/contributors&gt;&lt;titles&gt;&lt;title&gt;Maize-Consumption Expenditure of Rural and Urban Workers: Implications for Nigeria&lt;/title&gt;&lt;secondary-title&gt;The Journal of Modern African Studies&lt;/secondary-title&gt;&lt;/titles&gt;&lt;periodical&gt;&lt;full-title&gt;The Journal of Modern African Studies&lt;/full-title&gt;&lt;/periodical&gt;&lt;pages&gt;163-166&lt;/pages&gt;&lt;volume&gt;22&lt;/volume&gt;&lt;number&gt;1&lt;/number&gt;&lt;dates&gt;&lt;year&gt;1984&lt;/year&gt;&lt;/dates&gt;&lt;isbn&gt;1469-7777&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2" w:tooltip="Adeyemo, 1984 #31" w:history="1">
        <w:r>
          <w:rPr>
            <w:rFonts w:ascii="Times New Roman" w:hAnsi="Times New Roman" w:cs="Times New Roman"/>
            <w:sz w:val="24"/>
            <w:szCs w:val="24"/>
          </w:rPr>
          <w:t>Adeyemo, 1984</w:t>
        </w:r>
      </w:hyperlink>
      <w:r>
        <w:rPr>
          <w:rFonts w:ascii="Times New Roman" w:hAnsi="Times New Roman" w:cs="Times New Roman"/>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but yield high energy per unit land, ensures food availability and security to consumers etc.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&lt;EndNote&gt;&lt;Cite&gt;&lt;Author&gt;Mboya&lt;/Author&gt;&lt;Year&gt;2011&lt;/Year&gt;&lt;RecNum&gt;30&lt;/RecNum&gt;&lt;DisplayText&gt;(Mboya&lt;style face="italic"&gt; et al.&lt;/style&gt;, 2011)&lt;/DisplayText&gt;&lt;record&gt;&lt;rec-number&gt;30&lt;/rec-number&gt;&lt;foreign-keys&gt;&lt;key app="EN" db-id="tz9rpzspgx2teie0pzs5w5a7v2exvttzvvdr"&gt;30&lt;/key&gt;&lt;/foreign-keys&gt;&lt;ref-type name="Journal Article"&gt;17&lt;/ref-type&gt;&lt;contributors&gt;&lt;authors&gt;&lt;author&gt;Mboya, Rose&lt;/author&gt;&lt;author&gt;Tongoona, P&lt;/author&gt;&lt;author&gt;Derera, J&lt;/author&gt;&lt;author&gt;Mudhara, M&lt;/author&gt;&lt;author&gt;Langyintuo, A&lt;/author&gt;&lt;/authors&gt;&lt;/contributors&gt;&lt;titles&gt;&lt;title&gt;The dietary importance of maize in Katumba ward, Rungwe district, Tanzania, and its contribution to household food security&lt;/title&gt;&lt;secondary-title&gt;African Journal of Agricultural Research&lt;/secondary-title&gt;&lt;/titles&gt;&lt;periodical&gt;&lt;full-title&gt;African Journal of Agricultural Research&lt;/full-title&gt;&lt;/periodical&gt;&lt;pages&gt;2617-2626&lt;/pages&gt;&lt;volume&gt;6&lt;/volume&gt;&lt;number&gt;11&lt;/number&gt;&lt;dates&gt;&lt;year&gt;2011&lt;/year&gt;&lt;/dates&gt;&lt;isbn&gt;1991-637X&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36" w:tooltip="Mboya, 2011 #30" w:history="1">
        <w:r>
          <w:rPr>
            <w:rFonts w:ascii="Times New Roman" w:hAnsi="Times New Roman" w:cs="Times New Roman"/>
            <w:sz w:val="24"/>
            <w:szCs w:val="24"/>
          </w:rPr>
          <w:t>Mboya</w:t>
        </w:r>
        <w:r>
          <w:rPr>
            <w:rFonts w:ascii="Times New Roman" w:hAnsi="Times New Roman" w:cs="Times New Roman"/>
            <w:i/>
            <w:sz w:val="24"/>
            <w:szCs w:val="24"/>
          </w:rPr>
          <w:t xml:space="preserve"> et al.</w:t>
        </w:r>
        <w:r>
          <w:rPr>
            <w:rFonts w:ascii="Times New Roman" w:hAnsi="Times New Roman" w:cs="Times New Roman"/>
            <w:sz w:val="24"/>
            <w:szCs w:val="24"/>
          </w:rPr>
          <w:t>, 2011</w:t>
        </w:r>
      </w:hyperlink>
      <w:r>
        <w:rPr>
          <w:rFonts w:ascii="Times New Roman" w:hAnsi="Times New Roman" w:cs="Times New Roman"/>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1E4420D9" w14:textId="77777777" w:rsidR="00406B68" w:rsidRDefault="001162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Pap, also known as </w:t>
      </w:r>
      <w:proofErr w:type="spellStart"/>
      <w:r>
        <w:rPr>
          <w:rFonts w:ascii="Times New Roman" w:hAnsi="Times New Roman" w:cs="Times New Roman"/>
          <w:i/>
          <w:sz w:val="24"/>
          <w:szCs w:val="24"/>
        </w:rPr>
        <w:t>ogi</w:t>
      </w:r>
      <w:proofErr w:type="spellEnd"/>
      <w:r>
        <w:rPr>
          <w:rFonts w:ascii="Times New Roman" w:hAnsi="Times New Roman" w:cs="Times New Roman"/>
          <w:i/>
          <w:sz w:val="24"/>
          <w:szCs w:val="24"/>
        </w:rPr>
        <w:t>/</w:t>
      </w:r>
      <w:proofErr w:type="spellStart"/>
      <w:r>
        <w:rPr>
          <w:rFonts w:ascii="Times New Roman" w:hAnsi="Times New Roman" w:cs="Times New Roman"/>
          <w:i/>
          <w:sz w:val="24"/>
          <w:szCs w:val="24"/>
        </w:rPr>
        <w:t>akamu</w:t>
      </w:r>
      <w:proofErr w:type="spellEnd"/>
      <w:r>
        <w:rPr>
          <w:rFonts w:ascii="Times New Roman" w:hAnsi="Times New Roman" w:cs="Times New Roman"/>
          <w:i/>
          <w:sz w:val="24"/>
          <w:szCs w:val="24"/>
        </w:rPr>
        <w:t>,</w:t>
      </w:r>
      <w:r>
        <w:rPr>
          <w:rFonts w:ascii="Times New Roman" w:hAnsi="Times New Roman" w:cs="Times New Roman"/>
          <w:sz w:val="24"/>
          <w:szCs w:val="24"/>
        </w:rPr>
        <w:t xml:space="preserve"> is a lactic acid fermented cereal porridge from sorghum, millet or maize, and traditionally consumed mostly in the morning across Nigeria and West Africa, with </w:t>
      </w:r>
      <w:proofErr w:type="spellStart"/>
      <w:r>
        <w:rPr>
          <w:rFonts w:ascii="Times New Roman" w:hAnsi="Times New Roman" w:cs="Times New Roman"/>
          <w:i/>
          <w:sz w:val="24"/>
          <w:szCs w:val="24"/>
        </w:rPr>
        <w:t>moimoi</w:t>
      </w:r>
      <w:proofErr w:type="spellEnd"/>
      <w:r>
        <w:rPr>
          <w:rFonts w:ascii="Times New Roman" w:hAnsi="Times New Roman" w:cs="Times New Roman"/>
          <w:sz w:val="24"/>
          <w:szCs w:val="24"/>
        </w:rPr>
        <w:t xml:space="preserve"> (bean pudding) or </w:t>
      </w:r>
      <w:proofErr w:type="spellStart"/>
      <w:r>
        <w:rPr>
          <w:rFonts w:ascii="Times New Roman" w:hAnsi="Times New Roman" w:cs="Times New Roman"/>
          <w:i/>
          <w:sz w:val="24"/>
          <w:szCs w:val="24"/>
        </w:rPr>
        <w:t>Akara</w:t>
      </w:r>
      <w:proofErr w:type="spellEnd"/>
      <w:r>
        <w:rPr>
          <w:rFonts w:ascii="Times New Roman" w:hAnsi="Times New Roman" w:cs="Times New Roman"/>
          <w:sz w:val="24"/>
          <w:szCs w:val="24"/>
        </w:rPr>
        <w:t xml:space="preserve"> (bean cake) etc. Maize, sorghum and millet have protein contents between 9 and 13 % that is deficient in essential amino acids, lysine and tryptophan, threonine, with some lost during steeping and sieving operations of the traditional method. This led to the use of several seed protein supplements in increasing the protein content and improving the nutritional quality of </w:t>
      </w:r>
      <w:proofErr w:type="spellStart"/>
      <w:r>
        <w:rPr>
          <w:rFonts w:ascii="Times New Roman" w:hAnsi="Times New Roman" w:cs="Times New Roman"/>
          <w:i/>
          <w:sz w:val="24"/>
          <w:szCs w:val="24"/>
        </w:rPr>
        <w:t>ogi</w:t>
      </w:r>
      <w:proofErr w:type="spellEnd"/>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&lt;EndNote&gt;&lt;Cite&gt;&lt;Author&gt;Akingbala&lt;/Author&gt;&lt;Year&gt;2003&lt;/Year&gt;&lt;RecNum&gt;43&lt;/RecNum&gt;&lt;DisplayText&gt;(Akingbala&lt;style face="italic"&gt; et al.&lt;/style&gt;, 2003)&lt;/DisplayText&gt;&lt;record&gt;&lt;rec-number&gt;43&lt;/rec-number&gt;&lt;foreign-keys&gt;&lt;key app="EN" db-id="tz9rpzspgx2teie0pzs5w5a7v2exvttzvvdr"&gt;43&lt;/key&gt;&lt;/foreign-keys&gt;&lt;ref-type name="Journal Article"&gt;17&lt;/ref-type&gt;&lt;contributors&gt;&lt;authors&gt;&lt;author&gt;Akingbala, JO&lt;/author&gt;&lt;author&gt;Akinwande, BA&lt;/author&gt;&lt;author&gt;Uzo-Peters, PI&lt;/author&gt;&lt;/authors&gt;&lt;/contributors&gt;&lt;titles&gt;&lt;title&gt;Effects of color and flavor changes on acceptability of ogi supplemented with okra seed meals&lt;/title&gt;&lt;secondary-title&gt;Plant Foods for Human Nutrition&lt;/secondary-title&gt;&lt;/titles&gt;&lt;periodical&gt;&lt;full-title&gt;Plant Foods for Human Nutrition&lt;/full-title&gt;&lt;/periodical&gt;&lt;pages&gt;1-9&lt;/pages&gt;&lt;volume&gt;58&lt;/volume&gt;&lt;number&gt;3&lt;/number&gt;&lt;dates&gt;&lt;year&gt;2003&lt;/year&gt;&lt;/dates&gt;&lt;isbn&gt;0921-9668&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5" w:tooltip="Akingbala, 2003 #43" w:history="1">
        <w:r>
          <w:rPr>
            <w:rFonts w:ascii="Times New Roman" w:hAnsi="Times New Roman" w:cs="Times New Roman"/>
            <w:sz w:val="24"/>
            <w:szCs w:val="24"/>
          </w:rPr>
          <w:t>Akingbala</w:t>
        </w:r>
        <w:r>
          <w:rPr>
            <w:rFonts w:ascii="Times New Roman" w:hAnsi="Times New Roman" w:cs="Times New Roman"/>
            <w:i/>
            <w:sz w:val="24"/>
            <w:szCs w:val="24"/>
          </w:rPr>
          <w:t xml:space="preserve"> et al.</w:t>
        </w:r>
        <w:r>
          <w:rPr>
            <w:rFonts w:ascii="Times New Roman" w:hAnsi="Times New Roman" w:cs="Times New Roman"/>
            <w:sz w:val="24"/>
            <w:szCs w:val="24"/>
          </w:rPr>
          <w:t>, 2003</w:t>
        </w:r>
      </w:hyperlink>
      <w:r>
        <w:rPr>
          <w:rFonts w:ascii="Times New Roman" w:hAnsi="Times New Roman" w:cs="Times New Roman"/>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w:t>
      </w:r>
    </w:p>
    <w:p w14:paraId="36ACE964" w14:textId="77777777" w:rsidR="00406B68" w:rsidRDefault="001162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Bio-fortification is the development of micronutrient-dense staple crops with the best traditional breeding practices and modern biotechnology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&lt;EndNote&gt;&lt;Cite&gt;&lt;Author&gt;Nestel&lt;/Author&gt;&lt;Year&gt;2006&lt;/Year&gt;&lt;RecNum&gt;86&lt;/RecNum&gt;&lt;DisplayText&gt;(Nestel&lt;style face="italic"&gt; et al.&lt;/style&gt;, 2006)&lt;/DisplayText&gt;&lt;record&gt;&lt;rec-number&gt;86&lt;/rec-number&gt;&lt;foreign-keys&gt;&lt;key app="EN" db-id="tz9rpzspgx2teie0pzs5w5a7v2exvttzvvdr"&gt;86&lt;/key&gt;&lt;/foreign-keys&gt;&lt;ref-type name="Journal Article"&gt;17&lt;/ref-type&gt;&lt;contributors&gt;&lt;authors&gt;&lt;author&gt;Nestel, Penelope&lt;/author&gt;&lt;author&gt;Bouis, Howarth E&lt;/author&gt;&lt;author&gt;Meenakshi, JV&lt;/author&gt;&lt;author&gt;Pfeiffer, Wolfgang&lt;/author&gt;&lt;/authors&gt;&lt;/contributors&gt;&lt;titles&gt;&lt;title&gt;Biofortification of staple food crops&lt;/title&gt;&lt;secondary-title&gt;The Journal of nutrition&lt;/secondary-title&gt;&lt;/titles&gt;&lt;periodical&gt;&lt;full-title&gt;The Journal of nutrition&lt;/full-title&gt;&lt;/periodical&gt;&lt;pages&gt;1064-1067&lt;/pages&gt;&lt;volume&gt;136&lt;/volume&gt;&lt;number&gt;4&lt;/number&gt;&lt;dates&gt;&lt;year&gt;2006&lt;/year&gt;&lt;/dates&gt;&lt;isbn&gt;0022-3166&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39" w:tooltip="Nestel, 2006 #86" w:history="1">
        <w:r>
          <w:rPr>
            <w:rFonts w:ascii="Times New Roman" w:hAnsi="Times New Roman" w:cs="Times New Roman"/>
            <w:sz w:val="24"/>
            <w:szCs w:val="24"/>
          </w:rPr>
          <w:t>Nestel</w:t>
        </w:r>
        <w:r>
          <w:rPr>
            <w:rFonts w:ascii="Times New Roman" w:hAnsi="Times New Roman" w:cs="Times New Roman"/>
            <w:i/>
            <w:sz w:val="24"/>
            <w:szCs w:val="24"/>
          </w:rPr>
          <w:t xml:space="preserve"> et al.</w:t>
        </w:r>
        <w:r>
          <w:rPr>
            <w:rFonts w:ascii="Times New Roman" w:hAnsi="Times New Roman" w:cs="Times New Roman"/>
            <w:sz w:val="24"/>
            <w:szCs w:val="24"/>
          </w:rPr>
          <w:t>, 2006</w:t>
        </w:r>
      </w:hyperlink>
      <w:r>
        <w:rPr>
          <w:rFonts w:ascii="Times New Roman" w:hAnsi="Times New Roman" w:cs="Times New Roman"/>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which is hinged on the regular daily intake of consistent amount of staple foods by family members. This helps to reach the undernourished people in remote areas with naturally fortified foods for people with limited access to such foods marketed and consumed in urban areas, and may have important effects by increasing farm productivity in developing countries in an environmentally beneficial way.  </w:t>
      </w:r>
    </w:p>
    <w:p w14:paraId="228282E3" w14:textId="77777777" w:rsidR="00406B68" w:rsidRDefault="001162EA">
      <w:pPr>
        <w:spacing w:line="48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For vitamin A deficiency in plant-based diet, concentrating pro-vitamin A carotenoids such as beta-carotene in staple food crops could improve vitamin A potentials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&lt;EndNote&gt;&lt;Cite&gt;&lt;Author&gt;Howe&lt;/Author&gt;&lt;Year&gt;2006&lt;/Year&gt;&lt;RecNum&gt;8&lt;/RecNum&gt;&lt;DisplayText&gt;(Howe and Tanumihardjo, 2006)&lt;/DisplayText&gt;&lt;record&gt;&lt;rec-number&gt;8&lt;/rec-number&gt;&lt;foreign-keys&gt;&lt;key app="EN" db-id="tz9rpzspgx2teie0pzs5w5a7v2exvttzvvdr"&gt;8&lt;/key&gt;&lt;/foreign-keys&gt;&lt;ref-type name="Journal Article"&gt;17&lt;/ref-type&gt;&lt;contributors&gt;&lt;authors&gt;&lt;author&gt;Howe, Julie A&lt;/author&gt;&lt;author&gt;Tanumihardjo, Sherry A&lt;/author&gt;&lt;/authors&gt;&lt;/contributors&gt;&lt;titles&gt;&lt;title&gt;Evaluation of analytical methods for carotenoid extraction from biofortified maize (Zea mays sp.)&lt;/title&gt;&lt;secondary-title&gt;Journal of Agricultural and Food Chemistry&lt;/secondary-title&gt;&lt;/titles&gt;&lt;periodical&gt;&lt;full-title&gt;Journal of Agricultural and Food Chemistry&lt;/full-title&gt;&lt;/periodical&gt;&lt;pages&gt;7992-7997&lt;/pages&gt;&lt;volume&gt;54&lt;/volume&gt;&lt;number&gt;21&lt;/number&gt;&lt;dates&gt;&lt;year&gt;2006&lt;/year&gt;&lt;/dates&gt;&lt;isbn&gt;0021-8561&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28" w:tooltip="Howe, 2006 #8" w:history="1">
        <w:r>
          <w:rPr>
            <w:rFonts w:ascii="Times New Roman" w:hAnsi="Times New Roman" w:cs="Times New Roman"/>
            <w:sz w:val="24"/>
            <w:szCs w:val="24"/>
          </w:rPr>
          <w:t>Howe and Tanumihardjo, 2006</w:t>
        </w:r>
      </w:hyperlink>
      <w:r>
        <w:rPr>
          <w:rFonts w:ascii="Times New Roman" w:hAnsi="Times New Roman" w:cs="Times New Roman"/>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w:t>
      </w:r>
      <w:r>
        <w:rPr>
          <w:rStyle w:val="fontstyle01"/>
          <w:rFonts w:ascii="Times New Roman" w:hAnsi="Times New Roman" w:cs="Times New Roman"/>
          <w:sz w:val="24"/>
          <w:szCs w:val="24"/>
        </w:rPr>
        <w:t xml:space="preserve"> </w:t>
      </w:r>
      <w:proofErr w:type="spellStart"/>
      <w:r>
        <w:rPr>
          <w:rStyle w:val="fontstyle01"/>
          <w:rFonts w:ascii="Times New Roman" w:hAnsi="Times New Roman" w:cs="Times New Roman"/>
          <w:i/>
          <w:sz w:val="24"/>
          <w:szCs w:val="24"/>
        </w:rPr>
        <w:t>Ogi</w:t>
      </w:r>
      <w:proofErr w:type="spellEnd"/>
      <w:r>
        <w:rPr>
          <w:rStyle w:val="fontstyle01"/>
          <w:rFonts w:ascii="Times New Roman" w:hAnsi="Times New Roman" w:cs="Times New Roman"/>
          <w:i/>
          <w:sz w:val="24"/>
          <w:szCs w:val="24"/>
        </w:rPr>
        <w:t>,</w:t>
      </w:r>
      <w:r>
        <w:rPr>
          <w:rStyle w:val="fontstyle21"/>
          <w:rFonts w:ascii="Times New Roman" w:hAnsi="Times New Roman" w:cs="Times New Roman"/>
          <w:sz w:val="24"/>
          <w:szCs w:val="24"/>
        </w:rPr>
        <w:t xml:space="preserve"> is a popular </w:t>
      </w:r>
      <w:r>
        <w:rPr>
          <w:rStyle w:val="fontstyle21"/>
          <w:rFonts w:ascii="Times New Roman" w:hAnsi="Times New Roman" w:cs="Times New Roman"/>
          <w:sz w:val="24"/>
          <w:szCs w:val="24"/>
        </w:rPr>
        <w:lastRenderedPageBreak/>
        <w:t xml:space="preserve">breakfast cereal and infant weaning food among Nigerians </w:t>
      </w:r>
      <w:r>
        <w:rPr>
          <w:rStyle w:val="fontstyle21"/>
          <w:rFonts w:ascii="Times New Roman" w:hAnsi="Times New Roman" w:cs="Times New Roman"/>
          <w:sz w:val="24"/>
          <w:szCs w:val="24"/>
        </w:rPr>
        <w:fldChar w:fldCharType="begin"/>
      </w:r>
      <w:r>
        <w:rPr>
          <w:rStyle w:val="fontstyle21"/>
          <w:rFonts w:ascii="Times New Roman" w:hAnsi="Times New Roman" w:cs="Times New Roman"/>
          <w:sz w:val="24"/>
          <w:szCs w:val="24"/>
        </w:rPr>
        <w:instrText xml:space="preserve"> ADDIN EN.CITE &lt;EndNote&gt;&lt;Cite&gt;&lt;Author&gt;Nwokoro&lt;/Author&gt;&lt;Year&gt;2012&lt;/Year&gt;&lt;RecNum&gt;3&lt;/RecNum&gt;&lt;DisplayText&gt;(Nwokoro and Chukwu, 2012)&lt;/DisplayText&gt;&lt;record&gt;&lt;rec-number&gt;3&lt;/rec-number&gt;&lt;foreign-keys&gt;&lt;key app="EN" db-id="tz9rpzspgx2teie0pzs5w5a7v2exvttzvvdr"&gt;3&lt;/key&gt;&lt;/foreign-keys&gt;&lt;ref-type name="Journal Article"&gt;17&lt;/ref-type&gt;&lt;contributors&gt;&lt;authors&gt;&lt;author&gt;Nwokoro, Ogbonnaya&lt;/author&gt;&lt;author&gt;Chukwu, Bernice Chidinma&lt;/author&gt;&lt;/authors&gt;&lt;/contributors&gt;&lt;titles&gt;&lt;title&gt;Studies on Akamu, a traditional fermented maize food&lt;/title&gt;&lt;secondary-title&gt;Revista Chilena de Nutrición&lt;/secondary-title&gt;&lt;/titles&gt;&lt;periodical&gt;&lt;full-title&gt;Revista Chilena de Nutrición&lt;/full-title&gt;&lt;/periodical&gt;&lt;pages&gt;180-184&lt;/pages&gt;&lt;volume&gt;39&lt;/volume&gt;&lt;number&gt;4&lt;/number&gt;&lt;dates&gt;&lt;year&gt;2012&lt;/year&gt;&lt;/dates&gt;&lt;isbn&gt;0716-1549&lt;/isbn&gt;&lt;urls&gt;&lt;/urls&gt;&lt;/record&gt;&lt;/Cite&gt;&lt;/EndNote&gt;</w:instrText>
      </w:r>
      <w:r>
        <w:rPr>
          <w:rStyle w:val="fontstyle21"/>
          <w:rFonts w:ascii="Times New Roman" w:hAnsi="Times New Roman" w:cs="Times New Roman"/>
          <w:sz w:val="24"/>
          <w:szCs w:val="24"/>
        </w:rPr>
        <w:fldChar w:fldCharType="separate"/>
      </w:r>
      <w:r>
        <w:rPr>
          <w:rStyle w:val="fontstyle21"/>
          <w:rFonts w:ascii="Times New Roman" w:hAnsi="Times New Roman" w:cs="Times New Roman"/>
          <w:sz w:val="24"/>
          <w:szCs w:val="24"/>
        </w:rPr>
        <w:t>(</w:t>
      </w:r>
      <w:hyperlink w:anchor="_ENREF_40" w:tooltip="Nwokoro, 2012 #3" w:history="1">
        <w:r>
          <w:rPr>
            <w:rStyle w:val="fontstyle21"/>
            <w:rFonts w:ascii="Times New Roman" w:hAnsi="Times New Roman" w:cs="Times New Roman"/>
            <w:sz w:val="24"/>
            <w:szCs w:val="24"/>
          </w:rPr>
          <w:t>Nwokoro and Chukwu, 2012</w:t>
        </w:r>
      </w:hyperlink>
      <w:r>
        <w:rPr>
          <w:rStyle w:val="fontstyle21"/>
          <w:rFonts w:ascii="Times New Roman" w:hAnsi="Times New Roman" w:cs="Times New Roman"/>
          <w:sz w:val="24"/>
          <w:szCs w:val="24"/>
        </w:rPr>
        <w:t>)</w:t>
      </w:r>
      <w:r>
        <w:rPr>
          <w:rStyle w:val="fontstyle21"/>
          <w:rFonts w:ascii="Times New Roman" w:hAnsi="Times New Roman" w:cs="Times New Roman"/>
          <w:sz w:val="24"/>
          <w:szCs w:val="24"/>
        </w:rPr>
        <w:fldChar w:fldCharType="end"/>
      </w:r>
      <w:r>
        <w:rPr>
          <w:rStyle w:val="fontstyle21"/>
          <w:rFonts w:ascii="Times New Roman" w:hAnsi="Times New Roman" w:cs="Times New Roman"/>
          <w:sz w:val="24"/>
          <w:szCs w:val="24"/>
        </w:rPr>
        <w:t xml:space="preserve">. It is </w:t>
      </w:r>
      <w:r>
        <w:rPr>
          <w:rFonts w:ascii="Times New Roman" w:hAnsi="Times New Roman" w:cs="Times New Roman"/>
          <w:sz w:val="24"/>
          <w:szCs w:val="24"/>
        </w:rPr>
        <w:t xml:space="preserve">high in water, which improves water supply and makes nursing mothers lactate easily after delivery.  </w:t>
      </w:r>
    </w:p>
    <w:p w14:paraId="03E404FA" w14:textId="77777777" w:rsidR="00406B68" w:rsidRDefault="001162EA">
      <w:pPr>
        <w:spacing w:line="480" w:lineRule="auto"/>
        <w:jc w:val="both"/>
        <w:rPr>
          <w:rFonts w:ascii="Times New Roman" w:hAnsi="Times New Roman" w:cs="Times New Roman"/>
          <w:sz w:val="24"/>
          <w:szCs w:val="24"/>
        </w:rPr>
      </w:pPr>
      <w:r>
        <w:rPr>
          <w:rFonts w:ascii="Times New Roman" w:hAnsi="Times New Roman" w:cs="Times New Roman"/>
          <w:sz w:val="24"/>
          <w:szCs w:val="24"/>
        </w:rPr>
        <w:t>Tamarind (</w:t>
      </w:r>
      <w:proofErr w:type="spellStart"/>
      <w:r>
        <w:rPr>
          <w:rFonts w:ascii="Times New Roman" w:hAnsi="Times New Roman" w:cs="Times New Roman"/>
          <w:i/>
          <w:sz w:val="24"/>
          <w:szCs w:val="24"/>
        </w:rPr>
        <w:t>Tamarindus</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indica</w:t>
      </w:r>
      <w:proofErr w:type="spellEnd"/>
      <w:r>
        <w:rPr>
          <w:rFonts w:ascii="Times New Roman" w:hAnsi="Times New Roman" w:cs="Times New Roman"/>
          <w:i/>
          <w:sz w:val="24"/>
          <w:szCs w:val="24"/>
        </w:rPr>
        <w:t xml:space="preserve"> L</w:t>
      </w:r>
      <w:r>
        <w:rPr>
          <w:rFonts w:ascii="Times New Roman" w:hAnsi="Times New Roman" w:cs="Times New Roman"/>
          <w:sz w:val="24"/>
          <w:szCs w:val="24"/>
        </w:rPr>
        <w:t xml:space="preserve">.) is one of the most widespread trees of Indian subcontinent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&lt;EndNote&gt;&lt;Cite&gt;&lt;Author&gt;Rao&lt;/Author&gt;&lt;Year&gt;2012&lt;/Year&gt;&lt;RecNum&gt;4&lt;/RecNum&gt;&lt;DisplayText&gt;(Rao and Mathew, 2012)&lt;/DisplayText&gt;&lt;record&gt;&lt;rec-number&gt;4&lt;/rec-number&gt;&lt;foreign-keys&gt;&lt;key app="EN" db-id="tz9rpzspgx2teie0pzs5w5a7v2exvttzvvdr"&gt;4&lt;/key&gt;&lt;/foreign-keys&gt;&lt;ref-type name="Book Section"&gt;5&lt;/ref-type&gt;&lt;contributors&gt;&lt;authors&gt;&lt;author&gt;Rao, Y Saideswara&lt;/author&gt;&lt;author&gt;Mathew, K Mary&lt;/author&gt;&lt;/authors&gt;&lt;/contributors&gt;&lt;titles&gt;&lt;title&gt;Tamarind&lt;/title&gt;&lt;secondary-title&gt;Handbook of Herbs and Spices&lt;/secondary-title&gt;&lt;/titles&gt;&lt;pages&gt;512-533&lt;/pages&gt;&lt;dates&gt;&lt;year&gt;2012&lt;/year&gt;&lt;/dates&gt;&lt;publisher&gt;Elsevier&lt;/publisher&gt;&lt;urls&gt;&lt;/urls&gt;&lt;/record&gt;&lt;/Cite&gt;&lt;/EndNote&gt;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50" w:tooltip="Rao, 2012 #4" w:history="1">
        <w:r>
          <w:rPr>
            <w:rFonts w:ascii="Times New Roman" w:hAnsi="Times New Roman" w:cs="Times New Roman"/>
            <w:sz w:val="24"/>
            <w:szCs w:val="24"/>
          </w:rPr>
          <w:t>Rao and Mathew, 2012</w:t>
        </w:r>
      </w:hyperlink>
      <w:r>
        <w:rPr>
          <w:rFonts w:ascii="Times New Roman" w:hAnsi="Times New Roman" w:cs="Times New Roman"/>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a multipurpose tropical tree useful for its fruits that are eaten fresh or processed, used as seasonings or spice, or processed for other uses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&lt;EndNote&gt;&lt;Cite&gt;&lt;Author&gt;El-Siddig&lt;/Author&gt;&lt;Year&gt;2006&lt;/Year&gt;&lt;RecNum&gt;24&lt;/RecNum&gt;&lt;DisplayText&gt;(El-Siddig, 2006)&lt;/DisplayText&gt;&lt;record&gt;&lt;rec-number&gt;24&lt;/rec-number&gt;&lt;foreign-keys&gt;&lt;key app="EN" db-id="tz9rpzspgx2teie0pzs5w5a7v2exvttzvvdr"&gt;24&lt;/key&gt;&lt;/foreign-keys&gt;&lt;ref-type name="Book"&gt;6&lt;/ref-type&gt;&lt;contributors&gt;&lt;authors&gt;&lt;author&gt;El-Siddig, K&lt;/author&gt;&lt;/authors&gt;&lt;/contributors&gt;&lt;titles&gt;&lt;title&gt;Tamarind: Tamarindus Indica L&lt;/title&gt;&lt;/titles&gt;&lt;volume&gt;1&lt;/volume&gt;&lt;dates&gt;&lt;year&gt;2006&lt;/year&gt;&lt;/dates&gt;&lt;publisher&gt;Crops for the Future&lt;/publisher&gt;&lt;isbn&gt;0854328599&lt;/isbn&gt;&lt;urls&gt;&lt;/urls&gt;&lt;/record&gt;&lt;/Cite&gt;&lt;/EndNote&gt;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20" w:tooltip="El-Siddig, 2006 #24" w:history="1">
        <w:r>
          <w:rPr>
            <w:rFonts w:ascii="Times New Roman" w:hAnsi="Times New Roman" w:cs="Times New Roman"/>
            <w:sz w:val="24"/>
            <w:szCs w:val="24"/>
          </w:rPr>
          <w:t>El-Siddig, 2006</w:t>
        </w:r>
      </w:hyperlink>
      <w:r>
        <w:rPr>
          <w:rFonts w:ascii="Times New Roman" w:hAnsi="Times New Roman" w:cs="Times New Roman"/>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The seed has protein, fat, sugars and carbohydrates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&lt;EndNote&gt;&lt;Cite&gt;&lt;Author&gt;El-Siddig&lt;/Author&gt;&lt;Year&gt;2006&lt;/Year&gt;&lt;RecNum&gt;24&lt;/RecNum&gt;&lt;DisplayText&gt;(El-Siddig, 2006)&lt;/DisplayText&gt;&lt;record&gt;&lt;rec-number&gt;24&lt;/rec-number&gt;&lt;foreign-keys&gt;&lt;key app="EN" db-id="tz9rpzspgx2teie0pzs5w5a7v2exvttzvvdr"&gt;24&lt;/key&gt;&lt;/foreign-keys&gt;&lt;ref-type name="Book"&gt;6&lt;/ref-type&gt;&lt;contributors&gt;&lt;authors&gt;&lt;author&gt;El-Siddig, K&lt;/author&gt;&lt;/authors&gt;&lt;/contributors&gt;&lt;titles&gt;&lt;title&gt;Tamarind: Tamarindus Indica L&lt;/title&gt;&lt;/titles&gt;&lt;volume&gt;1&lt;/volume&gt;&lt;dates&gt;&lt;year&gt;2006&lt;/year&gt;&lt;/dates&gt;&lt;publisher&gt;Crops for the Future&lt;/publisher&gt;&lt;isbn&gt;0854328599&lt;/isbn&gt;&lt;urls&gt;&lt;/urls&gt;&lt;/record&gt;&lt;/Cite&gt;&lt;/EndNote&gt;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20" w:tooltip="El-Siddig, 2006 #24" w:history="1">
        <w:r>
          <w:rPr>
            <w:rFonts w:ascii="Times New Roman" w:hAnsi="Times New Roman" w:cs="Times New Roman"/>
            <w:sz w:val="24"/>
            <w:szCs w:val="24"/>
          </w:rPr>
          <w:t>El-Siddig, 2006</w:t>
        </w:r>
      </w:hyperlink>
      <w:r>
        <w:rPr>
          <w:rFonts w:ascii="Times New Roman" w:hAnsi="Times New Roman" w:cs="Times New Roman"/>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pulp and seeds rich in potassium, calcium and phosphorous, and many other minerals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&lt;EndNote&gt;&lt;Cite&gt;&lt;Author&gt;Rao&lt;/Author&gt;&lt;Year&gt;2012&lt;/Year&gt;&lt;RecNum&gt;4&lt;/RecNum&gt;&lt;DisplayText&gt;(Rao and Mathew, 2012)&lt;/DisplayText&gt;&lt;record&gt;&lt;rec-number&gt;4&lt;/rec-number&gt;&lt;foreign-keys&gt;&lt;key app="EN" db-id="tz9rpzspgx2teie0pzs5w5a7v2exvttzvvdr"&gt;4&lt;/key&gt;&lt;/foreign-keys&gt;&lt;ref-type name="Book Section"&gt;5&lt;/ref-type&gt;&lt;contributors&gt;&lt;authors&gt;&lt;author&gt;Rao, Y Saideswara&lt;/author&gt;&lt;author&gt;Mathew, K Mary&lt;/author&gt;&lt;/authors&gt;&lt;/contributors&gt;&lt;titles&gt;&lt;title&gt;Tamarind&lt;/title&gt;&lt;secondary-title&gt;Handbook of Herbs and Spices&lt;/secondary-title&gt;&lt;/titles&gt;&lt;pages&gt;512-533&lt;/pages&gt;&lt;dates&gt;&lt;year&gt;2012&lt;/year&gt;&lt;/dates&gt;&lt;publisher&gt;Elsevier&lt;/publisher&gt;&lt;urls&gt;&lt;/urls&gt;&lt;/record&gt;&lt;/Cite&gt;&lt;/EndNote&gt;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50" w:tooltip="Rao, 2012 #4" w:history="1">
        <w:r>
          <w:rPr>
            <w:rFonts w:ascii="Times New Roman" w:hAnsi="Times New Roman" w:cs="Times New Roman"/>
            <w:sz w:val="24"/>
            <w:szCs w:val="24"/>
          </w:rPr>
          <w:t>Rao and Mathew, 2012</w:t>
        </w:r>
      </w:hyperlink>
      <w:r>
        <w:rPr>
          <w:rFonts w:ascii="Times New Roman" w:hAnsi="Times New Roman" w:cs="Times New Roman"/>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The fruit is the most useful part of tamarind tree; the pulp constitutes 30-50% of the fruit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&lt;EndNote&gt;&lt;Cite&gt;&lt;Author&gt;Shankaracharya&lt;/Author&gt;&lt;Year&gt;1998&lt;/Year&gt;&lt;RecNum&gt;33&lt;/RecNum&gt;&lt;DisplayText&gt;(Shankaracharya, 1998)&lt;/DisplayText&gt;&lt;record&gt;&lt;rec-number&gt;33&lt;/rec-number&gt;&lt;foreign-keys&gt;&lt;key app="EN" db-id="tz9rpzspgx2teie0pzs5w5a7v2exvttzvvdr"&gt;33&lt;/key&gt;&lt;/foreign-keys&gt;&lt;ref-type name="Journal Article"&gt;17&lt;/ref-type&gt;&lt;contributors&gt;&lt;authors&gt;&lt;author&gt;Shankaracharya, NB&lt;/author&gt;&lt;/authors&gt;&lt;/contributors&gt;&lt;titles&gt;&lt;title&gt;Tamarind-chemistry, technology and uses-a critical appraisal&lt;/title&gt;&lt;secondary-title&gt;Journal of Food Science and Technology&lt;/secondary-title&gt;&lt;/titles&gt;&lt;periodical&gt;&lt;full-title&gt;Journal of Food Science and Technology&lt;/full-title&gt;&lt;/periodical&gt;&lt;pages&gt;193-208&lt;/pages&gt;&lt;volume&gt;35&lt;/volume&gt;&lt;number&gt;3&lt;/number&gt;&lt;dates&gt;&lt;year&gt;1998&lt;/year&gt;&lt;/dates&gt;&lt;isbn&gt;0022-1155&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55" w:tooltip="Shankaracharya, 1998 #33" w:history="1">
        <w:r>
          <w:rPr>
            <w:rFonts w:ascii="Times New Roman" w:hAnsi="Times New Roman" w:cs="Times New Roman"/>
            <w:sz w:val="24"/>
            <w:szCs w:val="24"/>
          </w:rPr>
          <w:t>Shankaracharya, 1998</w:t>
        </w:r>
      </w:hyperlink>
      <w:r>
        <w:rPr>
          <w:rFonts w:ascii="Times New Roman" w:hAnsi="Times New Roman" w:cs="Times New Roman"/>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shell and </w:t>
      </w:r>
      <w:proofErr w:type="spellStart"/>
      <w:r>
        <w:rPr>
          <w:rFonts w:ascii="Times New Roman" w:hAnsi="Times New Roman" w:cs="Times New Roman"/>
          <w:sz w:val="24"/>
          <w:szCs w:val="24"/>
        </w:rPr>
        <w:t>fibre</w:t>
      </w:r>
      <w:proofErr w:type="spellEnd"/>
      <w:r>
        <w:rPr>
          <w:rFonts w:ascii="Times New Roman" w:hAnsi="Times New Roman" w:cs="Times New Roman"/>
          <w:sz w:val="24"/>
          <w:szCs w:val="24"/>
        </w:rPr>
        <w:t xml:space="preserve">, 11-30%, while the seed, 25-40%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&lt;EndNote&gt;&lt;Cite&gt;&lt;Author&gt;Duncan&lt;/Author&gt;&lt;Year&gt;1999&lt;/Year&gt;&lt;RecNum&gt;34&lt;/RecNum&gt;&lt;DisplayText&gt;(Duncan and Chapman, 1999)&lt;/DisplayText&gt;&lt;record&gt;&lt;rec-number&gt;34&lt;/rec-number&gt;&lt;foreign-keys&gt;&lt;key app="EN" db-id="tz9rpzspgx2teie0pzs5w5a7v2exvttzvvdr"&gt;34&lt;/key&gt;&lt;/foreign-keys&gt;&lt;ref-type name="Journal Article"&gt;17&lt;/ref-type&gt;&lt;contributors&gt;&lt;authors&gt;&lt;author&gt;Duncan, R Scot&lt;/author&gt;&lt;author&gt;Chapman, Colin A&lt;/author&gt;&lt;/authors&gt;&lt;/contributors&gt;&lt;titles&gt;&lt;title&gt;Seed dispersal and potential forest succession in abandoned agriculture in tropical Africa&lt;/title&gt;&lt;secondary-title&gt;Ecological applications&lt;/secondary-title&gt;&lt;/titles&gt;&lt;periodical&gt;&lt;full-title&gt;Ecological applications&lt;/full-title&gt;&lt;/periodical&gt;&lt;pages&gt;998-1008&lt;/pages&gt;&lt;volume&gt;9&lt;/volume&gt;&lt;number&gt;3&lt;/number&gt;&lt;dates&gt;&lt;year&gt;1999&lt;/year&gt;&lt;/dates&gt;&lt;isbn&gt;1939-5582&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18" w:tooltip="Duncan, 1999 #34" w:history="1">
        <w:r>
          <w:rPr>
            <w:rFonts w:ascii="Times New Roman" w:hAnsi="Times New Roman" w:cs="Times New Roman"/>
            <w:sz w:val="24"/>
            <w:szCs w:val="24"/>
          </w:rPr>
          <w:t>Duncan and Chapman, 1999</w:t>
        </w:r>
      </w:hyperlink>
      <w:r>
        <w:rPr>
          <w:rFonts w:ascii="Times New Roman" w:hAnsi="Times New Roman" w:cs="Times New Roman"/>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Tamarind supports the liver, as an extract of tamarind fruit stimulated production of the liver’s natural antioxidants superoxide dismutase and glutathione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&lt;EndNote&gt;&lt;Cite&gt;&lt;Author&gt;Bettermann&lt;/Author&gt;&lt;RecNum&gt;36&lt;/RecNum&gt;&lt;DisplayText&gt;(Bettermann, 2019)&lt;/DisplayText&gt;&lt;record&gt;&lt;rec-number&gt;36&lt;/rec-number&gt;&lt;foreign-keys&gt;&lt;key app="EN" db-id="tz9rpzspgx2teie0pzs5w5a7v2exvttzvvdr"&gt;36&lt;/key&gt;&lt;/foreign-keys&gt;&lt;ref-type name="Journal Article"&gt;17&lt;/ref-type&gt;&lt;contributors&gt;&lt;authors&gt;&lt;author&gt;Bettermann, Eddy&lt;/author&gt;&lt;/authors&gt;&lt;/contributors&gt;&lt;titles&gt;&lt;title&gt;What Are the Health Benefits of Tamarind?&lt;/title&gt;&lt;/titles&gt;&lt;dates&gt;&lt;year&gt;2019&lt;/year&gt;&lt;/dates&gt;&lt;urls&gt;&lt;/urls&gt;&lt;/record&gt;&lt;/Cite&gt;&lt;/EndNote&gt;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11" w:tooltip="Bettermann, 2019 #36" w:history="1">
        <w:r>
          <w:rPr>
            <w:rFonts w:ascii="Times New Roman" w:hAnsi="Times New Roman" w:cs="Times New Roman"/>
            <w:sz w:val="24"/>
            <w:szCs w:val="24"/>
          </w:rPr>
          <w:t>Bettermann, 2019</w:t>
        </w:r>
      </w:hyperlink>
      <w:r>
        <w:rPr>
          <w:rFonts w:ascii="Times New Roman" w:hAnsi="Times New Roman" w:cs="Times New Roman"/>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while its consumption lowers fasting and blood glucose levels within five days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&lt;EndNote&gt;&lt;Cite&gt;&lt;Author&gt;Bettermann&lt;/Author&gt;&lt;Year&gt;2019&lt;/Year&gt;&lt;RecNum&gt;36&lt;/RecNum&gt;&lt;DisplayText&gt;(Bettermann, 2019)&lt;/DisplayText&gt;&lt;record&gt;&lt;rec-number&gt;36&lt;/rec-number&gt;&lt;foreign-keys&gt;&lt;key app="EN" db-id="tz9rpzspgx2teie0pzs5w5a7v2exvttzvvdr"&gt;36&lt;/key&gt;&lt;/foreign-keys&gt;&lt;ref-type name="Journal Article"&gt;17&lt;/ref-type&gt;&lt;contributors&gt;&lt;authors&gt;&lt;author&gt;Bettermann, Eddy&lt;/author&gt;&lt;/authors&gt;&lt;/contributors&gt;&lt;titles&gt;&lt;title&gt;What Are the Health Benefits of Tamarind?&lt;/title&gt;&lt;/titles&gt;&lt;dates&gt;&lt;year&gt;2019&lt;/year&gt;&lt;/dates&gt;&lt;urls&gt;&lt;/urls&gt;&lt;/record&gt;&lt;/Cite&gt;&lt;/EndNote&gt;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11" w:tooltip="Bettermann, 2019 #36" w:history="1">
        <w:r>
          <w:rPr>
            <w:rFonts w:ascii="Times New Roman" w:hAnsi="Times New Roman" w:cs="Times New Roman"/>
            <w:sz w:val="24"/>
            <w:szCs w:val="24"/>
          </w:rPr>
          <w:t>Bettermann, 2019</w:t>
        </w:r>
      </w:hyperlink>
      <w:r>
        <w:rPr>
          <w:rFonts w:ascii="Times New Roman" w:hAnsi="Times New Roman" w:cs="Times New Roman"/>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and detox fluoride for health support. The numerous health and nutrient benefits of tamarind informed its incorporation into </w:t>
      </w:r>
      <w:proofErr w:type="spellStart"/>
      <w:r>
        <w:rPr>
          <w:rFonts w:ascii="Times New Roman" w:hAnsi="Times New Roman" w:cs="Times New Roman"/>
          <w:i/>
          <w:sz w:val="24"/>
          <w:szCs w:val="24"/>
        </w:rPr>
        <w:t>ogi</w:t>
      </w:r>
      <w:proofErr w:type="spellEnd"/>
      <w:r>
        <w:rPr>
          <w:rFonts w:ascii="Times New Roman" w:hAnsi="Times New Roman" w:cs="Times New Roman"/>
          <w:sz w:val="24"/>
          <w:szCs w:val="24"/>
        </w:rPr>
        <w:t xml:space="preserve"> product for maximum utilization, with the aims of investigating the physicochemical and sensory qualities of pap paste made from bio-fortified maize and tamarind fruit.</w:t>
      </w:r>
    </w:p>
    <w:p w14:paraId="5D9F9B5F" w14:textId="2494F91C" w:rsidR="00406B68" w:rsidRDefault="00833016">
      <w:pPr>
        <w:spacing w:line="480" w:lineRule="auto"/>
        <w:jc w:val="both"/>
        <w:rPr>
          <w:rFonts w:ascii="Times New Roman" w:hAnsi="Times New Roman" w:cs="Times New Roman"/>
          <w:sz w:val="24"/>
          <w:szCs w:val="24"/>
        </w:rPr>
      </w:pPr>
      <w:r>
        <w:rPr>
          <w:rFonts w:ascii="Times New Roman" w:hAnsi="Times New Roman" w:cs="Times New Roman"/>
          <w:sz w:val="24"/>
          <w:szCs w:val="24"/>
        </w:rPr>
        <w:t>The tr</w:t>
      </w:r>
      <w:r w:rsidR="001162EA">
        <w:rPr>
          <w:rFonts w:ascii="Times New Roman" w:hAnsi="Times New Roman" w:cs="Times New Roman"/>
          <w:sz w:val="24"/>
          <w:szCs w:val="24"/>
        </w:rPr>
        <w:t xml:space="preserve">aditional method of </w:t>
      </w:r>
      <w:proofErr w:type="spellStart"/>
      <w:r w:rsidR="001162EA">
        <w:rPr>
          <w:rFonts w:ascii="Times New Roman" w:hAnsi="Times New Roman" w:cs="Times New Roman"/>
          <w:i/>
          <w:sz w:val="24"/>
          <w:szCs w:val="24"/>
        </w:rPr>
        <w:t>ogi</w:t>
      </w:r>
      <w:proofErr w:type="spellEnd"/>
      <w:r w:rsidR="001162EA">
        <w:rPr>
          <w:rFonts w:ascii="Times New Roman" w:hAnsi="Times New Roman" w:cs="Times New Roman"/>
          <w:sz w:val="24"/>
          <w:szCs w:val="24"/>
        </w:rPr>
        <w:t xml:space="preserve"> preparation</w:t>
      </w:r>
      <w:r>
        <w:rPr>
          <w:rFonts w:ascii="Times New Roman" w:hAnsi="Times New Roman" w:cs="Times New Roman"/>
          <w:sz w:val="24"/>
          <w:szCs w:val="24"/>
        </w:rPr>
        <w:t xml:space="preserve"> as stated by </w:t>
      </w:r>
      <w:proofErr w:type="spellStart"/>
      <w:r>
        <w:rPr>
          <w:rFonts w:ascii="Times New Roman" w:hAnsi="Times New Roman" w:cs="Times New Roman"/>
          <w:sz w:val="24"/>
          <w:szCs w:val="24"/>
        </w:rPr>
        <w:t>Nwokoro</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Chukwu</w:t>
      </w:r>
      <w:proofErr w:type="spellEnd"/>
      <w:r>
        <w:rPr>
          <w:rFonts w:ascii="Times New Roman" w:hAnsi="Times New Roman" w:cs="Times New Roman"/>
          <w:sz w:val="24"/>
          <w:szCs w:val="24"/>
        </w:rPr>
        <w:t>, 2012,</w:t>
      </w:r>
      <w:r w:rsidR="001162EA">
        <w:rPr>
          <w:rFonts w:ascii="Times New Roman" w:hAnsi="Times New Roman" w:cs="Times New Roman"/>
          <w:sz w:val="24"/>
          <w:szCs w:val="24"/>
        </w:rPr>
        <w:t xml:space="preserve"> was adopted. Maize grains were soaked in water for 1-3 days, wet-milled to slurry, and sieved through a screen mesh (sieve size of no. 36). The extract settled for 1 or 2days at ambient temperature (26±2°C) to sediment and turns sour. The paste is boiled in water to give gruel with about 5% solids. It is consumed by both adults and infants. Over fermented product is nutritionally inadequate </w:t>
      </w:r>
      <w:r w:rsidR="001162EA">
        <w:rPr>
          <w:rFonts w:ascii="Times New Roman" w:hAnsi="Times New Roman" w:cs="Times New Roman"/>
          <w:sz w:val="24"/>
          <w:szCs w:val="24"/>
        </w:rPr>
        <w:fldChar w:fldCharType="begin"/>
      </w:r>
      <w:r w:rsidR="001162EA">
        <w:rPr>
          <w:rFonts w:ascii="Times New Roman" w:hAnsi="Times New Roman" w:cs="Times New Roman"/>
          <w:sz w:val="24"/>
          <w:szCs w:val="24"/>
        </w:rPr>
        <w:instrText xml:space="preserve"> ADDIN EN.CITE &lt;EndNote&gt;&lt;Cite&gt;&lt;Author&gt;Ashaye&lt;/Author&gt;&lt;Year&gt;2004&lt;/Year&gt;&lt;RecNum&gt;23&lt;/RecNum&gt;&lt;DisplayText&gt;(Ashaye&lt;style face="italic"&gt; et al.&lt;/style&gt;, 2004)&lt;/DisplayText&gt;&lt;record&gt;&lt;rec-number&gt;23&lt;/rec-number&gt;&lt;foreign-keys&gt;&lt;key app="EN" db-id="tz9rpzspgx2teie0pzs5w5a7v2exvttzvvdr"&gt;23&lt;/key&gt;&lt;/foreign-keys&gt;&lt;ref-type name="Journal Article"&gt;17&lt;/ref-type&gt;&lt;contributors&gt;&lt;authors&gt;&lt;author&gt;Ashaye, OA&lt;/author&gt;&lt;author&gt;Akingbala, JO&lt;/author&gt;&lt;author&gt;Obatolu, VA&lt;/author&gt;&lt;author&gt;Fasoyiro, SB&lt;/author&gt;&lt;/authors&gt;&lt;/contributors&gt;&lt;titles&gt;&lt;title&gt;Improving processing technology and nutritional composition of Nigerian traditional breakfast gruel from corn and Okra&lt;/title&gt;&lt;secondary-title&gt;Journal of agricultural &amp;amp; food information&lt;/secondary-title&gt;&lt;/titles&gt;&lt;periodical&gt;&lt;full-title&gt;Journal of agricultural &amp;amp; food information&lt;/full-title&gt;&lt;/periodical&gt;&lt;pages&gt;77-87&lt;/pages&gt;&lt;volume&gt;6&lt;/volume&gt;&lt;number&gt;1&lt;/number&gt;&lt;dates&gt;&lt;year&gt;2004&lt;/year&gt;&lt;/dates&gt;&lt;isbn&gt;1049-6505&lt;/isbn&gt;&lt;urls&gt;&lt;/urls&gt;&lt;/record&gt;&lt;/Cite&gt;&lt;/EndNote&gt;</w:instrText>
      </w:r>
      <w:r w:rsidR="001162EA">
        <w:rPr>
          <w:rFonts w:ascii="Times New Roman" w:hAnsi="Times New Roman" w:cs="Times New Roman"/>
          <w:sz w:val="24"/>
          <w:szCs w:val="24"/>
        </w:rPr>
        <w:fldChar w:fldCharType="separate"/>
      </w:r>
      <w:r w:rsidR="001162EA">
        <w:rPr>
          <w:rFonts w:ascii="Times New Roman" w:hAnsi="Times New Roman" w:cs="Times New Roman"/>
          <w:sz w:val="24"/>
          <w:szCs w:val="24"/>
        </w:rPr>
        <w:t>(</w:t>
      </w:r>
      <w:hyperlink w:anchor="_ENREF_8" w:tooltip="Ashaye, 2004 #23" w:history="1">
        <w:r w:rsidR="001162EA">
          <w:rPr>
            <w:rFonts w:ascii="Times New Roman" w:hAnsi="Times New Roman" w:cs="Times New Roman"/>
            <w:sz w:val="24"/>
            <w:szCs w:val="24"/>
          </w:rPr>
          <w:t>Ashaye</w:t>
        </w:r>
        <w:r w:rsidR="001162EA">
          <w:rPr>
            <w:rFonts w:ascii="Times New Roman" w:hAnsi="Times New Roman" w:cs="Times New Roman"/>
            <w:i/>
            <w:sz w:val="24"/>
            <w:szCs w:val="24"/>
          </w:rPr>
          <w:t xml:space="preserve"> et al.</w:t>
        </w:r>
        <w:r w:rsidR="001162EA">
          <w:rPr>
            <w:rFonts w:ascii="Times New Roman" w:hAnsi="Times New Roman" w:cs="Times New Roman"/>
            <w:sz w:val="24"/>
            <w:szCs w:val="24"/>
          </w:rPr>
          <w:t>, 2004</w:t>
        </w:r>
      </w:hyperlink>
      <w:r w:rsidR="001162EA">
        <w:rPr>
          <w:rFonts w:ascii="Times New Roman" w:hAnsi="Times New Roman" w:cs="Times New Roman"/>
          <w:sz w:val="24"/>
          <w:szCs w:val="24"/>
        </w:rPr>
        <w:t>)</w:t>
      </w:r>
      <w:r w:rsidR="001162EA">
        <w:rPr>
          <w:rFonts w:ascii="Times New Roman" w:hAnsi="Times New Roman" w:cs="Times New Roman"/>
          <w:sz w:val="24"/>
          <w:szCs w:val="24"/>
        </w:rPr>
        <w:fldChar w:fldCharType="end"/>
      </w:r>
      <w:r w:rsidR="001162EA">
        <w:rPr>
          <w:rFonts w:ascii="Times New Roman" w:hAnsi="Times New Roman" w:cs="Times New Roman"/>
          <w:sz w:val="24"/>
          <w:szCs w:val="24"/>
        </w:rPr>
        <w:t xml:space="preserve">, and needed fortification with legumes </w:t>
      </w:r>
      <w:r w:rsidR="001162EA">
        <w:rPr>
          <w:rFonts w:ascii="Times New Roman" w:hAnsi="Times New Roman" w:cs="Times New Roman"/>
          <w:sz w:val="24"/>
          <w:szCs w:val="24"/>
        </w:rPr>
        <w:fldChar w:fldCharType="begin"/>
      </w:r>
      <w:r w:rsidR="001162EA">
        <w:rPr>
          <w:rFonts w:ascii="Times New Roman" w:hAnsi="Times New Roman" w:cs="Times New Roman"/>
          <w:sz w:val="24"/>
          <w:szCs w:val="24"/>
        </w:rPr>
        <w:instrText xml:space="preserve"> ADDIN EN.CITE &lt;EndNote&gt;&lt;Cite&gt;&lt;Author&gt;Nwokoro&lt;/Author&gt;&lt;Year&gt;2012&lt;/Year&gt;&lt;RecNum&gt;3&lt;/RecNum&gt;&lt;DisplayText&gt;(Nwokoro and Chukwu, 2012)&lt;/DisplayText&gt;&lt;record&gt;&lt;rec-number&gt;3&lt;/rec-number&gt;&lt;foreign-keys&gt;&lt;key app="EN" db-id="tz9rpzspgx2teie0pzs5w5a7v2exvttzvvdr"&gt;3&lt;/key&gt;&lt;/foreign-keys&gt;&lt;ref-type name="Journal Article"&gt;17&lt;/ref-type&gt;&lt;contributors&gt;&lt;authors&gt;&lt;author&gt;Nwokoro, Ogbonnaya&lt;/author&gt;&lt;author&gt;Chukwu, Bernice Chidinma&lt;/author&gt;&lt;/authors&gt;&lt;/contributors&gt;&lt;titles&gt;&lt;title&gt;Studies on Akamu, a traditional fermented maize food&lt;/title&gt;&lt;secondary-title&gt;Revista Chilena de Nutrición&lt;/secondary-title&gt;&lt;/titles&gt;&lt;periodical&gt;&lt;full-title&gt;Revista Chilena de Nutrición&lt;/full-title&gt;&lt;/periodical&gt;&lt;pages&gt;180-184&lt;/pages&gt;&lt;volume&gt;39&lt;/volume&gt;&lt;number&gt;4&lt;/number&gt;&lt;dates&gt;&lt;year&gt;2012&lt;/year&gt;&lt;/dates&gt;&lt;isbn&gt;0716-1549&lt;/isbn&gt;&lt;urls&gt;&lt;/urls&gt;&lt;/record&gt;&lt;/Cite&gt;&lt;/EndNote&gt;</w:instrText>
      </w:r>
      <w:r w:rsidR="001162EA">
        <w:rPr>
          <w:rFonts w:ascii="Times New Roman" w:hAnsi="Times New Roman" w:cs="Times New Roman"/>
          <w:sz w:val="24"/>
          <w:szCs w:val="24"/>
        </w:rPr>
        <w:fldChar w:fldCharType="separate"/>
      </w:r>
      <w:r w:rsidR="001162EA">
        <w:rPr>
          <w:rFonts w:ascii="Times New Roman" w:hAnsi="Times New Roman" w:cs="Times New Roman"/>
          <w:sz w:val="24"/>
          <w:szCs w:val="24"/>
        </w:rPr>
        <w:t>(</w:t>
      </w:r>
      <w:hyperlink w:anchor="_ENREF_40" w:tooltip="Nwokoro, 2012 #3" w:history="1">
        <w:r w:rsidR="001162EA">
          <w:rPr>
            <w:rFonts w:ascii="Times New Roman" w:hAnsi="Times New Roman" w:cs="Times New Roman"/>
            <w:sz w:val="24"/>
            <w:szCs w:val="24"/>
          </w:rPr>
          <w:t>Nwokoro and Chukwu, 2012</w:t>
        </w:r>
      </w:hyperlink>
      <w:r w:rsidR="001162EA">
        <w:rPr>
          <w:rFonts w:ascii="Times New Roman" w:hAnsi="Times New Roman" w:cs="Times New Roman"/>
          <w:sz w:val="24"/>
          <w:szCs w:val="24"/>
        </w:rPr>
        <w:t>)</w:t>
      </w:r>
      <w:r w:rsidR="001162EA">
        <w:rPr>
          <w:rFonts w:ascii="Times New Roman" w:hAnsi="Times New Roman" w:cs="Times New Roman"/>
          <w:sz w:val="24"/>
          <w:szCs w:val="24"/>
        </w:rPr>
        <w:fldChar w:fldCharType="end"/>
      </w:r>
      <w:r w:rsidR="001162EA">
        <w:rPr>
          <w:rFonts w:ascii="Times New Roman" w:hAnsi="Times New Roman" w:cs="Times New Roman"/>
          <w:sz w:val="24"/>
          <w:szCs w:val="24"/>
        </w:rPr>
        <w:t xml:space="preserve">. Pap of bio-fortified maize blended with tamarind pulp gives consumers a better nutrition and health benefits. Fortification helps to increase concentration and bioavailability of required nutrients from plant based foods </w:t>
      </w:r>
      <w:r w:rsidR="001162EA">
        <w:rPr>
          <w:rFonts w:ascii="Times New Roman" w:hAnsi="Times New Roman" w:cs="Times New Roman"/>
          <w:sz w:val="24"/>
          <w:szCs w:val="24"/>
        </w:rPr>
        <w:fldChar w:fldCharType="begin"/>
      </w:r>
      <w:r w:rsidR="001162EA">
        <w:rPr>
          <w:rFonts w:ascii="Times New Roman" w:hAnsi="Times New Roman" w:cs="Times New Roman"/>
          <w:sz w:val="24"/>
          <w:szCs w:val="24"/>
        </w:rPr>
        <w:instrText xml:space="preserve"> ADDIN EN.CITE &lt;EndNote&gt;&lt;Cite&gt;&lt;Author&gt;Olayiwola&lt;/Author&gt;&lt;Year&gt;2017&lt;/Year&gt;&lt;RecNum&gt;13&lt;/RecNum&gt;&lt;DisplayText&gt;(Olayiwola&lt;style face="italic"&gt; et al.&lt;/style&gt;, 2017)&lt;/DisplayText&gt;&lt;record&gt;&lt;rec-number&gt;13&lt;/rec-number&gt;&lt;foreign-keys&gt;&lt;key app="EN" db-id="tz9rpzspgx2teie0pzs5w5a7v2exvttzvvdr"&gt;13&lt;/key&gt;&lt;/foreign-keys&gt;&lt;ref-type name="Journal Article"&gt;17&lt;/ref-type&gt;&lt;contributors&gt;&lt;authors&gt;&lt;author&gt;Olayiwola, John Olusola&lt;/author&gt;&lt;author&gt;Inyang, Victoria&lt;/author&gt;&lt;author&gt;Bello, Mobolaji Akeem&lt;/author&gt;&lt;/authors&gt;&lt;/contributors&gt;&lt;titles&gt;&lt;title&gt;Bacteriological and proximate evaluation of ginger-fortified fermented Maize (OGI)&lt;/title&gt;&lt;secondary-title&gt;Am. J. Food Technol&lt;/secondary-title&gt;&lt;/titles&gt;&lt;periodical&gt;&lt;full-title&gt;Am. J. Food Technol&lt;/full-title&gt;&lt;/periodical&gt;&lt;pages&gt;374-378&lt;/pages&gt;&lt;volume&gt;12&lt;/volume&gt;&lt;dates&gt;&lt;year&gt;2017&lt;/year&gt;&lt;/dates&gt;&lt;urls&gt;&lt;/urls&gt;&lt;/record&gt;&lt;/Cite&gt;&lt;/EndNote&gt;</w:instrText>
      </w:r>
      <w:r w:rsidR="001162EA">
        <w:rPr>
          <w:rFonts w:ascii="Times New Roman" w:hAnsi="Times New Roman" w:cs="Times New Roman"/>
          <w:sz w:val="24"/>
          <w:szCs w:val="24"/>
        </w:rPr>
        <w:fldChar w:fldCharType="separate"/>
      </w:r>
      <w:r w:rsidR="001162EA">
        <w:rPr>
          <w:rFonts w:ascii="Times New Roman" w:hAnsi="Times New Roman" w:cs="Times New Roman"/>
          <w:sz w:val="24"/>
          <w:szCs w:val="24"/>
        </w:rPr>
        <w:t>(</w:t>
      </w:r>
      <w:hyperlink w:anchor="_ENREF_44" w:tooltip="Olayiwola, 2017 #13" w:history="1">
        <w:r w:rsidR="001162EA">
          <w:rPr>
            <w:rFonts w:ascii="Times New Roman" w:hAnsi="Times New Roman" w:cs="Times New Roman"/>
            <w:sz w:val="24"/>
            <w:szCs w:val="24"/>
          </w:rPr>
          <w:t>Olayiwola</w:t>
        </w:r>
        <w:r w:rsidR="001162EA">
          <w:rPr>
            <w:rFonts w:ascii="Times New Roman" w:hAnsi="Times New Roman" w:cs="Times New Roman"/>
            <w:i/>
            <w:sz w:val="24"/>
            <w:szCs w:val="24"/>
          </w:rPr>
          <w:t xml:space="preserve"> et al.</w:t>
        </w:r>
        <w:r w:rsidR="001162EA">
          <w:rPr>
            <w:rFonts w:ascii="Times New Roman" w:hAnsi="Times New Roman" w:cs="Times New Roman"/>
            <w:sz w:val="24"/>
            <w:szCs w:val="24"/>
          </w:rPr>
          <w:t>, 2017</w:t>
        </w:r>
      </w:hyperlink>
      <w:r w:rsidR="001162EA">
        <w:rPr>
          <w:rFonts w:ascii="Times New Roman" w:hAnsi="Times New Roman" w:cs="Times New Roman"/>
          <w:sz w:val="24"/>
          <w:szCs w:val="24"/>
        </w:rPr>
        <w:t>)</w:t>
      </w:r>
      <w:r w:rsidR="001162EA">
        <w:rPr>
          <w:rFonts w:ascii="Times New Roman" w:hAnsi="Times New Roman" w:cs="Times New Roman"/>
          <w:sz w:val="24"/>
          <w:szCs w:val="24"/>
        </w:rPr>
        <w:fldChar w:fldCharType="end"/>
      </w:r>
      <w:r w:rsidR="001162EA">
        <w:rPr>
          <w:rFonts w:ascii="Times New Roman" w:hAnsi="Times New Roman" w:cs="Times New Roman"/>
          <w:sz w:val="24"/>
          <w:szCs w:val="24"/>
        </w:rPr>
        <w:t xml:space="preserve"> that can solve nutrition problem peculiar with about 1/3 of children below 5yrs i.e. those having risk of vitamin A deficiency and </w:t>
      </w:r>
      <w:r w:rsidR="001162EA">
        <w:rPr>
          <w:rFonts w:ascii="Times New Roman" w:hAnsi="Times New Roman" w:cs="Times New Roman"/>
          <w:sz w:val="24"/>
          <w:szCs w:val="24"/>
        </w:rPr>
        <w:lastRenderedPageBreak/>
        <w:t>blindness. The research looked at the physicochemical and sensory qualities of pap produced from the bio-fortified maize and tamarind fruit.</w:t>
      </w:r>
    </w:p>
    <w:p w14:paraId="65FA7B2D" w14:textId="77777777" w:rsidR="00406B68" w:rsidRDefault="001162EA">
      <w:pPr>
        <w:spacing w:line="480" w:lineRule="auto"/>
        <w:jc w:val="both"/>
        <w:rPr>
          <w:rFonts w:ascii="Times New Roman" w:hAnsi="Times New Roman" w:cs="Times New Roman"/>
          <w:b/>
          <w:sz w:val="24"/>
          <w:szCs w:val="24"/>
        </w:rPr>
      </w:pPr>
      <w:r>
        <w:rPr>
          <w:rFonts w:ascii="Times New Roman" w:hAnsi="Times New Roman" w:cs="Times New Roman"/>
          <w:b/>
          <w:sz w:val="24"/>
          <w:szCs w:val="24"/>
        </w:rPr>
        <w:t>Material and methods</w:t>
      </w:r>
    </w:p>
    <w:p w14:paraId="55544F6E" w14:textId="77777777" w:rsidR="00406B68" w:rsidRDefault="001162EA">
      <w:pPr>
        <w:spacing w:line="480" w:lineRule="auto"/>
        <w:jc w:val="both"/>
        <w:rPr>
          <w:rFonts w:ascii="Times New Roman" w:hAnsi="Times New Roman" w:cs="Times New Roman"/>
          <w:sz w:val="24"/>
          <w:szCs w:val="24"/>
        </w:rPr>
      </w:pPr>
      <w:r w:rsidRPr="00C66899">
        <w:rPr>
          <w:rFonts w:ascii="Times New Roman" w:hAnsi="Times New Roman" w:cs="Times New Roman"/>
          <w:b/>
          <w:sz w:val="24"/>
          <w:szCs w:val="24"/>
        </w:rPr>
        <w:t>Material Sourcing and Preparation</w:t>
      </w:r>
      <w:r>
        <w:rPr>
          <w:rFonts w:ascii="Times New Roman" w:hAnsi="Times New Roman" w:cs="Times New Roman"/>
          <w:i/>
          <w:sz w:val="24"/>
          <w:szCs w:val="24"/>
        </w:rPr>
        <w:t xml:space="preserve">: </w:t>
      </w:r>
      <w:r>
        <w:rPr>
          <w:rFonts w:ascii="Times New Roman" w:hAnsi="Times New Roman" w:cs="Times New Roman"/>
          <w:sz w:val="24"/>
          <w:szCs w:val="24"/>
        </w:rPr>
        <w:t>Bio-fortified maize (</w:t>
      </w:r>
      <w:proofErr w:type="spellStart"/>
      <w:r>
        <w:rPr>
          <w:rFonts w:ascii="Times New Roman" w:hAnsi="Times New Roman" w:cs="Times New Roman"/>
          <w:i/>
          <w:sz w:val="24"/>
          <w:szCs w:val="24"/>
        </w:rPr>
        <w:t>Zea</w:t>
      </w:r>
      <w:proofErr w:type="spellEnd"/>
      <w:r>
        <w:rPr>
          <w:rFonts w:ascii="Times New Roman" w:hAnsi="Times New Roman" w:cs="Times New Roman"/>
          <w:i/>
          <w:sz w:val="24"/>
          <w:szCs w:val="24"/>
        </w:rPr>
        <w:t xml:space="preserve"> mays L.</w:t>
      </w:r>
      <w:r>
        <w:rPr>
          <w:rFonts w:ascii="Times New Roman" w:hAnsi="Times New Roman" w:cs="Times New Roman"/>
          <w:sz w:val="24"/>
          <w:szCs w:val="24"/>
        </w:rPr>
        <w:t>) was sourced from International Institute of Tropical Agriculture (IITA), Ibadan, Oyo State, Nigeria, Tamarind (</w:t>
      </w:r>
      <w:proofErr w:type="spellStart"/>
      <w:r>
        <w:rPr>
          <w:rFonts w:ascii="Times New Roman" w:hAnsi="Times New Roman" w:cs="Times New Roman"/>
          <w:i/>
          <w:sz w:val="24"/>
          <w:szCs w:val="24"/>
        </w:rPr>
        <w:t>Tamarindus</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indica</w:t>
      </w:r>
      <w:proofErr w:type="spellEnd"/>
      <w:r>
        <w:rPr>
          <w:rFonts w:ascii="Times New Roman" w:hAnsi="Times New Roman" w:cs="Times New Roman"/>
          <w:i/>
          <w:sz w:val="24"/>
          <w:szCs w:val="24"/>
        </w:rPr>
        <w:t xml:space="preserve"> L.) </w:t>
      </w:r>
      <w:r>
        <w:rPr>
          <w:rFonts w:ascii="Times New Roman" w:hAnsi="Times New Roman" w:cs="Times New Roman"/>
          <w:sz w:val="24"/>
          <w:szCs w:val="24"/>
        </w:rPr>
        <w:t xml:space="preserve">was purchased from </w:t>
      </w:r>
      <w:proofErr w:type="spellStart"/>
      <w:r>
        <w:rPr>
          <w:rFonts w:ascii="Times New Roman" w:hAnsi="Times New Roman" w:cs="Times New Roman"/>
          <w:i/>
          <w:sz w:val="24"/>
          <w:szCs w:val="24"/>
        </w:rPr>
        <w:t>Oja-oba</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market, Ilorin,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Nigeria, and the pap paste processed in the laboratory of Department of Home Economics and Food Science, University of Ilorin. </w:t>
      </w:r>
    </w:p>
    <w:p w14:paraId="7CA06188" w14:textId="77777777" w:rsidR="00406B68" w:rsidRDefault="001162EA">
      <w:pPr>
        <w:spacing w:line="480" w:lineRule="auto"/>
        <w:jc w:val="both"/>
        <w:rPr>
          <w:rFonts w:ascii="Times New Roman" w:hAnsi="Times New Roman" w:cs="Times New Roman"/>
          <w:sz w:val="24"/>
          <w:szCs w:val="24"/>
        </w:rPr>
      </w:pPr>
      <w:r w:rsidRPr="00C66899">
        <w:rPr>
          <w:rFonts w:ascii="Times New Roman" w:hAnsi="Times New Roman" w:cs="Times New Roman"/>
          <w:b/>
          <w:sz w:val="24"/>
          <w:szCs w:val="24"/>
        </w:rPr>
        <w:t>Production of Pap and Product Formulation</w:t>
      </w:r>
      <w:r>
        <w:rPr>
          <w:rFonts w:ascii="Times New Roman" w:hAnsi="Times New Roman" w:cs="Times New Roman"/>
          <w:i/>
          <w:sz w:val="24"/>
          <w:szCs w:val="24"/>
        </w:rPr>
        <w:t xml:space="preserve">: </w:t>
      </w:r>
      <w:r>
        <w:rPr>
          <w:rFonts w:ascii="Times New Roman" w:hAnsi="Times New Roman" w:cs="Times New Roman"/>
          <w:sz w:val="24"/>
          <w:szCs w:val="24"/>
        </w:rPr>
        <w:t xml:space="preserve">Cleaned maize grains and tamarind fruit were wet-milled with an attrition mill to obtain slurry, which was sieved with a muslin cloth to obtained a suspension left for 24-48hrs, and supernatant decanted to collect the pap for analyses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&lt;EndNote&gt;&lt;Cite&gt;&lt;Author&gt;Akingbala&lt;/Author&gt;&lt;Year&gt;2003&lt;/Year&gt;&lt;RecNum&gt;43&lt;/RecNum&gt;&lt;DisplayText&gt;(Akingbala&lt;style face="italic"&gt; et al.&lt;/style&gt;, 2003)&lt;/DisplayText&gt;&lt;record&gt;&lt;rec-number&gt;43&lt;/rec-number&gt;&lt;foreign-keys&gt;&lt;key app="EN" db-id="tz9rpzspgx2teie0pzs5w5a7v2exvttzvvdr"&gt;43&lt;/key&gt;&lt;/foreign-keys&gt;&lt;ref-type name="Journal Article"&gt;17&lt;/ref-type&gt;&lt;contributors&gt;&lt;authors&gt;&lt;author&gt;Akingbala, JO&lt;/author&gt;&lt;author&gt;Akinwande, BA&lt;/author&gt;&lt;author&gt;Uzo-Peters, PI&lt;/author&gt;&lt;/authors&gt;&lt;/contributors&gt;&lt;titles&gt;&lt;title&gt;Effects of color and flavor changes on acceptability of ogi supplemented with okra seed meals&lt;/title&gt;&lt;secondary-title&gt;Plant Foods for Human Nutrition&lt;/secondary-title&gt;&lt;/titles&gt;&lt;periodical&gt;&lt;full-title&gt;Plant Foods for Human Nutrition&lt;/full-title&gt;&lt;/periodical&gt;&lt;pages&gt;1-9&lt;/pages&gt;&lt;volume&gt;58&lt;/volume&gt;&lt;number&gt;3&lt;/number&gt;&lt;dates&gt;&lt;year&gt;2003&lt;/year&gt;&lt;/dates&gt;&lt;isbn&gt;0921-9668&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5" w:tooltip="Akingbala, 2003 #43" w:history="1">
        <w:r>
          <w:rPr>
            <w:rFonts w:ascii="Times New Roman" w:hAnsi="Times New Roman" w:cs="Times New Roman"/>
            <w:sz w:val="24"/>
            <w:szCs w:val="24"/>
          </w:rPr>
          <w:t>Akingbala</w:t>
        </w:r>
        <w:r>
          <w:rPr>
            <w:rFonts w:ascii="Times New Roman" w:hAnsi="Times New Roman" w:cs="Times New Roman"/>
            <w:i/>
            <w:sz w:val="24"/>
            <w:szCs w:val="24"/>
          </w:rPr>
          <w:t xml:space="preserve"> et al.</w:t>
        </w:r>
        <w:r>
          <w:rPr>
            <w:rFonts w:ascii="Times New Roman" w:hAnsi="Times New Roman" w:cs="Times New Roman"/>
            <w:sz w:val="24"/>
            <w:szCs w:val="24"/>
          </w:rPr>
          <w:t>, 2003</w:t>
        </w:r>
      </w:hyperlink>
      <w:r>
        <w:rPr>
          <w:rFonts w:ascii="Times New Roman" w:hAnsi="Times New Roman" w:cs="Times New Roman"/>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Six samples were formulated (Table 1). The control had only bio-fortified maize.</w:t>
      </w:r>
    </w:p>
    <w:p w14:paraId="09E347A1" w14:textId="77777777" w:rsidR="00406B68" w:rsidRDefault="001162EA">
      <w:pPr>
        <w:spacing w:line="480" w:lineRule="auto"/>
        <w:jc w:val="center"/>
        <w:rPr>
          <w:rFonts w:ascii="Times New Roman" w:hAnsi="Times New Roman" w:cs="Times New Roman"/>
          <w:b/>
          <w:sz w:val="24"/>
          <w:szCs w:val="24"/>
        </w:rPr>
      </w:pPr>
      <w:r>
        <w:rPr>
          <w:rFonts w:ascii="Times New Roman" w:hAnsi="Times New Roman" w:cs="Times New Roman"/>
          <w:b/>
          <w:sz w:val="24"/>
          <w:szCs w:val="24"/>
        </w:rPr>
        <w:t>Table 1: Product formulation of the pap paste samples</w:t>
      </w:r>
    </w:p>
    <w:tbl>
      <w:tblPr>
        <w:tblStyle w:val="TableGrid"/>
        <w:tblW w:w="9715" w:type="dxa"/>
        <w:tblBorders>
          <w:left w:val="none" w:sz="0" w:space="0" w:color="auto"/>
          <w:right w:val="none" w:sz="0" w:space="0" w:color="auto"/>
          <w:insideV w:val="none" w:sz="0" w:space="0" w:color="auto"/>
        </w:tblBorders>
        <w:tblLook w:val="04A0" w:firstRow="1" w:lastRow="0" w:firstColumn="1" w:lastColumn="0" w:noHBand="0" w:noVBand="1"/>
      </w:tblPr>
      <w:tblGrid>
        <w:gridCol w:w="1349"/>
        <w:gridCol w:w="1251"/>
        <w:gridCol w:w="1168"/>
        <w:gridCol w:w="1168"/>
        <w:gridCol w:w="1170"/>
        <w:gridCol w:w="1168"/>
        <w:gridCol w:w="1181"/>
        <w:gridCol w:w="1260"/>
      </w:tblGrid>
      <w:tr w:rsidR="00406B68" w14:paraId="2348327C" w14:textId="77777777">
        <w:tc>
          <w:tcPr>
            <w:tcW w:w="1350" w:type="dxa"/>
          </w:tcPr>
          <w:p w14:paraId="6F3F9BE4"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Ingredients </w:t>
            </w:r>
          </w:p>
        </w:tc>
        <w:tc>
          <w:tcPr>
            <w:tcW w:w="1252" w:type="dxa"/>
          </w:tcPr>
          <w:p w14:paraId="764C60B4"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Sample A</w:t>
            </w:r>
          </w:p>
        </w:tc>
        <w:tc>
          <w:tcPr>
            <w:tcW w:w="1168" w:type="dxa"/>
          </w:tcPr>
          <w:p w14:paraId="6B26C25D"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Sample B</w:t>
            </w:r>
          </w:p>
        </w:tc>
        <w:tc>
          <w:tcPr>
            <w:tcW w:w="1168" w:type="dxa"/>
          </w:tcPr>
          <w:p w14:paraId="48FB560E"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Sample C</w:t>
            </w:r>
          </w:p>
        </w:tc>
        <w:tc>
          <w:tcPr>
            <w:tcW w:w="1168" w:type="dxa"/>
          </w:tcPr>
          <w:p w14:paraId="6D21430E"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Sample D</w:t>
            </w:r>
          </w:p>
        </w:tc>
        <w:tc>
          <w:tcPr>
            <w:tcW w:w="1168" w:type="dxa"/>
          </w:tcPr>
          <w:p w14:paraId="30166679"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Sample E</w:t>
            </w:r>
          </w:p>
        </w:tc>
        <w:tc>
          <w:tcPr>
            <w:tcW w:w="1181" w:type="dxa"/>
          </w:tcPr>
          <w:p w14:paraId="6666097F"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Sample F</w:t>
            </w:r>
          </w:p>
        </w:tc>
        <w:tc>
          <w:tcPr>
            <w:tcW w:w="1260" w:type="dxa"/>
          </w:tcPr>
          <w:p w14:paraId="7387294C"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Sample G</w:t>
            </w:r>
          </w:p>
        </w:tc>
      </w:tr>
      <w:tr w:rsidR="00406B68" w14:paraId="037C8546" w14:textId="77777777">
        <w:tc>
          <w:tcPr>
            <w:tcW w:w="1350" w:type="dxa"/>
            <w:tcBorders>
              <w:bottom w:val="nil"/>
            </w:tcBorders>
          </w:tcPr>
          <w:p w14:paraId="23C58BDA"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Bio-fortified maize</w:t>
            </w:r>
          </w:p>
        </w:tc>
        <w:tc>
          <w:tcPr>
            <w:tcW w:w="1252" w:type="dxa"/>
            <w:tcBorders>
              <w:bottom w:val="nil"/>
            </w:tcBorders>
          </w:tcPr>
          <w:p w14:paraId="6C92E4A3"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168" w:type="dxa"/>
            <w:tcBorders>
              <w:bottom w:val="nil"/>
            </w:tcBorders>
          </w:tcPr>
          <w:p w14:paraId="5A5A3521"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95</w:t>
            </w:r>
          </w:p>
        </w:tc>
        <w:tc>
          <w:tcPr>
            <w:tcW w:w="1168" w:type="dxa"/>
            <w:tcBorders>
              <w:bottom w:val="nil"/>
            </w:tcBorders>
          </w:tcPr>
          <w:p w14:paraId="51B50CD4"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90</w:t>
            </w:r>
          </w:p>
        </w:tc>
        <w:tc>
          <w:tcPr>
            <w:tcW w:w="1168" w:type="dxa"/>
            <w:tcBorders>
              <w:bottom w:val="nil"/>
            </w:tcBorders>
          </w:tcPr>
          <w:p w14:paraId="29B9F2B0"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85</w:t>
            </w:r>
          </w:p>
        </w:tc>
        <w:tc>
          <w:tcPr>
            <w:tcW w:w="1168" w:type="dxa"/>
            <w:tcBorders>
              <w:bottom w:val="nil"/>
            </w:tcBorders>
          </w:tcPr>
          <w:p w14:paraId="5DA02353"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80</w:t>
            </w:r>
          </w:p>
        </w:tc>
        <w:tc>
          <w:tcPr>
            <w:tcW w:w="1181" w:type="dxa"/>
            <w:tcBorders>
              <w:bottom w:val="nil"/>
            </w:tcBorders>
          </w:tcPr>
          <w:p w14:paraId="63781BBD"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75</w:t>
            </w:r>
          </w:p>
        </w:tc>
        <w:tc>
          <w:tcPr>
            <w:tcW w:w="1260" w:type="dxa"/>
            <w:tcBorders>
              <w:bottom w:val="nil"/>
            </w:tcBorders>
          </w:tcPr>
          <w:p w14:paraId="11CD13C7"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70</w:t>
            </w:r>
          </w:p>
        </w:tc>
      </w:tr>
      <w:tr w:rsidR="00406B68" w14:paraId="30B9E888" w14:textId="77777777">
        <w:tc>
          <w:tcPr>
            <w:tcW w:w="1350" w:type="dxa"/>
            <w:tcBorders>
              <w:top w:val="nil"/>
            </w:tcBorders>
          </w:tcPr>
          <w:p w14:paraId="5B1188F3"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Tamarind </w:t>
            </w:r>
          </w:p>
        </w:tc>
        <w:tc>
          <w:tcPr>
            <w:tcW w:w="1252" w:type="dxa"/>
            <w:tcBorders>
              <w:top w:val="nil"/>
            </w:tcBorders>
          </w:tcPr>
          <w:p w14:paraId="4ABFA6CC"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1168" w:type="dxa"/>
            <w:tcBorders>
              <w:top w:val="nil"/>
            </w:tcBorders>
          </w:tcPr>
          <w:p w14:paraId="356EB5C1"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1168" w:type="dxa"/>
            <w:tcBorders>
              <w:top w:val="nil"/>
            </w:tcBorders>
          </w:tcPr>
          <w:p w14:paraId="733F7830"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1168" w:type="dxa"/>
            <w:tcBorders>
              <w:top w:val="nil"/>
            </w:tcBorders>
          </w:tcPr>
          <w:p w14:paraId="64F2C9CA"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15</w:t>
            </w:r>
          </w:p>
        </w:tc>
        <w:tc>
          <w:tcPr>
            <w:tcW w:w="1168" w:type="dxa"/>
            <w:tcBorders>
              <w:top w:val="nil"/>
            </w:tcBorders>
          </w:tcPr>
          <w:p w14:paraId="51342A11"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20</w:t>
            </w:r>
          </w:p>
        </w:tc>
        <w:tc>
          <w:tcPr>
            <w:tcW w:w="1181" w:type="dxa"/>
            <w:tcBorders>
              <w:top w:val="nil"/>
            </w:tcBorders>
          </w:tcPr>
          <w:p w14:paraId="593EA64A"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25</w:t>
            </w:r>
          </w:p>
        </w:tc>
        <w:tc>
          <w:tcPr>
            <w:tcW w:w="1260" w:type="dxa"/>
            <w:tcBorders>
              <w:top w:val="nil"/>
            </w:tcBorders>
          </w:tcPr>
          <w:p w14:paraId="537E5619"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30</w:t>
            </w:r>
          </w:p>
        </w:tc>
      </w:tr>
    </w:tbl>
    <w:p w14:paraId="671A6F03" w14:textId="77777777" w:rsidR="00406B68" w:rsidRDefault="00406B68">
      <w:pPr>
        <w:spacing w:line="480" w:lineRule="auto"/>
        <w:jc w:val="both"/>
        <w:rPr>
          <w:rFonts w:ascii="Times New Roman" w:hAnsi="Times New Roman" w:cs="Times New Roman"/>
          <w:i/>
          <w:sz w:val="10"/>
          <w:szCs w:val="24"/>
        </w:rPr>
      </w:pPr>
    </w:p>
    <w:p w14:paraId="7C21BC79" w14:textId="77777777" w:rsidR="00406B68" w:rsidRDefault="001162EA">
      <w:pPr>
        <w:spacing w:line="480" w:lineRule="auto"/>
        <w:jc w:val="both"/>
        <w:rPr>
          <w:rFonts w:ascii="Times New Roman" w:hAnsi="Times New Roman" w:cs="Times New Roman"/>
          <w:sz w:val="24"/>
          <w:szCs w:val="24"/>
        </w:rPr>
      </w:pPr>
      <w:r w:rsidRPr="00FD7E7D">
        <w:rPr>
          <w:rFonts w:ascii="Times New Roman" w:hAnsi="Times New Roman" w:cs="Times New Roman"/>
          <w:b/>
          <w:sz w:val="24"/>
          <w:szCs w:val="24"/>
        </w:rPr>
        <w:t>Determination of Proximate Composition of the Pap Samples</w:t>
      </w:r>
      <w:r>
        <w:rPr>
          <w:rFonts w:ascii="Times New Roman" w:hAnsi="Times New Roman" w:cs="Times New Roman"/>
          <w:i/>
          <w:sz w:val="24"/>
          <w:szCs w:val="24"/>
        </w:rPr>
        <w:t xml:space="preserve">: </w:t>
      </w:r>
      <w:r>
        <w:rPr>
          <w:rFonts w:ascii="Times New Roman" w:hAnsi="Times New Roman" w:cs="Times New Roman"/>
          <w:sz w:val="24"/>
          <w:szCs w:val="24"/>
        </w:rPr>
        <w:t xml:space="preserve">Proximate composition of the pap samples was determined with standard method of Association of Official Analytical Chemists (AOAC, 2010). The moisture, crude </w:t>
      </w:r>
      <w:proofErr w:type="spellStart"/>
      <w:r>
        <w:rPr>
          <w:rFonts w:ascii="Times New Roman" w:hAnsi="Times New Roman" w:cs="Times New Roman"/>
          <w:sz w:val="24"/>
          <w:szCs w:val="24"/>
        </w:rPr>
        <w:t>fibre</w:t>
      </w:r>
      <w:proofErr w:type="spellEnd"/>
      <w:r>
        <w:rPr>
          <w:rFonts w:ascii="Times New Roman" w:hAnsi="Times New Roman" w:cs="Times New Roman"/>
          <w:sz w:val="24"/>
          <w:szCs w:val="24"/>
        </w:rPr>
        <w:t>, crude protein, crude fat, ash and carbohydrate were determined.</w:t>
      </w:r>
    </w:p>
    <w:p w14:paraId="6987885F" w14:textId="2372AA36" w:rsidR="00406B68" w:rsidRDefault="001162EA">
      <w:pPr>
        <w:spacing w:line="480" w:lineRule="auto"/>
        <w:jc w:val="both"/>
        <w:rPr>
          <w:rFonts w:ascii="Times New Roman" w:hAnsi="Times New Roman" w:cs="Times New Roman"/>
          <w:b/>
          <w:sz w:val="24"/>
          <w:szCs w:val="24"/>
        </w:rPr>
      </w:pPr>
      <w:r>
        <w:rPr>
          <w:rFonts w:ascii="Times New Roman" w:hAnsi="Times New Roman" w:cs="Times New Roman"/>
          <w:sz w:val="24"/>
          <w:szCs w:val="24"/>
        </w:rPr>
        <w:t>The</w:t>
      </w:r>
      <w:r w:rsidR="00FD7E7D">
        <w:rPr>
          <w:rFonts w:ascii="Times New Roman" w:hAnsi="Times New Roman" w:cs="Times New Roman"/>
          <w:sz w:val="24"/>
          <w:szCs w:val="24"/>
        </w:rPr>
        <w:t xml:space="preserve"> percentage</w:t>
      </w:r>
      <w:r>
        <w:rPr>
          <w:rFonts w:ascii="Times New Roman" w:hAnsi="Times New Roman" w:cs="Times New Roman"/>
          <w:sz w:val="24"/>
          <w:szCs w:val="24"/>
        </w:rPr>
        <w:t xml:space="preserve"> moisture content</w:t>
      </w:r>
      <w:r w:rsidR="00FD7E7D">
        <w:rPr>
          <w:rFonts w:ascii="Times New Roman" w:hAnsi="Times New Roman" w:cs="Times New Roman"/>
          <w:sz w:val="24"/>
          <w:szCs w:val="24"/>
        </w:rPr>
        <w:t xml:space="preserve"> was </w:t>
      </w:r>
      <w:r>
        <w:rPr>
          <w:rFonts w:ascii="Times New Roman" w:hAnsi="Times New Roman" w:cs="Times New Roman"/>
          <w:sz w:val="24"/>
          <w:szCs w:val="24"/>
        </w:rPr>
        <w:t>calculated thus:</w:t>
      </w:r>
    </w:p>
    <w:p w14:paraId="7CC75C89" w14:textId="6201268A" w:rsidR="00406B68" w:rsidRDefault="001162EA">
      <w:pPr>
        <w:autoSpaceDE w:val="0"/>
        <w:autoSpaceDN w:val="0"/>
        <w:adjustRightInd w:val="0"/>
        <w:spacing w:after="0" w:line="480" w:lineRule="auto"/>
        <w:jc w:val="both"/>
        <w:rPr>
          <w:rFonts w:ascii="Times New Roman" w:hAnsi="Times New Roman" w:cs="Times New Roman"/>
          <w:sz w:val="20"/>
          <w:szCs w:val="24"/>
        </w:rPr>
      </w:pPr>
      <w:r>
        <w:rPr>
          <w:rFonts w:ascii="Times New Roman" w:hAnsi="Times New Roman" w:cs="Times New Roman"/>
          <w:sz w:val="24"/>
          <w:szCs w:val="24"/>
        </w:rPr>
        <w:lastRenderedPageBreak/>
        <w:t>% moisture content =   </w:t>
      </w:r>
      <w:r w:rsidR="00FA7CAD">
        <w:rPr>
          <w:rFonts w:ascii="Times New Roman" w:hAnsi="Times New Roman" w:cs="Times New Roman"/>
          <w:sz w:val="24"/>
          <w:szCs w:val="24"/>
        </w:rPr>
        <w:t xml:space="preserve">=  </w:t>
      </w:r>
      <m:oMath>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2</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3</m:t>
                </m:r>
              </m:sub>
            </m:sSub>
          </m:num>
          <m:den>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2</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1</m:t>
                </m:r>
              </m:sub>
            </m:sSub>
          </m:den>
        </m:f>
        <m:r>
          <w:rPr>
            <w:rFonts w:ascii="Cambria Math" w:hAnsi="Cambria Math" w:cs="Times New Roman"/>
            <w:sz w:val="24"/>
            <w:szCs w:val="24"/>
          </w:rPr>
          <m:t xml:space="preserve"> ×    100</m:t>
        </m:r>
      </m:oMath>
      <w:r>
        <w:rPr>
          <w:rFonts w:ascii="Times New Roman" w:hAnsi="Times New Roman" w:cs="Times New Roman"/>
          <w:sz w:val="24"/>
          <w:szCs w:val="24"/>
        </w:rPr>
        <w:t>        </w:t>
      </w:r>
      <w:commentRangeStart w:id="0"/>
      <w:commentRangeEnd w:id="0"/>
      <w:r>
        <w:rPr>
          <w:rFonts w:ascii="Times New Roman" w:hAnsi="Times New Roman" w:cs="Times New Roman"/>
          <w:sz w:val="24"/>
          <w:szCs w:val="24"/>
        </w:rPr>
        <w:t>  </w:t>
      </w:r>
      <w:r>
        <w:rPr>
          <w:rFonts w:ascii="Times New Roman" w:hAnsi="Times New Roman" w:cs="Times New Roman"/>
          <w:sz w:val="20"/>
          <w:szCs w:val="24"/>
        </w:rPr>
        <w:t>Where, W</w:t>
      </w:r>
      <w:r>
        <w:rPr>
          <w:rFonts w:ascii="Times New Roman" w:hAnsi="Times New Roman" w:cs="Times New Roman"/>
          <w:sz w:val="20"/>
          <w:szCs w:val="24"/>
          <w:vertAlign w:val="subscript"/>
        </w:rPr>
        <w:t>1</w:t>
      </w:r>
      <w:r>
        <w:rPr>
          <w:rFonts w:ascii="Times New Roman" w:hAnsi="Times New Roman" w:cs="Times New Roman"/>
          <w:sz w:val="20"/>
          <w:szCs w:val="24"/>
        </w:rPr>
        <w:t xml:space="preserve"> = Initial weight of the empty dish; W</w:t>
      </w:r>
      <w:r>
        <w:rPr>
          <w:rFonts w:ascii="Times New Roman" w:hAnsi="Times New Roman" w:cs="Times New Roman"/>
          <w:sz w:val="20"/>
          <w:szCs w:val="24"/>
          <w:vertAlign w:val="subscript"/>
        </w:rPr>
        <w:t>2</w:t>
      </w:r>
      <w:r>
        <w:rPr>
          <w:rFonts w:ascii="Times New Roman" w:hAnsi="Times New Roman" w:cs="Times New Roman"/>
          <w:sz w:val="20"/>
          <w:szCs w:val="24"/>
        </w:rPr>
        <w:t xml:space="preserve"> = weight of dish + sample before drying; W</w:t>
      </w:r>
      <w:r>
        <w:rPr>
          <w:rFonts w:ascii="Times New Roman" w:hAnsi="Times New Roman" w:cs="Times New Roman"/>
          <w:sz w:val="20"/>
          <w:szCs w:val="24"/>
          <w:vertAlign w:val="subscript"/>
        </w:rPr>
        <w:t>3</w:t>
      </w:r>
      <w:r>
        <w:rPr>
          <w:rFonts w:ascii="Times New Roman" w:hAnsi="Times New Roman" w:cs="Times New Roman"/>
          <w:sz w:val="20"/>
          <w:szCs w:val="24"/>
        </w:rPr>
        <w:t xml:space="preserve"> = weight of dish + sample after drying.</w:t>
      </w:r>
    </w:p>
    <w:p w14:paraId="0735EA3C" w14:textId="77777777" w:rsidR="00406B68" w:rsidRDefault="001162EA">
      <w:p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Fat content was determined with </w:t>
      </w:r>
      <w:proofErr w:type="spellStart"/>
      <w:r>
        <w:rPr>
          <w:rFonts w:ascii="Times New Roman" w:hAnsi="Times New Roman" w:cs="Times New Roman"/>
          <w:sz w:val="24"/>
          <w:szCs w:val="24"/>
        </w:rPr>
        <w:t>Soxhlet</w:t>
      </w:r>
      <w:proofErr w:type="spellEnd"/>
      <w:r>
        <w:rPr>
          <w:rFonts w:ascii="Times New Roman" w:hAnsi="Times New Roman" w:cs="Times New Roman"/>
          <w:sz w:val="24"/>
          <w:szCs w:val="24"/>
        </w:rPr>
        <w:t xml:space="preserve"> extraction method of AOAC (2010), and percentage fat content calculated thus: </w:t>
      </w:r>
    </w:p>
    <w:p w14:paraId="3A67BA04" w14:textId="0F3C780E" w:rsidR="00406B68" w:rsidRDefault="001162EA">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%fat =  </w:t>
      </w:r>
      <m:oMath>
        <m:f>
          <m:fPr>
            <m:ctrlPr>
              <w:rPr>
                <w:rFonts w:ascii="Cambria Math" w:hAnsi="Cambria Math" w:cs="Times New Roman"/>
                <w:sz w:val="24"/>
                <w:szCs w:val="24"/>
              </w:rPr>
            </m:ctrlPr>
          </m:fPr>
          <m:num>
            <m:r>
              <m:rPr>
                <m:sty m:val="p"/>
              </m:rPr>
              <w:rPr>
                <w:rFonts w:ascii="Cambria Math" w:hAnsi="Cambria Math" w:cs="Times New Roman"/>
                <w:sz w:val="24"/>
                <w:szCs w:val="24"/>
              </w:rPr>
              <m:t>weight of fat</m:t>
            </m:r>
          </m:num>
          <m:den>
            <m:r>
              <m:rPr>
                <m:sty m:val="p"/>
              </m:rPr>
              <w:rPr>
                <w:rFonts w:ascii="Cambria Math" w:hAnsi="Cambria Math" w:cs="Times New Roman"/>
                <w:sz w:val="24"/>
                <w:szCs w:val="24"/>
              </w:rPr>
              <m:t>weight of sample</m:t>
            </m:r>
          </m:den>
        </m:f>
      </m:oMath>
      <w:r w:rsidRPr="00D32A1B">
        <w:rPr>
          <w:rFonts w:ascii="Times New Roman" w:hAnsi="Times New Roman" w:cs="Times New Roman"/>
          <w:sz w:val="24"/>
          <w:szCs w:val="24"/>
        </w:rPr>
        <w:t> </w:t>
      </w:r>
      <w:r w:rsidRPr="00480BDA">
        <w:rPr>
          <w:rFonts w:ascii="Times New Roman" w:hAnsi="Times New Roman" w:cs="Times New Roman"/>
          <w:sz w:val="20"/>
          <w:szCs w:val="24"/>
        </w:rPr>
        <w:t>X     100</w:t>
      </w:r>
      <w:commentRangeStart w:id="1"/>
      <w:commentRangeEnd w:id="1"/>
      <w:r w:rsidRPr="00480BDA">
        <w:rPr>
          <w:rFonts w:ascii="Times New Roman" w:hAnsi="Times New Roman" w:cs="Times New Roman"/>
          <w:sz w:val="20"/>
          <w:szCs w:val="24"/>
        </w:rPr>
        <w:t>%</w:t>
      </w:r>
    </w:p>
    <w:p w14:paraId="31C89E38" w14:textId="6B31EFC9" w:rsidR="00406B68" w:rsidRDefault="001162EA" w:rsidP="00D32A1B">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Pr="00FD7E7D">
        <w:rPr>
          <w:rFonts w:ascii="Times New Roman" w:hAnsi="Times New Roman" w:cs="Times New Roman"/>
          <w:b/>
          <w:bCs/>
          <w:sz w:val="24"/>
          <w:szCs w:val="24"/>
        </w:rPr>
        <w:t>Determination of Crude Protein</w:t>
      </w:r>
      <w:r>
        <w:rPr>
          <w:rFonts w:ascii="Times New Roman" w:hAnsi="Times New Roman" w:cs="Times New Roman"/>
          <w:bCs/>
          <w:i/>
          <w:sz w:val="24"/>
          <w:szCs w:val="24"/>
        </w:rPr>
        <w:t xml:space="preserve">: </w:t>
      </w:r>
      <w:r w:rsidR="00FD7E7D">
        <w:rPr>
          <w:rFonts w:ascii="Times New Roman" w:hAnsi="Times New Roman" w:cs="Times New Roman"/>
          <w:bCs/>
          <w:sz w:val="24"/>
          <w:szCs w:val="24"/>
        </w:rPr>
        <w:t xml:space="preserve">The </w:t>
      </w:r>
      <w:r>
        <w:rPr>
          <w:rFonts w:ascii="Times New Roman" w:hAnsi="Times New Roman" w:cs="Times New Roman"/>
          <w:bCs/>
          <w:sz w:val="24"/>
          <w:szCs w:val="24"/>
        </w:rPr>
        <w:t>M</w:t>
      </w:r>
      <w:r>
        <w:rPr>
          <w:rFonts w:ascii="Times New Roman" w:hAnsi="Times New Roman" w:cs="Times New Roman"/>
          <w:sz w:val="24"/>
          <w:szCs w:val="24"/>
        </w:rPr>
        <w:t>icro-</w:t>
      </w:r>
      <w:proofErr w:type="spellStart"/>
      <w:r>
        <w:rPr>
          <w:rFonts w:ascii="Times New Roman" w:hAnsi="Times New Roman" w:cs="Times New Roman"/>
          <w:sz w:val="24"/>
          <w:szCs w:val="24"/>
        </w:rPr>
        <w:t>Kjeldahl</w:t>
      </w:r>
      <w:proofErr w:type="spellEnd"/>
      <w:r>
        <w:rPr>
          <w:rFonts w:ascii="Times New Roman" w:hAnsi="Times New Roman" w:cs="Times New Roman"/>
          <w:sz w:val="24"/>
          <w:szCs w:val="24"/>
        </w:rPr>
        <w:t xml:space="preserve"> method (AOAC, 2010) was adopted, with percentage crude protein content determined thus: </w:t>
      </w:r>
    </w:p>
    <w:p w14:paraId="786A8C0E" w14:textId="7AC185C9" w:rsidR="00406B68" w:rsidRDefault="001162EA">
      <w:pPr>
        <w:autoSpaceDE w:val="0"/>
        <w:autoSpaceDN w:val="0"/>
        <w:adjustRightInd w:val="0"/>
        <w:spacing w:after="0" w:line="480" w:lineRule="auto"/>
        <w:jc w:val="both"/>
        <w:rPr>
          <w:rFonts w:ascii="Times New Roman" w:hAnsi="Times New Roman" w:cs="Times New Roman"/>
          <w:sz w:val="24"/>
          <w:szCs w:val="24"/>
          <w:u w:val="single"/>
        </w:rPr>
      </w:pPr>
      <w:r>
        <w:rPr>
          <w:rFonts w:ascii="Times New Roman" w:hAnsi="Times New Roman" w:cs="Times New Roman"/>
          <w:sz w:val="24"/>
          <w:szCs w:val="24"/>
        </w:rPr>
        <w:t>% Nitrogen =</w:t>
      </w:r>
      <w:r w:rsidR="009546AA">
        <w:rPr>
          <w:rFonts w:ascii="Times New Roman" w:hAnsi="Times New Roman" w:cs="Times New Roman"/>
          <w:sz w:val="24"/>
          <w:szCs w:val="24"/>
        </w:rPr>
        <w:t xml:space="preserve"> </w:t>
      </w:r>
      <m:oMath>
        <m:f>
          <m:fPr>
            <m:ctrlPr>
              <w:rPr>
                <w:rFonts w:ascii="Cambria Math" w:hAnsi="Cambria Math" w:cs="Times New Roman"/>
                <w:sz w:val="32"/>
                <w:szCs w:val="24"/>
              </w:rPr>
            </m:ctrlPr>
          </m:fPr>
          <m:num>
            <m:r>
              <m:rPr>
                <m:sty m:val="p"/>
              </m:rPr>
              <w:rPr>
                <w:rFonts w:ascii="Cambria Math" w:hAnsi="Cambria Math" w:cs="Times New Roman"/>
                <w:sz w:val="32"/>
                <w:szCs w:val="24"/>
              </w:rPr>
              <m:t xml:space="preserve">T </m:t>
            </m:r>
            <m:r>
              <m:rPr>
                <m:sty m:val="p"/>
              </m:rPr>
              <w:rPr>
                <w:rFonts w:ascii="Cambria Math" w:hAnsi="Cambria Math" w:cs="Times New Roman"/>
                <w:sz w:val="32"/>
                <w:szCs w:val="24"/>
              </w:rPr>
              <m:t>×</m:t>
            </m:r>
            <m:r>
              <m:rPr>
                <m:sty m:val="p"/>
              </m:rPr>
              <w:rPr>
                <w:rFonts w:ascii="Cambria Math" w:hAnsi="Cambria Math" w:cs="Times New Roman"/>
                <w:sz w:val="32"/>
                <w:szCs w:val="24"/>
              </w:rPr>
              <m:t xml:space="preserve"> 14.01 x 0.01 x 20</m:t>
            </m:r>
          </m:num>
          <m:den>
            <m:r>
              <m:rPr>
                <m:sty m:val="p"/>
              </m:rPr>
              <w:rPr>
                <w:rFonts w:ascii="Cambria Math" w:hAnsi="Cambria Math" w:cs="Times New Roman"/>
                <w:sz w:val="32"/>
                <w:szCs w:val="24"/>
              </w:rPr>
              <m:t>1.0x100</m:t>
            </m:r>
          </m:den>
        </m:f>
      </m:oMath>
      <w:r w:rsidRPr="009546AA">
        <w:rPr>
          <w:rFonts w:ascii="Times New Roman" w:hAnsi="Times New Roman" w:cs="Times New Roman"/>
          <w:sz w:val="24"/>
          <w:szCs w:val="24"/>
        </w:rPr>
        <w:t xml:space="preserve"> x</w:t>
      </w:r>
      <w:r w:rsidR="009546AA">
        <w:rPr>
          <w:rFonts w:ascii="Times New Roman" w:hAnsi="Times New Roman" w:cs="Times New Roman"/>
          <w:sz w:val="24"/>
          <w:szCs w:val="24"/>
        </w:rPr>
        <w:t xml:space="preserve"> 100</w:t>
      </w:r>
      <w:commentRangeStart w:id="2"/>
    </w:p>
    <w:p w14:paraId="6147473A" w14:textId="2CD074D1" w:rsidR="00406B68" w:rsidRDefault="001162EA" w:rsidP="00325BEB">
      <w:pPr>
        <w:autoSpaceDE w:val="0"/>
        <w:autoSpaceDN w:val="0"/>
        <w:adjustRightInd w:val="0"/>
        <w:spacing w:line="480" w:lineRule="auto"/>
        <w:jc w:val="both"/>
        <w:rPr>
          <w:rFonts w:ascii="Times New Roman" w:hAnsi="Times New Roman" w:cs="Times New Roman"/>
          <w:sz w:val="20"/>
          <w:szCs w:val="24"/>
        </w:rPr>
      </w:pPr>
      <w:r>
        <w:rPr>
          <w:rFonts w:ascii="Times New Roman" w:hAnsi="Times New Roman" w:cs="Times New Roman"/>
          <w:sz w:val="20"/>
          <w:szCs w:val="24"/>
        </w:rPr>
        <w:t xml:space="preserve">Where T = </w:t>
      </w:r>
      <w:proofErr w:type="spellStart"/>
      <w:r>
        <w:rPr>
          <w:rFonts w:ascii="Times New Roman" w:hAnsi="Times New Roman" w:cs="Times New Roman"/>
          <w:sz w:val="20"/>
          <w:szCs w:val="24"/>
        </w:rPr>
        <w:t>Titre</w:t>
      </w:r>
      <w:proofErr w:type="spellEnd"/>
      <w:r>
        <w:rPr>
          <w:rFonts w:ascii="Times New Roman" w:hAnsi="Times New Roman" w:cs="Times New Roman"/>
          <w:sz w:val="20"/>
          <w:szCs w:val="24"/>
        </w:rPr>
        <w:t xml:space="preserve"> value</w:t>
      </w:r>
      <w:proofErr w:type="gramStart"/>
      <w:r>
        <w:rPr>
          <w:rFonts w:ascii="Times New Roman" w:hAnsi="Times New Roman" w:cs="Times New Roman"/>
          <w:sz w:val="20"/>
          <w:szCs w:val="24"/>
        </w:rPr>
        <w:t>;  1</w:t>
      </w:r>
      <w:proofErr w:type="gramEnd"/>
      <w:r>
        <w:rPr>
          <w:rFonts w:ascii="Times New Roman" w:hAnsi="Times New Roman" w:cs="Times New Roman"/>
          <w:sz w:val="20"/>
          <w:szCs w:val="24"/>
        </w:rPr>
        <w:t xml:space="preserve"> .0g = Weight of the sample; 20 = Dilution factor (i.e. from 10015)</w:t>
      </w:r>
    </w:p>
    <w:p w14:paraId="06845D42" w14:textId="77777777" w:rsidR="00406B68" w:rsidRDefault="001162EA">
      <w:pPr>
        <w:autoSpaceDE w:val="0"/>
        <w:autoSpaceDN w:val="0"/>
        <w:adjustRightInd w:val="0"/>
        <w:spacing w:after="0" w:line="480" w:lineRule="auto"/>
        <w:jc w:val="both"/>
        <w:rPr>
          <w:rFonts w:ascii="Times New Roman" w:hAnsi="Times New Roman" w:cs="Times New Roman"/>
          <w:sz w:val="20"/>
          <w:szCs w:val="24"/>
        </w:rPr>
      </w:pPr>
      <w:r>
        <w:rPr>
          <w:rFonts w:ascii="Times New Roman" w:hAnsi="Times New Roman" w:cs="Times New Roman"/>
          <w:sz w:val="20"/>
          <w:szCs w:val="24"/>
        </w:rPr>
        <w:t xml:space="preserve">0.01 = Normality of </w:t>
      </w:r>
      <w:proofErr w:type="spellStart"/>
      <w:r>
        <w:rPr>
          <w:rFonts w:ascii="Times New Roman" w:hAnsi="Times New Roman" w:cs="Times New Roman"/>
          <w:sz w:val="20"/>
          <w:szCs w:val="24"/>
        </w:rPr>
        <w:t>HCl</w:t>
      </w:r>
      <w:proofErr w:type="spellEnd"/>
      <w:r>
        <w:rPr>
          <w:rFonts w:ascii="Times New Roman" w:hAnsi="Times New Roman" w:cs="Times New Roman"/>
          <w:sz w:val="20"/>
          <w:szCs w:val="24"/>
        </w:rPr>
        <w:t xml:space="preserve">; 14.01 = Atomic </w:t>
      </w:r>
      <w:r>
        <w:rPr>
          <w:rFonts w:ascii="Times New Roman" w:hAnsi="Times New Roman" w:cs="Times New Roman"/>
          <w:bCs/>
          <w:sz w:val="20"/>
          <w:szCs w:val="24"/>
        </w:rPr>
        <w:t>mass</w:t>
      </w:r>
      <w:r>
        <w:rPr>
          <w:rFonts w:ascii="Times New Roman" w:hAnsi="Times New Roman" w:cs="Times New Roman"/>
          <w:b/>
          <w:bCs/>
          <w:sz w:val="20"/>
          <w:szCs w:val="24"/>
        </w:rPr>
        <w:t xml:space="preserve"> </w:t>
      </w:r>
      <w:r>
        <w:rPr>
          <w:rFonts w:ascii="Times New Roman" w:hAnsi="Times New Roman" w:cs="Times New Roman"/>
          <w:sz w:val="20"/>
          <w:szCs w:val="24"/>
        </w:rPr>
        <w:t xml:space="preserve">of nitrogen;  </w:t>
      </w:r>
    </w:p>
    <w:p w14:paraId="1EFA50A5" w14:textId="77777777" w:rsidR="00406B68" w:rsidRDefault="001162EA">
      <w:pPr>
        <w:autoSpaceDE w:val="0"/>
        <w:autoSpaceDN w:val="0"/>
        <w:adjustRightInd w:val="0"/>
        <w:spacing w:after="0" w:line="480" w:lineRule="auto"/>
        <w:jc w:val="both"/>
        <w:rPr>
          <w:rFonts w:ascii="Times New Roman" w:hAnsi="Times New Roman" w:cs="Times New Roman"/>
          <w:sz w:val="20"/>
          <w:szCs w:val="24"/>
        </w:rPr>
      </w:pPr>
      <w:r>
        <w:rPr>
          <w:rFonts w:ascii="Times New Roman" w:hAnsi="Times New Roman" w:cs="Times New Roman"/>
          <w:sz w:val="20"/>
          <w:szCs w:val="24"/>
        </w:rPr>
        <w:t>% Protein = %Nitrogen x 6.25   (where: 6.25 =&gt; Conversion factor of protein).</w:t>
      </w:r>
    </w:p>
    <w:p w14:paraId="03F48F1B" w14:textId="77777777" w:rsidR="00406B68" w:rsidRDefault="001162EA">
      <w:p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b/>
          <w:bCs/>
          <w:i/>
          <w:sz w:val="24"/>
          <w:szCs w:val="24"/>
        </w:rPr>
        <w:t>Determination of Total Ash Content</w:t>
      </w:r>
      <w:r>
        <w:rPr>
          <w:rFonts w:ascii="Times New Roman" w:hAnsi="Times New Roman" w:cs="Times New Roman"/>
          <w:bCs/>
          <w:i/>
          <w:sz w:val="24"/>
          <w:szCs w:val="24"/>
        </w:rPr>
        <w:t xml:space="preserve">: </w:t>
      </w:r>
      <w:r>
        <w:rPr>
          <w:rFonts w:ascii="Times New Roman" w:hAnsi="Times New Roman" w:cs="Times New Roman"/>
          <w:bCs/>
          <w:sz w:val="24"/>
          <w:szCs w:val="24"/>
        </w:rPr>
        <w:t>The</w:t>
      </w:r>
      <w:r>
        <w:rPr>
          <w:rFonts w:ascii="Times New Roman" w:hAnsi="Times New Roman" w:cs="Times New Roman"/>
          <w:sz w:val="24"/>
          <w:szCs w:val="24"/>
        </w:rPr>
        <w:t xml:space="preserve"> AOAC, 2010 method was used to determine the percentage ash content with the formula:                                                         </w:t>
      </w:r>
    </w:p>
    <w:p w14:paraId="714C4B42" w14:textId="163C2CA6" w:rsidR="00325BEB" w:rsidRDefault="001162EA" w:rsidP="00325BEB">
      <w:pPr>
        <w:autoSpaceDE w:val="0"/>
        <w:autoSpaceDN w:val="0"/>
        <w:adjustRightInd w:val="0"/>
        <w:spacing w:after="0" w:line="480" w:lineRule="auto"/>
        <w:jc w:val="both"/>
        <w:rPr>
          <w:rFonts w:ascii="Times New Roman" w:hAnsi="Times New Roman" w:cs="Times New Roman"/>
          <w:sz w:val="24"/>
          <w:szCs w:val="24"/>
          <w:u w:val="single"/>
        </w:rPr>
      </w:pPr>
      <w:r>
        <w:rPr>
          <w:rFonts w:ascii="Times New Roman" w:hAnsi="Times New Roman" w:cs="Times New Roman"/>
          <w:sz w:val="24"/>
          <w:szCs w:val="24"/>
        </w:rPr>
        <w:t>% ash: =</w:t>
      </w:r>
      <w:r w:rsidR="00325BEB">
        <w:rPr>
          <w:rFonts w:ascii="Times New Roman" w:hAnsi="Times New Roman" w:cs="Times New Roman"/>
          <w:sz w:val="24"/>
          <w:szCs w:val="24"/>
        </w:rPr>
        <w:t xml:space="preserve"> </w:t>
      </w:r>
      <w:r w:rsidR="00325BEB">
        <w:rPr>
          <w:rFonts w:ascii="Times New Roman" w:hAnsi="Times New Roman" w:cs="Times New Roman"/>
          <w:sz w:val="24"/>
          <w:szCs w:val="24"/>
        </w:rPr>
        <w:t xml:space="preserve"> </w:t>
      </w:r>
      <m:oMath>
        <m:f>
          <m:fPr>
            <m:ctrlPr>
              <w:rPr>
                <w:rFonts w:ascii="Cambria Math" w:hAnsi="Cambria Math" w:cs="Times New Roman"/>
                <w:sz w:val="32"/>
                <w:szCs w:val="24"/>
              </w:rPr>
            </m:ctrlPr>
          </m:fPr>
          <m:num>
            <m:r>
              <m:rPr>
                <m:sty m:val="p"/>
              </m:rPr>
              <w:rPr>
                <w:rFonts w:ascii="Cambria Math" w:hAnsi="Cambria Math" w:cs="Times New Roman"/>
                <w:sz w:val="32"/>
                <w:szCs w:val="24"/>
              </w:rPr>
              <m:t>weight of ash</m:t>
            </m:r>
          </m:num>
          <m:den>
            <m:r>
              <m:rPr>
                <m:sty m:val="p"/>
              </m:rPr>
              <w:rPr>
                <w:rFonts w:ascii="Cambria Math" w:hAnsi="Cambria Math" w:cs="Times New Roman"/>
                <w:sz w:val="32"/>
                <w:szCs w:val="24"/>
              </w:rPr>
              <m:t>weight of sample used</m:t>
            </m:r>
          </m:den>
        </m:f>
      </m:oMath>
      <w:r w:rsidR="00325BEB" w:rsidRPr="009546AA">
        <w:rPr>
          <w:rFonts w:ascii="Times New Roman" w:hAnsi="Times New Roman" w:cs="Times New Roman"/>
          <w:sz w:val="24"/>
          <w:szCs w:val="24"/>
        </w:rPr>
        <w:t xml:space="preserve"> x</w:t>
      </w:r>
      <w:r w:rsidR="00325BEB">
        <w:rPr>
          <w:rFonts w:ascii="Times New Roman" w:hAnsi="Times New Roman" w:cs="Times New Roman"/>
          <w:sz w:val="24"/>
          <w:szCs w:val="24"/>
        </w:rPr>
        <w:t xml:space="preserve"> 100</w:t>
      </w:r>
    </w:p>
    <w:p w14:paraId="408B4B23" w14:textId="447FB93F" w:rsidR="00406B68" w:rsidRDefault="00325BEB">
      <w:p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62EA" w:rsidRPr="00FD7E7D">
        <w:rPr>
          <w:rFonts w:ascii="Times New Roman" w:hAnsi="Times New Roman" w:cs="Times New Roman"/>
          <w:b/>
          <w:bCs/>
          <w:sz w:val="24"/>
          <w:szCs w:val="24"/>
        </w:rPr>
        <w:t>Determination of Crude Fiber Content</w:t>
      </w:r>
      <w:r w:rsidR="001162EA" w:rsidRPr="00FD7E7D">
        <w:rPr>
          <w:rFonts w:ascii="Times New Roman" w:hAnsi="Times New Roman" w:cs="Times New Roman"/>
          <w:bCs/>
          <w:sz w:val="24"/>
          <w:szCs w:val="24"/>
        </w:rPr>
        <w:t>:</w:t>
      </w:r>
      <w:r w:rsidR="001162EA">
        <w:rPr>
          <w:rFonts w:ascii="Times New Roman" w:hAnsi="Times New Roman" w:cs="Times New Roman"/>
          <w:bCs/>
          <w:i/>
          <w:sz w:val="24"/>
          <w:szCs w:val="24"/>
        </w:rPr>
        <w:t xml:space="preserve"> </w:t>
      </w:r>
      <w:r w:rsidR="001162EA">
        <w:rPr>
          <w:rFonts w:ascii="Times New Roman" w:hAnsi="Times New Roman" w:cs="Times New Roman"/>
          <w:bCs/>
          <w:sz w:val="24"/>
          <w:szCs w:val="24"/>
        </w:rPr>
        <w:t>This</w:t>
      </w:r>
      <w:r w:rsidR="001162EA">
        <w:rPr>
          <w:rFonts w:ascii="Times New Roman" w:hAnsi="Times New Roman" w:cs="Times New Roman"/>
          <w:sz w:val="24"/>
          <w:szCs w:val="24"/>
        </w:rPr>
        <w:t xml:space="preserve"> was determined by AOAC (2010) method, and the crude </w:t>
      </w:r>
      <w:proofErr w:type="spellStart"/>
      <w:r w:rsidR="001162EA">
        <w:rPr>
          <w:rFonts w:ascii="Times New Roman" w:hAnsi="Times New Roman" w:cs="Times New Roman"/>
          <w:sz w:val="24"/>
          <w:szCs w:val="24"/>
        </w:rPr>
        <w:t>fibre</w:t>
      </w:r>
      <w:proofErr w:type="spellEnd"/>
      <w:r w:rsidR="001162EA">
        <w:rPr>
          <w:rFonts w:ascii="Times New Roman" w:hAnsi="Times New Roman" w:cs="Times New Roman"/>
          <w:sz w:val="24"/>
          <w:szCs w:val="24"/>
        </w:rPr>
        <w:t xml:space="preserve"> content of the samples was determined thus: </w:t>
      </w:r>
    </w:p>
    <w:p w14:paraId="2AA5E60A" w14:textId="581CD081" w:rsidR="00406B68" w:rsidRDefault="001162EA" w:rsidP="00454ECD">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Crude fiber =</w:t>
      </w:r>
      <w:r w:rsidR="00454ECD">
        <w:rPr>
          <w:rFonts w:ascii="Times New Roman" w:hAnsi="Times New Roman" w:cs="Times New Roman"/>
          <w:sz w:val="24"/>
          <w:szCs w:val="24"/>
        </w:rPr>
        <w:t xml:space="preserve">  </w:t>
      </w:r>
      <w:r w:rsidR="00454ECD">
        <w:rPr>
          <w:rFonts w:ascii="Times New Roman" w:hAnsi="Times New Roman" w:cs="Times New Roman"/>
          <w:sz w:val="24"/>
          <w:szCs w:val="24"/>
        </w:rPr>
        <w:t xml:space="preserve">  </w:t>
      </w:r>
      <m:oMath>
        <m:f>
          <m:fPr>
            <m:ctrlPr>
              <w:rPr>
                <w:rFonts w:ascii="Cambria Math" w:hAnsi="Cambria Math" w:cs="Times New Roman"/>
                <w:sz w:val="32"/>
                <w:szCs w:val="24"/>
              </w:rPr>
            </m:ctrlPr>
          </m:fPr>
          <m:num>
            <m:r>
              <m:rPr>
                <m:sty m:val="p"/>
              </m:rPr>
              <w:rPr>
                <w:rFonts w:ascii="Cambria Math" w:hAnsi="Cambria Math" w:cs="Times New Roman"/>
                <w:sz w:val="32"/>
                <w:szCs w:val="24"/>
              </w:rPr>
              <m:t>loss in weight on ignition</m:t>
            </m:r>
          </m:num>
          <m:den>
            <m:r>
              <m:rPr>
                <m:sty m:val="p"/>
              </m:rPr>
              <w:rPr>
                <w:rFonts w:ascii="Cambria Math" w:hAnsi="Cambria Math" w:cs="Times New Roman"/>
                <w:sz w:val="32"/>
                <w:szCs w:val="24"/>
              </w:rPr>
              <m:t>weight of sample used</m:t>
            </m:r>
          </m:den>
        </m:f>
      </m:oMath>
      <w:r w:rsidR="00454ECD" w:rsidRPr="009546AA">
        <w:rPr>
          <w:rFonts w:ascii="Times New Roman" w:hAnsi="Times New Roman" w:cs="Times New Roman"/>
          <w:sz w:val="24"/>
          <w:szCs w:val="24"/>
        </w:rPr>
        <w:t xml:space="preserve"> x</w:t>
      </w:r>
      <w:r w:rsidR="00454ECD">
        <w:rPr>
          <w:rFonts w:ascii="Times New Roman" w:hAnsi="Times New Roman" w:cs="Times New Roman"/>
          <w:sz w:val="24"/>
          <w:szCs w:val="24"/>
        </w:rPr>
        <w:t xml:space="preserve"> 100</w:t>
      </w:r>
      <w:r w:rsidR="00454ECD">
        <w:rPr>
          <w:rFonts w:ascii="Times New Roman" w:hAnsi="Times New Roman" w:cs="Times New Roman"/>
          <w:sz w:val="24"/>
          <w:szCs w:val="24"/>
        </w:rPr>
        <w:t xml:space="preserve">         </w:t>
      </w:r>
      <w:r>
        <w:rPr>
          <w:rFonts w:ascii="Times New Roman" w:hAnsi="Times New Roman" w:cs="Times New Roman"/>
          <w:sz w:val="24"/>
          <w:szCs w:val="24"/>
        </w:rPr>
        <w:t xml:space="preserve"> </w:t>
      </w:r>
      <w:bookmarkStart w:id="3" w:name="_GoBack"/>
      <w:bookmarkEnd w:id="3"/>
    </w:p>
    <w:p w14:paraId="3976C501" w14:textId="77777777" w:rsidR="00406B68" w:rsidRDefault="001162EA">
      <w:pPr>
        <w:autoSpaceDE w:val="0"/>
        <w:autoSpaceDN w:val="0"/>
        <w:adjustRightInd w:val="0"/>
        <w:spacing w:line="480" w:lineRule="auto"/>
        <w:jc w:val="both"/>
        <w:rPr>
          <w:rFonts w:ascii="Times New Roman" w:hAnsi="Times New Roman" w:cs="Times New Roman"/>
          <w:sz w:val="24"/>
          <w:szCs w:val="24"/>
        </w:rPr>
      </w:pPr>
      <w:r w:rsidRPr="00FD7E7D">
        <w:rPr>
          <w:rFonts w:ascii="Times New Roman" w:hAnsi="Times New Roman" w:cs="Times New Roman"/>
          <w:b/>
          <w:bCs/>
          <w:sz w:val="24"/>
          <w:szCs w:val="24"/>
        </w:rPr>
        <w:t>Determination of Carbohydrate Content:</w:t>
      </w:r>
      <w:r>
        <w:rPr>
          <w:rFonts w:ascii="Times New Roman" w:hAnsi="Times New Roman" w:cs="Times New Roman"/>
          <w:bCs/>
          <w:i/>
          <w:sz w:val="24"/>
          <w:szCs w:val="24"/>
        </w:rPr>
        <w:t xml:space="preserve"> </w:t>
      </w:r>
      <w:r>
        <w:rPr>
          <w:rFonts w:ascii="Times New Roman" w:hAnsi="Times New Roman" w:cs="Times New Roman"/>
          <w:sz w:val="24"/>
          <w:szCs w:val="24"/>
        </w:rPr>
        <w:t>Carbohydrate content was estimated by the difference.</w:t>
      </w:r>
    </w:p>
    <w:p w14:paraId="1C709A1F" w14:textId="77777777" w:rsidR="00406B68" w:rsidRDefault="001162EA">
      <w:pPr>
        <w:autoSpaceDE w:val="0"/>
        <w:autoSpaceDN w:val="0"/>
        <w:adjustRightInd w:val="0"/>
        <w:spacing w:line="480" w:lineRule="auto"/>
        <w:jc w:val="both"/>
        <w:rPr>
          <w:rFonts w:ascii="Times New Roman" w:hAnsi="Times New Roman" w:cs="Times New Roman"/>
          <w:sz w:val="24"/>
          <w:szCs w:val="24"/>
        </w:rPr>
      </w:pPr>
      <w:r w:rsidRPr="00FD7E7D">
        <w:rPr>
          <w:rFonts w:ascii="Times New Roman" w:hAnsi="Times New Roman" w:cs="Times New Roman"/>
          <w:b/>
          <w:sz w:val="24"/>
          <w:szCs w:val="24"/>
        </w:rPr>
        <w:t>Determination of mineral content:</w:t>
      </w:r>
      <w:r>
        <w:rPr>
          <w:rFonts w:ascii="Times New Roman" w:hAnsi="Times New Roman" w:cs="Times New Roman"/>
          <w:i/>
          <w:sz w:val="24"/>
          <w:szCs w:val="24"/>
        </w:rPr>
        <w:t xml:space="preserve"> </w:t>
      </w:r>
      <w:proofErr w:type="spellStart"/>
      <w:r>
        <w:rPr>
          <w:rFonts w:ascii="Times New Roman" w:hAnsi="Times New Roman" w:cs="Times New Roman"/>
          <w:sz w:val="24"/>
          <w:szCs w:val="24"/>
        </w:rPr>
        <w:t>Ca</w:t>
      </w:r>
      <w:proofErr w:type="spellEnd"/>
      <w:r>
        <w:rPr>
          <w:rFonts w:ascii="Times New Roman" w:hAnsi="Times New Roman" w:cs="Times New Roman"/>
          <w:sz w:val="24"/>
          <w:szCs w:val="24"/>
        </w:rPr>
        <w:t xml:space="preserve">, Mg, Na, K, Cu, and Zn were analyzed with standard methods of AOAC (2010) using atomic absorption spectrometer. </w:t>
      </w:r>
    </w:p>
    <w:p w14:paraId="26D55A2D" w14:textId="77777777" w:rsidR="00406B68" w:rsidRDefault="001162EA">
      <w:pPr>
        <w:autoSpaceDE w:val="0"/>
        <w:autoSpaceDN w:val="0"/>
        <w:adjustRightInd w:val="0"/>
        <w:spacing w:line="480" w:lineRule="auto"/>
        <w:jc w:val="both"/>
        <w:rPr>
          <w:rFonts w:ascii="Times New Roman" w:hAnsi="Times New Roman" w:cs="Times New Roman"/>
          <w:sz w:val="24"/>
          <w:szCs w:val="24"/>
        </w:rPr>
      </w:pPr>
      <w:r w:rsidRPr="00FD7E7D">
        <w:rPr>
          <w:rFonts w:ascii="Times New Roman" w:hAnsi="Times New Roman" w:cs="Times New Roman"/>
          <w:b/>
          <w:sz w:val="24"/>
          <w:szCs w:val="24"/>
        </w:rPr>
        <w:lastRenderedPageBreak/>
        <w:t>Swelling capacity and Solubility</w:t>
      </w:r>
      <w:r>
        <w:rPr>
          <w:rFonts w:ascii="Times New Roman" w:hAnsi="Times New Roman" w:cs="Times New Roman"/>
          <w:sz w:val="24"/>
          <w:szCs w:val="24"/>
        </w:rPr>
        <w:t>:</w:t>
      </w:r>
      <w:r>
        <w:rPr>
          <w:rFonts w:ascii="Times New Roman" w:hAnsi="Times New Roman" w:cs="Times New Roman"/>
          <w:i/>
          <w:sz w:val="24"/>
          <w:szCs w:val="24"/>
        </w:rPr>
        <w:t xml:space="preserve"> </w:t>
      </w:r>
      <w:r>
        <w:rPr>
          <w:rFonts w:ascii="Times New Roman" w:hAnsi="Times New Roman" w:cs="Times New Roman"/>
          <w:sz w:val="24"/>
          <w:szCs w:val="24"/>
        </w:rPr>
        <w:t>Tester and Morrison method of 1990 was adopted, where 1 g sample was weighed into a clean, dry test tube (W1), with slurry heated at 40°C, 50°C, 60°C and 70°C respectively for 30mins using thermostatically controlled water bath, cooled to room temperature and centrifuged at 2,200 rpm for 15mins. It was processed and the residue obtained after centrifugation was poured to clean dried test tube and weighed (W2).</w:t>
      </w:r>
    </w:p>
    <w:p w14:paraId="61F12BB0" w14:textId="77777777" w:rsidR="00406B68" w:rsidRDefault="001162EA">
      <w:p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Swelling capacity of starch=  </w:t>
      </w:r>
      <m:oMath>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2</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1</m:t>
                </m:r>
              </m:sub>
            </m:sSub>
          </m:num>
          <m:den>
            <m:r>
              <w:rPr>
                <w:rFonts w:ascii="Cambria Math" w:hAnsi="Cambria Math" w:cs="Times New Roman"/>
                <w:sz w:val="24"/>
                <w:szCs w:val="24"/>
              </w:rPr>
              <m:t>Weight of flour</m:t>
            </m:r>
          </m:den>
        </m:f>
        <m:r>
          <w:rPr>
            <w:rFonts w:ascii="Cambria Math" w:hAnsi="Cambria Math" w:cs="Times New Roman"/>
            <w:sz w:val="24"/>
            <w:szCs w:val="24"/>
          </w:rPr>
          <m:t xml:space="preserve"> ×    100</m:t>
        </m:r>
      </m:oMath>
    </w:p>
    <w:p w14:paraId="48A75ACD" w14:textId="77777777" w:rsidR="00406B68" w:rsidRDefault="001162EA">
      <w:p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b/>
          <w:i/>
          <w:sz w:val="24"/>
          <w:szCs w:val="24"/>
        </w:rPr>
        <w:t>Beta-carotene</w:t>
      </w:r>
      <w:r>
        <w:rPr>
          <w:rFonts w:ascii="Times New Roman" w:hAnsi="Times New Roman" w:cs="Times New Roman"/>
          <w:i/>
          <w:sz w:val="24"/>
          <w:szCs w:val="24"/>
        </w:rPr>
        <w:t xml:space="preserve">: </w:t>
      </w:r>
      <w:r>
        <w:rPr>
          <w:rFonts w:ascii="Times New Roman" w:hAnsi="Times New Roman" w:cs="Times New Roman"/>
          <w:sz w:val="24"/>
          <w:szCs w:val="24"/>
        </w:rPr>
        <w:t xml:space="preserve">High performance liquid chromatography UV detector was used to analyze carotenoid content of the extracted sample using N200 chromatography software. </w:t>
      </w:r>
    </w:p>
    <w:p w14:paraId="57534A9B" w14:textId="77777777" w:rsidR="00406B68" w:rsidRDefault="001162EA">
      <w:pPr>
        <w:spacing w:line="480" w:lineRule="auto"/>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 xml:space="preserve">Determination of Anti-nutritional Factor </w:t>
      </w:r>
    </w:p>
    <w:p w14:paraId="3161F7DF" w14:textId="77777777" w:rsidR="00406B68" w:rsidRDefault="001162EA">
      <w:pPr>
        <w:spacing w:line="480" w:lineRule="auto"/>
        <w:jc w:val="both"/>
        <w:rPr>
          <w:rFonts w:ascii="Times New Roman" w:hAnsi="Times New Roman" w:cs="Times New Roman"/>
          <w:sz w:val="24"/>
          <w:szCs w:val="24"/>
        </w:rPr>
      </w:pPr>
      <w:proofErr w:type="spellStart"/>
      <w:r w:rsidRPr="00FD7E7D">
        <w:rPr>
          <w:rFonts w:ascii="Times New Roman" w:hAnsi="Times New Roman" w:cs="Times New Roman"/>
          <w:b/>
          <w:bCs/>
          <w:sz w:val="24"/>
          <w:szCs w:val="24"/>
        </w:rPr>
        <w:t>Phytates</w:t>
      </w:r>
      <w:proofErr w:type="spellEnd"/>
      <w:r>
        <w:rPr>
          <w:rFonts w:ascii="Times New Roman" w:hAnsi="Times New Roman" w:cs="Times New Roman"/>
          <w:bCs/>
          <w:sz w:val="24"/>
          <w:szCs w:val="24"/>
        </w:rPr>
        <w:t>:</w:t>
      </w:r>
      <w:r>
        <w:rPr>
          <w:rFonts w:ascii="Times New Roman" w:hAnsi="Times New Roman" w:cs="Times New Roman"/>
          <w:bCs/>
          <w:i/>
          <w:sz w:val="24"/>
          <w:szCs w:val="24"/>
        </w:rPr>
        <w:t xml:space="preserve"> </w:t>
      </w:r>
      <w:proofErr w:type="spellStart"/>
      <w:r>
        <w:rPr>
          <w:rFonts w:ascii="Times New Roman" w:hAnsi="Times New Roman" w:cs="Times New Roman"/>
          <w:sz w:val="24"/>
          <w:szCs w:val="24"/>
        </w:rPr>
        <w:t>Phytate</w:t>
      </w:r>
      <w:proofErr w:type="spellEnd"/>
      <w:r>
        <w:rPr>
          <w:rFonts w:ascii="Times New Roman" w:hAnsi="Times New Roman" w:cs="Times New Roman"/>
          <w:sz w:val="24"/>
          <w:szCs w:val="24"/>
        </w:rPr>
        <w:t xml:space="preserve"> was determined by </w:t>
      </w:r>
      <w:hyperlink w:anchor="_ENREF_16" w:tooltip="Dahdouh, 2019 #162" w:history="1">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AuthorYear="1"&gt;&lt;Author&gt;Dahdouh&lt;/Author&gt;&lt;Year&gt;2019&lt;/Year&gt;&lt;RecNum&gt;162&lt;/RecNum&gt;&lt;DisplayText&gt;Dahdouh&lt;style face="italic"&gt; et al.&lt;/style&gt; (2019)&lt;/DisplayText&gt;&lt;record&gt;&lt;rec-number&gt;162&lt;/rec-number&gt;&lt;foreign-keys&gt;&lt;key app="EN" db-id="tz9rpzspgx2teie0pzs5w5a7v2exvttzvvdr"&gt;162&lt;/key&gt;&lt;/foreign-keys&gt;&lt;ref-type name="Journal Article"&gt;17&lt;/ref-type&gt;&lt;contributors&gt;&lt;authors&gt;&lt;author&gt;Dahdouh, Sergio&lt;/author&gt;&lt;author&gt;Grande, Fernanda&lt;/author&gt;&lt;author&gt;Espinosa, Sarah Nájera&lt;/author&gt;&lt;author&gt;Vincent, Anna&lt;/author&gt;&lt;author&gt;Gibson, Rosalind&lt;/author&gt;&lt;author&gt;Bailey, Karl&lt;/author&gt;&lt;author&gt;King, Janet&lt;/author&gt;&lt;author&gt;Rittenschober, Doris&lt;/author&gt;&lt;author&gt;Charrondière, U Ruth&lt;/author&gt;&lt;/authors&gt;&lt;/contributors&gt;&lt;titles&gt;&lt;title&gt;Development of the FAO/INFOODS/IZINCG global food composition database for phytate&lt;/title&gt;&lt;secondary-title&gt;Journal of Food Composition and Analysis&lt;/secondary-title&gt;&lt;/titles&gt;&lt;periodical&gt;&lt;full-title&gt;Journal of Food Composition and Analysis&lt;/full-title&gt;&lt;/periodical&gt;&lt;pages&gt;42-48&lt;/pages&gt;&lt;volume&gt;78&lt;/volume&gt;&lt;dates&gt;&lt;year&gt;2019&lt;/year&gt;&lt;/dates&gt;&lt;isbn&gt;0889-1575&lt;/isbn&gt;&lt;urls&gt;&lt;/urls&gt;&lt;/record&gt;&lt;/Cite&gt;&lt;/EndNote&gt;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Dahdouh</w:t>
        </w:r>
        <w:r>
          <w:rPr>
            <w:rFonts w:ascii="Times New Roman" w:hAnsi="Times New Roman" w:cs="Times New Roman"/>
            <w:i/>
            <w:sz w:val="24"/>
            <w:szCs w:val="24"/>
          </w:rPr>
          <w:t xml:space="preserve"> et al.</w:t>
        </w:r>
        <w:r>
          <w:rPr>
            <w:rFonts w:ascii="Times New Roman" w:hAnsi="Times New Roman" w:cs="Times New Roman"/>
            <w:sz w:val="24"/>
            <w:szCs w:val="24"/>
          </w:rPr>
          <w:t xml:space="preserve"> (2019)</w:t>
        </w:r>
        <w:r>
          <w:rPr>
            <w:rFonts w:ascii="Times New Roman" w:hAnsi="Times New Roman" w:cs="Times New Roman"/>
            <w:sz w:val="24"/>
            <w:szCs w:val="24"/>
          </w:rPr>
          <w:fldChar w:fldCharType="end"/>
        </w:r>
      </w:hyperlink>
      <w:r>
        <w:rPr>
          <w:rFonts w:ascii="Times New Roman" w:hAnsi="Times New Roman" w:cs="Times New Roman"/>
          <w:sz w:val="24"/>
          <w:szCs w:val="24"/>
        </w:rPr>
        <w:t xml:space="preserve"> method and calculated thus:.</w:t>
      </w:r>
    </w:p>
    <w:p w14:paraId="166EFE81" w14:textId="77777777" w:rsidR="00406B68" w:rsidRDefault="001162EA">
      <w:pPr>
        <w:autoSpaceDE w:val="0"/>
        <w:autoSpaceDN w:val="0"/>
        <w:adjustRightInd w:val="0"/>
        <w:spacing w:after="0" w:line="480" w:lineRule="auto"/>
        <w:jc w:val="both"/>
        <w:rPr>
          <w:rFonts w:ascii="Times New Roman" w:hAnsi="Times New Roman" w:cs="Times New Roman"/>
          <w:i/>
          <w:iCs/>
          <w:sz w:val="24"/>
          <w:szCs w:val="24"/>
        </w:rPr>
      </w:pPr>
      <w:r>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1085FEAC" wp14:editId="7F87D65C">
                <wp:simplePos x="0" y="0"/>
                <wp:positionH relativeFrom="column">
                  <wp:posOffset>1019810</wp:posOffset>
                </wp:positionH>
                <wp:positionV relativeFrom="paragraph">
                  <wp:posOffset>225425</wp:posOffset>
                </wp:positionV>
                <wp:extent cx="3226435" cy="20955"/>
                <wp:effectExtent l="0" t="0" r="12065" b="36195"/>
                <wp:wrapNone/>
                <wp:docPr id="18" name="Straight Connector 18"/>
                <wp:cNvGraphicFramePr/>
                <a:graphic xmlns:a="http://schemas.openxmlformats.org/drawingml/2006/main">
                  <a:graphicData uri="http://schemas.microsoft.com/office/word/2010/wordprocessingShape">
                    <wps:wsp>
                      <wps:cNvCnPr/>
                      <wps:spPr>
                        <a:xfrm flipV="1">
                          <a:off x="0" y="0"/>
                          <a:ext cx="3226435" cy="2095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E9FC91C" id="Straight Connector 18" o:spid="_x0000_s1026" style="position:absolute;flip:y;z-index:251660288;visibility:visible;mso-wrap-style:square;mso-wrap-distance-left:9pt;mso-wrap-distance-top:0;mso-wrap-distance-right:9pt;mso-wrap-distance-bottom:0;mso-position-horizontal:absolute;mso-position-horizontal-relative:text;mso-position-vertical:absolute;mso-position-vertical-relative:text" from="80.3pt,17.75pt" to="334.35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7ImjvwEAAOIDAAAOAAAAZHJzL2Uyb0RvYy54bWysU01v2zAMvQ/YfxB0X+y4S7EZcXpo0V2G&#10;rdjXXZWpWIAkCpIWO/9+lJw4xTYMWNELYUl8j3yP9PZmsoYdIESNruPrVc0ZOIm9dvuOf/92/+Yd&#10;ZzEJ1wuDDjp+hMhvdq9fbUffQoMDmh4CIxIX29F3fEjJt1UV5QBWxBV6cPSoMFiR6Bj2VR/ESOzW&#10;VE1dX1cjht4HlBAj3d7Nj3xX+JUCmT4rFSEx03HqLZUYSnzMsdptRbsPwg9antoQz+jCCu2o6EJ1&#10;J5JgP4P+g8pqGTCiSiuJtkKltISigdSs69/UfB2Eh6KFzIl+sSm+HK38dLh1D4FsGH1so38IWcWk&#10;gmXKaP+DZlp0UadsKrYdF9tgSkzS5VXTXL+92nAm6a2p32822dZqpsl0PsT0AdCy/NFxo11WJVpx&#10;+BjTnHpOydfG5RjR6P5eG1MOeR/g1gR2EDTJNK1PJZ5kUcGMrC5Cylc6GphZv4BiuqeGZ0llxy6c&#10;Qkpw6cxrHGVnmKIOFmBd2v4n8JSfoVD273/AC6JURpcWsNUOw9+qX6xQc/7ZgVl3tuAR+2MZcbGG&#10;FqkM57T0eVOfngv88mvufgEAAP//AwBQSwMEFAAGAAgAAAAhAC6KKO/fAAAACQEAAA8AAABkcnMv&#10;ZG93bnJldi54bWxMj01PwzAMhu9I/IfISNxYOtBKVZpOCIkD0jT2wQFuWWLaQuOUJN3Kv8ec4Pja&#10;j14/rpaT68URQ+w8KZjPMhBIxtuOGgUv+8erAkRMmqzuPaGCb4ywrM/PKl1af6ItHnepEVxCsdQK&#10;2pSGUspoWnQ6zvyAxLt3H5xOHEMjbdAnLne9vM6yXDrdEV9o9YAPLZrP3egUvM6fvjZm+Njsn83q&#10;LazSeo1pVOryYrq/A5FwSn8w/OqzOtTsdPAj2Sh6znmWM6rgZrEAwUCeF7cgDjwoCpB1Jf9/UP8A&#10;AAD//wMAUEsBAi0AFAAGAAgAAAAhALaDOJL+AAAA4QEAABMAAAAAAAAAAAAAAAAAAAAAAFtDb250&#10;ZW50X1R5cGVzXS54bWxQSwECLQAUAAYACAAAACEAOP0h/9YAAACUAQAACwAAAAAAAAAAAAAAAAAv&#10;AQAAX3JlbHMvLnJlbHNQSwECLQAUAAYACAAAACEAjeyJo78BAADiAwAADgAAAAAAAAAAAAAAAAAu&#10;AgAAZHJzL2Uyb0RvYy54bWxQSwECLQAUAAYACAAAACEALooo798AAAAJAQAADwAAAAAAAAAAAAAA&#10;AAAZBAAAZHJzL2Rvd25yZXYueG1sUEsFBgAAAAAEAAQA8wAAACUFAAAAAA==&#10;" strokecolor="black [3213]" strokeweight=".5pt">
                <v:stroke joinstyle="miter"/>
              </v:line>
            </w:pict>
          </mc:Fallback>
        </mc:AlternateContent>
      </w:r>
      <w:proofErr w:type="spellStart"/>
      <w:r>
        <w:rPr>
          <w:rFonts w:ascii="Times New Roman" w:hAnsi="Times New Roman" w:cs="Times New Roman"/>
          <w:sz w:val="24"/>
          <w:szCs w:val="24"/>
        </w:rPr>
        <w:t>Phytate</w:t>
      </w:r>
      <w:proofErr w:type="spellEnd"/>
      <w:r>
        <w:rPr>
          <w:rFonts w:ascii="Times New Roman" w:hAnsi="Times New Roman" w:cs="Times New Roman"/>
          <w:sz w:val="24"/>
          <w:szCs w:val="24"/>
        </w:rPr>
        <w:t xml:space="preserve"> = </w:t>
      </w:r>
      <w:r>
        <w:rPr>
          <w:rFonts w:ascii="Times New Roman" w:hAnsi="Times New Roman" w:cs="Times New Roman"/>
          <w:sz w:val="24"/>
          <w:szCs w:val="24"/>
        </w:rPr>
        <w:tab/>
        <w:t xml:space="preserve"> </w:t>
      </w:r>
      <w:r>
        <w:rPr>
          <w:rFonts w:ascii="Times New Roman" w:hAnsi="Times New Roman" w:cs="Times New Roman"/>
          <w:i/>
          <w:iCs/>
          <w:sz w:val="24"/>
          <w:szCs w:val="24"/>
        </w:rPr>
        <w:t xml:space="preserve">X </w:t>
      </w:r>
      <w:proofErr w:type="spellStart"/>
      <w:r>
        <w:rPr>
          <w:rFonts w:ascii="Times New Roman" w:hAnsi="Times New Roman" w:cs="Times New Roman"/>
          <w:i/>
          <w:iCs/>
          <w:sz w:val="24"/>
          <w:szCs w:val="24"/>
        </w:rPr>
        <w:t>x</w:t>
      </w:r>
      <w:proofErr w:type="spellEnd"/>
      <w:r>
        <w:rPr>
          <w:rFonts w:ascii="Times New Roman" w:hAnsi="Times New Roman" w:cs="Times New Roman"/>
          <w:i/>
          <w:iCs/>
          <w:sz w:val="24"/>
          <w:szCs w:val="24"/>
        </w:rPr>
        <w:t xml:space="preserve"> dilutions (if any) x original volume of digest          x            100%</w:t>
      </w:r>
    </w:p>
    <w:p w14:paraId="3B266232" w14:textId="77777777" w:rsidR="00406B68" w:rsidRDefault="001162EA">
      <w:pPr>
        <w:pStyle w:val="ListParagraph"/>
        <w:autoSpaceDE w:val="0"/>
        <w:autoSpaceDN w:val="0"/>
        <w:adjustRightInd w:val="0"/>
        <w:spacing w:after="0" w:line="480" w:lineRule="auto"/>
        <w:ind w:left="2160" w:firstLine="720"/>
        <w:jc w:val="both"/>
        <w:rPr>
          <w:rFonts w:ascii="Times New Roman" w:hAnsi="Times New Roman" w:cs="Times New Roman"/>
          <w:i/>
          <w:iCs/>
          <w:sz w:val="24"/>
          <w:szCs w:val="24"/>
        </w:rPr>
      </w:pPr>
      <w:r>
        <w:rPr>
          <w:rFonts w:ascii="Times New Roman" w:hAnsi="Times New Roman" w:cs="Times New Roman"/>
          <w:i/>
          <w:iCs/>
          <w:sz w:val="24"/>
          <w:szCs w:val="24"/>
        </w:rPr>
        <w:t>Weight of sample x 106</w:t>
      </w:r>
    </w:p>
    <w:p w14:paraId="4A91EF01" w14:textId="77777777" w:rsidR="00406B68" w:rsidRDefault="001162EA">
      <w:pPr>
        <w:spacing w:line="480" w:lineRule="auto"/>
        <w:jc w:val="both"/>
        <w:rPr>
          <w:rFonts w:ascii="Times New Roman" w:hAnsi="Times New Roman" w:cs="Times New Roman"/>
          <w:sz w:val="20"/>
          <w:szCs w:val="24"/>
        </w:rPr>
      </w:pPr>
      <w:r>
        <w:rPr>
          <w:rFonts w:ascii="Times New Roman" w:hAnsi="Times New Roman" w:cs="Times New Roman"/>
          <w:sz w:val="20"/>
          <w:szCs w:val="24"/>
        </w:rPr>
        <w:t>Where X = value of the curve or optical density X reading from spectrophotometer</w:t>
      </w:r>
      <w:r>
        <w:rPr>
          <w:rFonts w:ascii="Times New Roman" w:hAnsi="Times New Roman" w:cs="Times New Roman"/>
          <w:b/>
          <w:sz w:val="20"/>
          <w:szCs w:val="24"/>
        </w:rPr>
        <w:t xml:space="preserve"> </w:t>
      </w:r>
    </w:p>
    <w:p w14:paraId="5B8AE735" w14:textId="77777777" w:rsidR="00406B68" w:rsidRDefault="001162EA">
      <w:p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b/>
          <w:i/>
          <w:sz w:val="24"/>
          <w:szCs w:val="24"/>
        </w:rPr>
        <w:t>Tannins</w:t>
      </w:r>
      <w:r>
        <w:rPr>
          <w:rFonts w:ascii="Times New Roman" w:hAnsi="Times New Roman" w:cs="Times New Roman"/>
          <w:i/>
          <w:sz w:val="24"/>
          <w:szCs w:val="24"/>
        </w:rPr>
        <w:t>:</w:t>
      </w:r>
      <w:r>
        <w:rPr>
          <w:rFonts w:ascii="Times New Roman" w:hAnsi="Times New Roman" w:cs="Times New Roman"/>
          <w:sz w:val="24"/>
          <w:szCs w:val="24"/>
        </w:rPr>
        <w:t xml:space="preserve"> AOAC, 2010 method was adopted, with absorbance of Tannic acid standard solutions and samples read after </w:t>
      </w:r>
      <w:proofErr w:type="spellStart"/>
      <w:r>
        <w:rPr>
          <w:rFonts w:ascii="Times New Roman" w:hAnsi="Times New Roman" w:cs="Times New Roman"/>
          <w:sz w:val="24"/>
          <w:szCs w:val="24"/>
        </w:rPr>
        <w:t>colour</w:t>
      </w:r>
      <w:proofErr w:type="spellEnd"/>
      <w:r>
        <w:rPr>
          <w:rFonts w:ascii="Times New Roman" w:hAnsi="Times New Roman" w:cs="Times New Roman"/>
          <w:sz w:val="24"/>
          <w:szCs w:val="24"/>
        </w:rPr>
        <w:t xml:space="preserve"> development on a </w:t>
      </w:r>
      <w:proofErr w:type="spellStart"/>
      <w:r>
        <w:rPr>
          <w:rFonts w:ascii="Times New Roman" w:hAnsi="Times New Roman" w:cs="Times New Roman"/>
          <w:sz w:val="24"/>
          <w:szCs w:val="24"/>
        </w:rPr>
        <w:t>spectronic</w:t>
      </w:r>
      <w:proofErr w:type="spellEnd"/>
      <w:r>
        <w:rPr>
          <w:rFonts w:ascii="Times New Roman" w:hAnsi="Times New Roman" w:cs="Times New Roman"/>
          <w:sz w:val="24"/>
          <w:szCs w:val="24"/>
        </w:rPr>
        <w:t xml:space="preserve"> 21D spectrophotometer at wavelength of 760nm.</w:t>
      </w:r>
    </w:p>
    <w:p w14:paraId="7AD4C107" w14:textId="5901AF8A" w:rsidR="00406B68" w:rsidRDefault="001162EA" w:rsidP="00350AB5">
      <w:p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Tannin = </w:t>
      </w:r>
      <w:r>
        <w:rPr>
          <w:rFonts w:ascii="Times New Roman" w:hAnsi="Times New Roman" w:cs="Times New Roman"/>
          <w:sz w:val="24"/>
          <w:szCs w:val="24"/>
          <w:u w:val="single"/>
        </w:rPr>
        <w:t xml:space="preserve">A × </w:t>
      </w:r>
      <w:r w:rsidR="00EE18D8">
        <w:rPr>
          <w:rFonts w:ascii="Times New Roman" w:hAnsi="Times New Roman" w:cs="Times New Roman"/>
          <w:sz w:val="24"/>
          <w:szCs w:val="24"/>
          <w:u w:val="single"/>
        </w:rPr>
        <w:t>B</w:t>
      </w:r>
      <w:r>
        <w:rPr>
          <w:rFonts w:ascii="Times New Roman" w:hAnsi="Times New Roman" w:cs="Times New Roman"/>
          <w:sz w:val="24"/>
          <w:szCs w:val="24"/>
          <w:u w:val="single"/>
        </w:rPr>
        <w:t xml:space="preserve"> × </w:t>
      </w:r>
      <w:r w:rsidR="00EE18D8">
        <w:rPr>
          <w:rFonts w:ascii="Times New Roman" w:hAnsi="Times New Roman" w:cs="Times New Roman"/>
          <w:sz w:val="24"/>
          <w:szCs w:val="24"/>
          <w:u w:val="single"/>
        </w:rPr>
        <w:t>T</w:t>
      </w:r>
    </w:p>
    <w:p w14:paraId="0957A1C2" w14:textId="3A201D76" w:rsidR="00406B68" w:rsidRDefault="001162EA" w:rsidP="00350AB5">
      <w:p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E18D8">
        <w:rPr>
          <w:rFonts w:ascii="Times New Roman" w:hAnsi="Times New Roman" w:cs="Times New Roman"/>
          <w:sz w:val="24"/>
          <w:szCs w:val="24"/>
        </w:rPr>
        <w:t>                </w:t>
      </w:r>
      <w:r>
        <w:rPr>
          <w:rFonts w:ascii="Times New Roman" w:hAnsi="Times New Roman" w:cs="Times New Roman"/>
          <w:sz w:val="24"/>
          <w:szCs w:val="24"/>
        </w:rPr>
        <w:t>W × 10,000</w:t>
      </w:r>
    </w:p>
    <w:p w14:paraId="4FDC98B4" w14:textId="58C464F0" w:rsidR="00FD7E7D" w:rsidRPr="00291427" w:rsidRDefault="00FD7E7D" w:rsidP="00FD7E7D">
      <w:pPr>
        <w:autoSpaceDE w:val="0"/>
        <w:autoSpaceDN w:val="0"/>
        <w:adjustRightInd w:val="0"/>
        <w:spacing w:line="480" w:lineRule="auto"/>
        <w:jc w:val="both"/>
        <w:rPr>
          <w:rFonts w:ascii="Times New Roman" w:hAnsi="Times New Roman" w:cs="Times New Roman"/>
          <w:sz w:val="20"/>
          <w:szCs w:val="24"/>
        </w:rPr>
      </w:pPr>
      <w:r w:rsidRPr="00291427">
        <w:rPr>
          <w:rFonts w:ascii="Times New Roman" w:hAnsi="Times New Roman" w:cs="Times New Roman"/>
          <w:sz w:val="20"/>
          <w:szCs w:val="24"/>
        </w:rPr>
        <w:t>Where A= Absorbance of sample; B=Average gradient</w:t>
      </w:r>
      <w:r w:rsidR="00EE18D8" w:rsidRPr="00291427">
        <w:rPr>
          <w:rFonts w:ascii="Times New Roman" w:hAnsi="Times New Roman" w:cs="Times New Roman"/>
          <w:sz w:val="20"/>
          <w:szCs w:val="24"/>
        </w:rPr>
        <w:t>; T= dilution factor; W= weight of sample</w:t>
      </w:r>
    </w:p>
    <w:p w14:paraId="01E547AD" w14:textId="77777777" w:rsidR="00406B68" w:rsidRDefault="001162EA">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b/>
          <w:i/>
          <w:sz w:val="24"/>
          <w:szCs w:val="24"/>
        </w:rPr>
        <w:t>Oxalates</w:t>
      </w:r>
      <w:r>
        <w:rPr>
          <w:rFonts w:ascii="Times New Roman" w:hAnsi="Times New Roman" w:cs="Times New Roman"/>
          <w:sz w:val="24"/>
          <w:szCs w:val="24"/>
        </w:rPr>
        <w:t>:</w:t>
      </w:r>
      <w:r>
        <w:rPr>
          <w:rFonts w:ascii="Times New Roman" w:hAnsi="Times New Roman" w:cs="Times New Roman"/>
          <w:i/>
          <w:sz w:val="24"/>
          <w:szCs w:val="24"/>
        </w:rPr>
        <w:t xml:space="preserve"> </w:t>
      </w:r>
      <w:r>
        <w:rPr>
          <w:rFonts w:ascii="Times New Roman" w:hAnsi="Times New Roman" w:cs="Times New Roman"/>
          <w:sz w:val="24"/>
          <w:szCs w:val="24"/>
        </w:rPr>
        <w:t xml:space="preserve">Method of </w:t>
      </w:r>
      <w:hyperlink w:anchor="_ENREF_16" w:tooltip="Dahdouh, 2019 #162" w:history="1">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AuthorYear="1"&gt;&lt;Author&gt;Dahdouh&lt;/Author&gt;&lt;Year&gt;2019&lt;/Year&gt;&lt;RecNum&gt;162&lt;/RecNum&gt;&lt;DisplayText&gt;Dahdouh&lt;style face="italic"&gt; et al.&lt;/style&gt; (2019)&lt;/DisplayText&gt;&lt;record&gt;&lt;rec-number&gt;162&lt;/rec-number&gt;&lt;foreign-keys&gt;&lt;key app="EN" db-id="tz9rpzspgx2teie0pzs5w5a7v2exvttzvvdr"&gt;162&lt;/key&gt;&lt;/foreign-keys&gt;&lt;ref-type name="Journal Article"&gt;17&lt;/ref-type&gt;&lt;contributors&gt;&lt;authors&gt;&lt;author&gt;Dahdouh, Sergio&lt;/author&gt;&lt;author&gt;Grande, Fernanda&lt;/author&gt;&lt;author&gt;Espinosa, Sarah Nájera&lt;/author&gt;&lt;author&gt;Vincent, Anna&lt;/author&gt;&lt;author&gt;Gibson, Rosalind&lt;/author&gt;&lt;author&gt;Bailey, Karl&lt;/author&gt;&lt;author&gt;King, Janet&lt;/author&gt;&lt;author&gt;Rittenschober, Doris&lt;/author&gt;&lt;author&gt;Charrondière, U Ruth&lt;/author&gt;&lt;/authors&gt;&lt;/contributors&gt;&lt;titles&gt;&lt;title&gt;Development of the FAO/INFOODS/IZINCG global food composition database for phytate&lt;/title&gt;&lt;secondary-title&gt;Journal of Food Composition and Analysis&lt;/secondary-title&gt;&lt;/titles&gt;&lt;periodical&gt;&lt;full-title&gt;Journal of Food Composition and Analysis&lt;/full-title&gt;&lt;/periodical&gt;&lt;pages&gt;42-48&lt;/pages&gt;&lt;volume&gt;78&lt;/volume&gt;&lt;dates&gt;&lt;year&gt;2019&lt;/year&gt;&lt;/dates&gt;&lt;isbn&gt;0889-1575&lt;/isbn&gt;&lt;urls&gt;&lt;/urls&gt;&lt;/record&gt;&lt;/Cite&gt;&lt;/EndNote&gt;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Dahdouh</w:t>
        </w:r>
        <w:r>
          <w:rPr>
            <w:rFonts w:ascii="Times New Roman" w:hAnsi="Times New Roman" w:cs="Times New Roman"/>
            <w:i/>
            <w:sz w:val="24"/>
            <w:szCs w:val="24"/>
          </w:rPr>
          <w:t xml:space="preserve"> et al.</w:t>
        </w:r>
        <w:r>
          <w:rPr>
            <w:rFonts w:ascii="Times New Roman" w:hAnsi="Times New Roman" w:cs="Times New Roman"/>
            <w:sz w:val="24"/>
            <w:szCs w:val="24"/>
          </w:rPr>
          <w:t xml:space="preserve"> (2019)</w:t>
        </w:r>
        <w:r>
          <w:rPr>
            <w:rFonts w:ascii="Times New Roman" w:hAnsi="Times New Roman" w:cs="Times New Roman"/>
            <w:sz w:val="24"/>
            <w:szCs w:val="24"/>
          </w:rPr>
          <w:fldChar w:fldCharType="end"/>
        </w:r>
      </w:hyperlink>
      <w:r>
        <w:rPr>
          <w:rFonts w:ascii="Times New Roman" w:hAnsi="Times New Roman" w:cs="Times New Roman"/>
          <w:sz w:val="24"/>
          <w:szCs w:val="24"/>
        </w:rPr>
        <w:t xml:space="preserve"> was used, where 1 mL 0.05m KMnO</w:t>
      </w:r>
      <w:r>
        <w:rPr>
          <w:rFonts w:ascii="Times New Roman" w:hAnsi="Times New Roman" w:cs="Times New Roman"/>
          <w:sz w:val="24"/>
          <w:szCs w:val="24"/>
          <w:vertAlign w:val="subscript"/>
        </w:rPr>
        <w:t>4</w:t>
      </w:r>
      <w:r>
        <w:rPr>
          <w:rFonts w:ascii="Times New Roman" w:hAnsi="Times New Roman" w:cs="Times New Roman"/>
          <w:sz w:val="24"/>
          <w:szCs w:val="24"/>
        </w:rPr>
        <w:t xml:space="preserve"> was equated to 2.2mg oxalate.</w:t>
      </w:r>
    </w:p>
    <w:p w14:paraId="53FB742A" w14:textId="77777777" w:rsidR="00406B68" w:rsidRDefault="001162EA">
      <w:pPr>
        <w:autoSpaceDE w:val="0"/>
        <w:autoSpaceDN w:val="0"/>
        <w:adjustRightInd w:val="0"/>
        <w:spacing w:after="0" w:line="480" w:lineRule="auto"/>
        <w:jc w:val="both"/>
        <w:rPr>
          <w:rFonts w:ascii="Times New Roman" w:hAnsi="Times New Roman" w:cs="Times New Roman"/>
          <w:sz w:val="24"/>
          <w:szCs w:val="24"/>
        </w:rPr>
      </w:pPr>
      <w:proofErr w:type="spellStart"/>
      <w:r>
        <w:rPr>
          <w:rFonts w:ascii="Times New Roman" w:hAnsi="Times New Roman" w:cs="Times New Roman"/>
          <w:b/>
          <w:i/>
          <w:sz w:val="24"/>
          <w:szCs w:val="24"/>
        </w:rPr>
        <w:t>Colour</w:t>
      </w:r>
      <w:proofErr w:type="spellEnd"/>
      <w:r>
        <w:rPr>
          <w:rFonts w:ascii="Times New Roman" w:hAnsi="Times New Roman" w:cs="Times New Roman"/>
          <w:sz w:val="24"/>
          <w:szCs w:val="24"/>
        </w:rPr>
        <w:t>:</w:t>
      </w:r>
      <w:r>
        <w:rPr>
          <w:rFonts w:ascii="Times New Roman" w:hAnsi="Times New Roman" w:cs="Times New Roman"/>
          <w:i/>
          <w:sz w:val="24"/>
          <w:szCs w:val="24"/>
        </w:rPr>
        <w:t xml:space="preserve"> </w:t>
      </w:r>
      <w:proofErr w:type="spellStart"/>
      <w:r>
        <w:rPr>
          <w:rFonts w:ascii="Times New Roman" w:hAnsi="Times New Roman" w:cs="Times New Roman"/>
          <w:sz w:val="24"/>
          <w:szCs w:val="24"/>
        </w:rPr>
        <w:t>Colour</w:t>
      </w:r>
      <w:proofErr w:type="spellEnd"/>
      <w:r>
        <w:rPr>
          <w:rFonts w:ascii="Times New Roman" w:hAnsi="Times New Roman" w:cs="Times New Roman"/>
          <w:sz w:val="24"/>
          <w:szCs w:val="24"/>
        </w:rPr>
        <w:t xml:space="preserve"> values (L*, a*, b*) of samples were determined with Lab scan XE </w:t>
      </w:r>
      <w:proofErr w:type="spellStart"/>
      <w:r>
        <w:rPr>
          <w:rFonts w:ascii="Times New Roman" w:hAnsi="Times New Roman" w:cs="Times New Roman"/>
          <w:sz w:val="24"/>
          <w:szCs w:val="24"/>
        </w:rPr>
        <w:t>spectro</w:t>
      </w:r>
      <w:proofErr w:type="spellEnd"/>
      <w:r>
        <w:rPr>
          <w:rFonts w:ascii="Times New Roman" w:hAnsi="Times New Roman" w:cs="Times New Roman"/>
          <w:sz w:val="24"/>
          <w:szCs w:val="24"/>
        </w:rPr>
        <w:t>-colorimeter (Hunter Associate Laboratory Virginia, ModelLX16244).</w:t>
      </w:r>
    </w:p>
    <w:p w14:paraId="70A45190" w14:textId="77777777" w:rsidR="00406B68" w:rsidRDefault="001162EA">
      <w:p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b/>
          <w:i/>
          <w:sz w:val="24"/>
          <w:szCs w:val="24"/>
        </w:rPr>
        <w:lastRenderedPageBreak/>
        <w:t>Sensory evaluation of the Samples</w:t>
      </w:r>
      <w:r>
        <w:rPr>
          <w:rFonts w:ascii="Times New Roman" w:hAnsi="Times New Roman" w:cs="Times New Roman"/>
          <w:sz w:val="24"/>
          <w:szCs w:val="24"/>
        </w:rPr>
        <w:t>:</w:t>
      </w:r>
      <w:r>
        <w:rPr>
          <w:rFonts w:ascii="Times New Roman" w:hAnsi="Times New Roman" w:cs="Times New Roman"/>
          <w:i/>
          <w:sz w:val="24"/>
          <w:szCs w:val="24"/>
        </w:rPr>
        <w:t xml:space="preserve"> </w:t>
      </w:r>
      <w:r>
        <w:rPr>
          <w:rFonts w:ascii="Times New Roman" w:hAnsi="Times New Roman" w:cs="Times New Roman"/>
          <w:sz w:val="24"/>
          <w:szCs w:val="24"/>
        </w:rPr>
        <w:t>Samples were assessed by 35-man panelists familiar with pap by using A 9-point hedonic scale, with 9= extremely acceptable, and 1=</w:t>
      </w:r>
      <w:r>
        <w:rPr>
          <w:rFonts w:ascii="Times New Roman" w:hAnsi="Times New Roman" w:cs="Times New Roman"/>
          <w:b/>
          <w:sz w:val="24"/>
          <w:szCs w:val="24"/>
        </w:rPr>
        <w:t xml:space="preserve"> e</w:t>
      </w:r>
      <w:r>
        <w:rPr>
          <w:rFonts w:ascii="Times New Roman" w:hAnsi="Times New Roman" w:cs="Times New Roman"/>
          <w:sz w:val="24"/>
          <w:szCs w:val="24"/>
        </w:rPr>
        <w:t xml:space="preserve">xtremely unacceptable used to assess appearance, </w:t>
      </w:r>
      <w:proofErr w:type="spellStart"/>
      <w:r>
        <w:rPr>
          <w:rFonts w:ascii="Times New Roman" w:hAnsi="Times New Roman" w:cs="Times New Roman"/>
          <w:sz w:val="24"/>
          <w:szCs w:val="24"/>
        </w:rPr>
        <w:t>flavour</w:t>
      </w:r>
      <w:proofErr w:type="spellEnd"/>
      <w:r>
        <w:rPr>
          <w:rFonts w:ascii="Times New Roman" w:hAnsi="Times New Roman" w:cs="Times New Roman"/>
          <w:sz w:val="24"/>
          <w:szCs w:val="24"/>
        </w:rPr>
        <w:t xml:space="preserve">, taste and overall acceptability with data </w:t>
      </w:r>
      <w:proofErr w:type="spellStart"/>
      <w:r>
        <w:rPr>
          <w:rFonts w:ascii="Times New Roman" w:hAnsi="Times New Roman" w:cs="Times New Roman"/>
          <w:sz w:val="24"/>
          <w:szCs w:val="24"/>
        </w:rPr>
        <w:t>analysed</w:t>
      </w:r>
      <w:proofErr w:type="spellEnd"/>
      <w:r>
        <w:rPr>
          <w:rFonts w:ascii="Times New Roman" w:hAnsi="Times New Roman" w:cs="Times New Roman"/>
          <w:sz w:val="24"/>
          <w:szCs w:val="24"/>
        </w:rPr>
        <w:t xml:space="preserve"> with ANOVA.</w:t>
      </w:r>
    </w:p>
    <w:p w14:paraId="6AD9FE24" w14:textId="77777777" w:rsidR="00406B68" w:rsidRDefault="001162EA">
      <w:pPr>
        <w:autoSpaceDE w:val="0"/>
        <w:autoSpaceDN w:val="0"/>
        <w:adjustRightInd w:val="0"/>
        <w:spacing w:line="480" w:lineRule="auto"/>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Results and Discussion</w:t>
      </w:r>
    </w:p>
    <w:p w14:paraId="47F79C98" w14:textId="7A770838" w:rsidR="00406B68" w:rsidRDefault="001162EA">
      <w:pPr>
        <w:autoSpaceDE w:val="0"/>
        <w:autoSpaceDN w:val="0"/>
        <w:adjustRightInd w:val="0"/>
        <w:spacing w:line="480" w:lineRule="auto"/>
        <w:jc w:val="both"/>
        <w:rPr>
          <w:rFonts w:ascii="Times New Roman" w:eastAsiaTheme="minorEastAsia" w:hAnsi="Times New Roman" w:cs="Times New Roman"/>
          <w:sz w:val="24"/>
          <w:szCs w:val="24"/>
        </w:rPr>
      </w:pPr>
      <w:r>
        <w:rPr>
          <w:rFonts w:ascii="Times New Roman" w:eastAsiaTheme="minorEastAsia" w:hAnsi="Times New Roman" w:cs="Times New Roman"/>
          <w:b/>
          <w:i/>
          <w:sz w:val="24"/>
          <w:szCs w:val="24"/>
        </w:rPr>
        <w:t>Beta carotene contents of pap paste samples</w:t>
      </w:r>
      <w:r>
        <w:rPr>
          <w:rFonts w:ascii="Times New Roman" w:eastAsiaTheme="minorEastAsia" w:hAnsi="Times New Roman" w:cs="Times New Roman"/>
          <w:sz w:val="24"/>
          <w:szCs w:val="24"/>
        </w:rPr>
        <w:t>:</w:t>
      </w:r>
      <w:r>
        <w:rPr>
          <w:rFonts w:ascii="Times New Roman" w:eastAsiaTheme="minorEastAsia" w:hAnsi="Times New Roman" w:cs="Times New Roman"/>
          <w:i/>
          <w:sz w:val="24"/>
          <w:szCs w:val="24"/>
        </w:rPr>
        <w:t xml:space="preserve"> </w:t>
      </w:r>
      <w:r>
        <w:rPr>
          <w:rFonts w:ascii="Times New Roman" w:eastAsiaTheme="minorEastAsia" w:hAnsi="Times New Roman" w:cs="Times New Roman"/>
          <w:sz w:val="24"/>
          <w:szCs w:val="24"/>
        </w:rPr>
        <w:t xml:space="preserve">Raw bio-fortified maize sourced had 41.5µg/ml of beta carotene, which reduced slightly in the pap, perhaps due to leaching or heating effect, with nutrients discarded with water during processing. In Table 2, significant differences (p&lt;0.05) were noticed in the β-carotene content of the samples. It decreased with added tamarind pulp from 33.62±0.07 to 26.34±0.07 in the bio-fortified maize and tamarind, as against 35.98±0.07 recorded in the control, and different from </w:t>
      </w:r>
      <w:proofErr w:type="spellStart"/>
      <w:r>
        <w:rPr>
          <w:rFonts w:ascii="Times New Roman" w:eastAsiaTheme="minorEastAsia" w:hAnsi="Times New Roman" w:cs="Times New Roman"/>
          <w:sz w:val="24"/>
          <w:szCs w:val="24"/>
        </w:rPr>
        <w:t>moringa</w:t>
      </w:r>
      <w:proofErr w:type="spellEnd"/>
      <w:r>
        <w:rPr>
          <w:rFonts w:ascii="Times New Roman" w:eastAsiaTheme="minorEastAsia" w:hAnsi="Times New Roman" w:cs="Times New Roman"/>
          <w:sz w:val="24"/>
          <w:szCs w:val="24"/>
        </w:rPr>
        <w:t xml:space="preserve"> fortified maize-</w:t>
      </w:r>
      <w:proofErr w:type="spellStart"/>
      <w:r>
        <w:rPr>
          <w:rFonts w:ascii="Times New Roman" w:eastAsiaTheme="minorEastAsia" w:hAnsi="Times New Roman" w:cs="Times New Roman"/>
          <w:i/>
          <w:sz w:val="24"/>
          <w:szCs w:val="24"/>
        </w:rPr>
        <w:t>ogi</w:t>
      </w:r>
      <w:proofErr w:type="spellEnd"/>
      <w:r>
        <w:rPr>
          <w:rFonts w:ascii="Times New Roman" w:eastAsiaTheme="minorEastAsia" w:hAnsi="Times New Roman" w:cs="Times New Roman"/>
          <w:sz w:val="24"/>
          <w:szCs w:val="24"/>
        </w:rPr>
        <w:t xml:space="preserve"> by </w:t>
      </w:r>
      <w:proofErr w:type="spellStart"/>
      <w:r>
        <w:rPr>
          <w:rFonts w:ascii="Times New Roman" w:eastAsiaTheme="minorEastAsia" w:hAnsi="Times New Roman" w:cs="Times New Roman"/>
          <w:sz w:val="24"/>
          <w:szCs w:val="24"/>
        </w:rPr>
        <w:t>Abioye</w:t>
      </w:r>
      <w:proofErr w:type="spellEnd"/>
      <w:r>
        <w:rPr>
          <w:rFonts w:ascii="Times New Roman" w:eastAsiaTheme="minorEastAsia" w:hAnsi="Times New Roman" w:cs="Times New Roman"/>
          <w:sz w:val="24"/>
          <w:szCs w:val="24"/>
        </w:rPr>
        <w:t xml:space="preserve"> and Aka (2015),</w:t>
      </w:r>
      <w:r>
        <w:rPr>
          <w:rFonts w:ascii="Times New Roman" w:eastAsiaTheme="minorEastAsia" w:hAnsi="Times New Roman" w:cs="Times New Roman"/>
          <w:i/>
          <w:sz w:val="24"/>
          <w:szCs w:val="24"/>
        </w:rPr>
        <w:t xml:space="preserve"> </w:t>
      </w:r>
      <w:r>
        <w:rPr>
          <w:rFonts w:ascii="Times New Roman" w:eastAsiaTheme="minorEastAsia" w:hAnsi="Times New Roman" w:cs="Times New Roman"/>
          <w:sz w:val="24"/>
          <w:szCs w:val="24"/>
        </w:rPr>
        <w:t xml:space="preserve">having beta-carotene increased with </w:t>
      </w:r>
      <w:proofErr w:type="spellStart"/>
      <w:r>
        <w:rPr>
          <w:rFonts w:ascii="Times New Roman" w:eastAsiaTheme="minorEastAsia" w:hAnsi="Times New Roman" w:cs="Times New Roman"/>
          <w:sz w:val="24"/>
          <w:szCs w:val="24"/>
        </w:rPr>
        <w:t>moringa</w:t>
      </w:r>
      <w:proofErr w:type="spellEnd"/>
      <w:r>
        <w:rPr>
          <w:rFonts w:ascii="Times New Roman" w:eastAsiaTheme="minorEastAsia" w:hAnsi="Times New Roman" w:cs="Times New Roman"/>
          <w:sz w:val="24"/>
          <w:szCs w:val="24"/>
        </w:rPr>
        <w:t xml:space="preserve"> addition. Recorded results was however similar to that of </w:t>
      </w:r>
      <w:proofErr w:type="spellStart"/>
      <w:r>
        <w:rPr>
          <w:rFonts w:ascii="Times New Roman" w:eastAsiaTheme="minorEastAsia" w:hAnsi="Times New Roman" w:cs="Times New Roman"/>
          <w:sz w:val="24"/>
          <w:szCs w:val="24"/>
        </w:rPr>
        <w:t>Ukom</w:t>
      </w:r>
      <w:proofErr w:type="spellEnd"/>
      <w:r>
        <w:rPr>
          <w:rFonts w:ascii="Times New Roman" w:eastAsiaTheme="minorEastAsia" w:hAnsi="Times New Roman" w:cs="Times New Roman"/>
          <w:sz w:val="24"/>
          <w:szCs w:val="24"/>
        </w:rPr>
        <w:t xml:space="preserve"> </w:t>
      </w:r>
      <w:r>
        <w:rPr>
          <w:rFonts w:ascii="Times New Roman" w:eastAsiaTheme="minorEastAsia" w:hAnsi="Times New Roman" w:cs="Times New Roman"/>
          <w:i/>
          <w:sz w:val="24"/>
          <w:szCs w:val="24"/>
        </w:rPr>
        <w:t>et al.</w:t>
      </w:r>
      <w:r w:rsidR="00073441">
        <w:rPr>
          <w:rFonts w:ascii="Times New Roman" w:eastAsiaTheme="minorEastAsia" w:hAnsi="Times New Roman" w:cs="Times New Roman"/>
          <w:i/>
          <w:sz w:val="24"/>
          <w:szCs w:val="24"/>
        </w:rPr>
        <w:t>,</w:t>
      </w:r>
      <w:r>
        <w:rPr>
          <w:rFonts w:ascii="Times New Roman" w:eastAsiaTheme="minorEastAsia" w:hAnsi="Times New Roman" w:cs="Times New Roman"/>
          <w:i/>
          <w:sz w:val="24"/>
          <w:szCs w:val="24"/>
        </w:rPr>
        <w:t xml:space="preserve"> </w:t>
      </w:r>
      <w:r>
        <w:rPr>
          <w:rFonts w:ascii="Times New Roman" w:eastAsiaTheme="minorEastAsia" w:hAnsi="Times New Roman" w:cs="Times New Roman"/>
          <w:sz w:val="24"/>
          <w:szCs w:val="24"/>
        </w:rPr>
        <w:t>(2019) on yellow maize-</w:t>
      </w:r>
      <w:proofErr w:type="spellStart"/>
      <w:r>
        <w:rPr>
          <w:rFonts w:ascii="Times New Roman" w:eastAsiaTheme="minorEastAsia" w:hAnsi="Times New Roman" w:cs="Times New Roman"/>
          <w:i/>
          <w:sz w:val="24"/>
          <w:szCs w:val="24"/>
        </w:rPr>
        <w:t>ogi</w:t>
      </w:r>
      <w:proofErr w:type="spellEnd"/>
      <w:r>
        <w:rPr>
          <w:rFonts w:ascii="Times New Roman" w:eastAsiaTheme="minorEastAsia" w:hAnsi="Times New Roman" w:cs="Times New Roman"/>
          <w:sz w:val="24"/>
          <w:szCs w:val="24"/>
        </w:rPr>
        <w:t xml:space="preserve"> porridge enriched with orange-fleshed sweet potato and African yam bean, where β-carotene decreased with increased addition of African yam bean. According to Ortiz </w:t>
      </w:r>
      <w:r>
        <w:rPr>
          <w:rFonts w:ascii="Times New Roman" w:eastAsiaTheme="minorEastAsia" w:hAnsi="Times New Roman" w:cs="Times New Roman"/>
          <w:i/>
          <w:sz w:val="24"/>
          <w:szCs w:val="24"/>
        </w:rPr>
        <w:t>et al</w:t>
      </w:r>
      <w:r>
        <w:rPr>
          <w:rFonts w:ascii="Times New Roman" w:eastAsiaTheme="minorEastAsia" w:hAnsi="Times New Roman" w:cs="Times New Roman"/>
          <w:sz w:val="24"/>
          <w:szCs w:val="24"/>
        </w:rPr>
        <w:t xml:space="preserve">., </w:t>
      </w:r>
      <w:r w:rsidR="004D3A27">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2019</w:t>
      </w:r>
      <w:r w:rsidR="004D3A27">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light, oxygen, extremes of pH, or a combination of these, as well as anaerobic fermentation, degrade carotenoid. </w:t>
      </w:r>
    </w:p>
    <w:p w14:paraId="3004D628" w14:textId="77777777" w:rsidR="00406B68" w:rsidRDefault="001162EA">
      <w:pPr>
        <w:tabs>
          <w:tab w:val="left" w:pos="4770"/>
        </w:tabs>
        <w:autoSpaceDE w:val="0"/>
        <w:autoSpaceDN w:val="0"/>
        <w:adjustRightInd w:val="0"/>
        <w:spacing w:line="480" w:lineRule="auto"/>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Table 2:     Beta Carotene Content of Pap Paste Samples (µg/ml)</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5"/>
        <w:gridCol w:w="7375"/>
      </w:tblGrid>
      <w:tr w:rsidR="00406B68" w14:paraId="1BBA83F7" w14:textId="77777777">
        <w:tc>
          <w:tcPr>
            <w:tcW w:w="1975" w:type="dxa"/>
            <w:tcBorders>
              <w:top w:val="single" w:sz="4" w:space="0" w:color="auto"/>
              <w:bottom w:val="single" w:sz="4" w:space="0" w:color="auto"/>
            </w:tcBorders>
          </w:tcPr>
          <w:p w14:paraId="449893F9" w14:textId="77777777" w:rsidR="00406B68" w:rsidRDefault="001162EA">
            <w:pPr>
              <w:tabs>
                <w:tab w:val="left" w:pos="4770"/>
              </w:tabs>
              <w:autoSpaceDE w:val="0"/>
              <w:autoSpaceDN w:val="0"/>
              <w:adjustRightInd w:val="0"/>
              <w:spacing w:after="0" w:line="48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Samples </w:t>
            </w:r>
          </w:p>
        </w:tc>
        <w:tc>
          <w:tcPr>
            <w:tcW w:w="7375" w:type="dxa"/>
            <w:tcBorders>
              <w:top w:val="single" w:sz="4" w:space="0" w:color="auto"/>
              <w:bottom w:val="single" w:sz="4" w:space="0" w:color="auto"/>
            </w:tcBorders>
          </w:tcPr>
          <w:p w14:paraId="2C719053" w14:textId="77777777" w:rsidR="00406B68" w:rsidRDefault="001162EA">
            <w:pPr>
              <w:tabs>
                <w:tab w:val="left" w:pos="4770"/>
              </w:tabs>
              <w:autoSpaceDE w:val="0"/>
              <w:autoSpaceDN w:val="0"/>
              <w:adjustRightInd w:val="0"/>
              <w:spacing w:after="0" w:line="48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Beta carotene (µg/ml)</w:t>
            </w:r>
          </w:p>
        </w:tc>
      </w:tr>
      <w:tr w:rsidR="00406B68" w14:paraId="33D691F3" w14:textId="77777777">
        <w:tc>
          <w:tcPr>
            <w:tcW w:w="1975" w:type="dxa"/>
          </w:tcPr>
          <w:p w14:paraId="5D655CF7"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w:t>
            </w:r>
          </w:p>
        </w:tc>
        <w:tc>
          <w:tcPr>
            <w:tcW w:w="7375" w:type="dxa"/>
          </w:tcPr>
          <w:p w14:paraId="14AC5F74"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35.98±0.07</w:t>
            </w:r>
            <w:r>
              <w:rPr>
                <w:rFonts w:ascii="Times New Roman" w:hAnsi="Times New Roman" w:cs="Times New Roman"/>
                <w:sz w:val="24"/>
                <w:szCs w:val="24"/>
                <w:vertAlign w:val="superscript"/>
              </w:rPr>
              <w:t>a</w:t>
            </w:r>
          </w:p>
        </w:tc>
      </w:tr>
      <w:tr w:rsidR="00406B68" w14:paraId="0D4BC4A5" w14:textId="77777777">
        <w:tc>
          <w:tcPr>
            <w:tcW w:w="1975" w:type="dxa"/>
          </w:tcPr>
          <w:p w14:paraId="49A9E294"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B</w:t>
            </w:r>
          </w:p>
        </w:tc>
        <w:tc>
          <w:tcPr>
            <w:tcW w:w="7375" w:type="dxa"/>
          </w:tcPr>
          <w:p w14:paraId="156636AA"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33.62±0.07</w:t>
            </w:r>
            <w:r>
              <w:rPr>
                <w:rFonts w:ascii="Times New Roman" w:hAnsi="Times New Roman" w:cs="Times New Roman"/>
                <w:sz w:val="24"/>
                <w:szCs w:val="24"/>
                <w:vertAlign w:val="superscript"/>
              </w:rPr>
              <w:t>b</w:t>
            </w:r>
          </w:p>
        </w:tc>
      </w:tr>
      <w:tr w:rsidR="00406B68" w14:paraId="7FA781ED" w14:textId="77777777">
        <w:tc>
          <w:tcPr>
            <w:tcW w:w="1975" w:type="dxa"/>
          </w:tcPr>
          <w:p w14:paraId="2EC399DA"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w:t>
            </w:r>
          </w:p>
        </w:tc>
        <w:tc>
          <w:tcPr>
            <w:tcW w:w="7375" w:type="dxa"/>
          </w:tcPr>
          <w:p w14:paraId="20F2049B"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34.53±0.07</w:t>
            </w:r>
            <w:r>
              <w:rPr>
                <w:rFonts w:ascii="Times New Roman" w:hAnsi="Times New Roman" w:cs="Times New Roman"/>
                <w:sz w:val="24"/>
                <w:szCs w:val="24"/>
                <w:vertAlign w:val="superscript"/>
              </w:rPr>
              <w:t>b</w:t>
            </w:r>
          </w:p>
        </w:tc>
      </w:tr>
      <w:tr w:rsidR="00406B68" w14:paraId="24677363" w14:textId="77777777">
        <w:tc>
          <w:tcPr>
            <w:tcW w:w="1975" w:type="dxa"/>
          </w:tcPr>
          <w:p w14:paraId="58305636"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w:t>
            </w:r>
          </w:p>
        </w:tc>
        <w:tc>
          <w:tcPr>
            <w:tcW w:w="7375" w:type="dxa"/>
          </w:tcPr>
          <w:p w14:paraId="51682BDC"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28.02±0.07</w:t>
            </w:r>
            <w:r>
              <w:rPr>
                <w:rFonts w:ascii="Times New Roman" w:hAnsi="Times New Roman" w:cs="Times New Roman"/>
                <w:sz w:val="24"/>
                <w:szCs w:val="24"/>
                <w:vertAlign w:val="superscript"/>
              </w:rPr>
              <w:t>d</w:t>
            </w:r>
          </w:p>
        </w:tc>
      </w:tr>
      <w:tr w:rsidR="00406B68" w14:paraId="6472BE81" w14:textId="77777777">
        <w:tc>
          <w:tcPr>
            <w:tcW w:w="1975" w:type="dxa"/>
          </w:tcPr>
          <w:p w14:paraId="2FC255FD"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E</w:t>
            </w:r>
          </w:p>
        </w:tc>
        <w:tc>
          <w:tcPr>
            <w:tcW w:w="7375" w:type="dxa"/>
          </w:tcPr>
          <w:p w14:paraId="4D698727"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31.92±0.07</w:t>
            </w:r>
            <w:r>
              <w:rPr>
                <w:rFonts w:ascii="Times New Roman" w:hAnsi="Times New Roman" w:cs="Times New Roman"/>
                <w:sz w:val="24"/>
                <w:szCs w:val="24"/>
                <w:vertAlign w:val="superscript"/>
              </w:rPr>
              <w:t>c</w:t>
            </w:r>
          </w:p>
        </w:tc>
      </w:tr>
      <w:tr w:rsidR="00406B68" w14:paraId="12B0C0B3" w14:textId="77777777">
        <w:tc>
          <w:tcPr>
            <w:tcW w:w="1975" w:type="dxa"/>
          </w:tcPr>
          <w:p w14:paraId="210344D0"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w:t>
            </w:r>
          </w:p>
        </w:tc>
        <w:tc>
          <w:tcPr>
            <w:tcW w:w="7375" w:type="dxa"/>
          </w:tcPr>
          <w:p w14:paraId="1573B343"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26.79±0.07</w:t>
            </w:r>
            <w:r>
              <w:rPr>
                <w:rFonts w:ascii="Times New Roman" w:hAnsi="Times New Roman" w:cs="Times New Roman"/>
                <w:sz w:val="24"/>
                <w:szCs w:val="24"/>
                <w:vertAlign w:val="superscript"/>
              </w:rPr>
              <w:t>d</w:t>
            </w:r>
          </w:p>
        </w:tc>
      </w:tr>
      <w:tr w:rsidR="00406B68" w14:paraId="1C422088" w14:textId="77777777">
        <w:tc>
          <w:tcPr>
            <w:tcW w:w="1975" w:type="dxa"/>
          </w:tcPr>
          <w:p w14:paraId="21DD3EB6"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G</w:t>
            </w:r>
          </w:p>
        </w:tc>
        <w:tc>
          <w:tcPr>
            <w:tcW w:w="7375" w:type="dxa"/>
          </w:tcPr>
          <w:p w14:paraId="3FBBA1FC"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26.34±0.07</w:t>
            </w:r>
            <w:r>
              <w:rPr>
                <w:rFonts w:ascii="Times New Roman" w:hAnsi="Times New Roman" w:cs="Times New Roman"/>
                <w:sz w:val="24"/>
                <w:szCs w:val="24"/>
                <w:vertAlign w:val="superscript"/>
              </w:rPr>
              <w:t>e</w:t>
            </w:r>
          </w:p>
        </w:tc>
      </w:tr>
    </w:tbl>
    <w:p w14:paraId="2FE6CF09" w14:textId="77777777" w:rsidR="00406B68" w:rsidRDefault="001162EA">
      <w:pPr>
        <w:tabs>
          <w:tab w:val="left" w:pos="4770"/>
        </w:tabs>
        <w:autoSpaceDE w:val="0"/>
        <w:autoSpaceDN w:val="0"/>
        <w:adjustRightInd w:val="0"/>
        <w:spacing w:line="480" w:lineRule="auto"/>
        <w:jc w:val="both"/>
        <w:rPr>
          <w:rFonts w:ascii="Times New Roman" w:eastAsiaTheme="minorEastAsia" w:hAnsi="Times New Roman" w:cs="Times New Roman"/>
          <w:sz w:val="20"/>
          <w:szCs w:val="24"/>
        </w:rPr>
      </w:pPr>
      <w:r>
        <w:rPr>
          <w:rFonts w:ascii="Times New Roman" w:eastAsiaTheme="minorEastAsia" w:hAnsi="Times New Roman" w:cs="Times New Roman"/>
          <w:sz w:val="20"/>
          <w:szCs w:val="24"/>
        </w:rPr>
        <w:t>Values in the same column with different superscript are significantly different (P˂0.05)</w:t>
      </w:r>
    </w:p>
    <w:p w14:paraId="44A146A4" w14:textId="77777777" w:rsidR="00406B68" w:rsidRDefault="001162EA">
      <w:pPr>
        <w:tabs>
          <w:tab w:val="left" w:pos="4770"/>
        </w:tabs>
        <w:autoSpaceDE w:val="0"/>
        <w:autoSpaceDN w:val="0"/>
        <w:adjustRightInd w:val="0"/>
        <w:spacing w:line="480" w:lineRule="auto"/>
        <w:jc w:val="both"/>
        <w:rPr>
          <w:rFonts w:ascii="Times New Roman" w:eastAsiaTheme="minorEastAsia" w:hAnsi="Times New Roman" w:cs="Times New Roman"/>
          <w:sz w:val="20"/>
          <w:szCs w:val="24"/>
        </w:rPr>
      </w:pPr>
      <w:r>
        <w:rPr>
          <w:rFonts w:ascii="Times New Roman" w:eastAsiaTheme="minorEastAsia" w:hAnsi="Times New Roman" w:cs="Times New Roman"/>
          <w:sz w:val="20"/>
          <w:szCs w:val="24"/>
        </w:rPr>
        <w:lastRenderedPageBreak/>
        <w:t xml:space="preserve">A= 100%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pap paste; B= 95%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5% Tamarind pap paste.</w:t>
      </w:r>
    </w:p>
    <w:p w14:paraId="7A1FC828" w14:textId="77777777" w:rsidR="00406B68" w:rsidRDefault="001162EA">
      <w:pPr>
        <w:tabs>
          <w:tab w:val="left" w:pos="4770"/>
        </w:tabs>
        <w:autoSpaceDE w:val="0"/>
        <w:autoSpaceDN w:val="0"/>
        <w:adjustRightInd w:val="0"/>
        <w:spacing w:line="480" w:lineRule="auto"/>
        <w:jc w:val="both"/>
        <w:rPr>
          <w:rFonts w:ascii="Times New Roman" w:eastAsiaTheme="minorEastAsia" w:hAnsi="Times New Roman" w:cs="Times New Roman"/>
          <w:sz w:val="20"/>
          <w:szCs w:val="24"/>
        </w:rPr>
      </w:pPr>
      <w:r>
        <w:rPr>
          <w:rFonts w:ascii="Times New Roman" w:eastAsiaTheme="minorEastAsia" w:hAnsi="Times New Roman" w:cs="Times New Roman"/>
          <w:sz w:val="20"/>
          <w:szCs w:val="24"/>
        </w:rPr>
        <w:t xml:space="preserve">C= 90%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10% Tamarind pap paste; D= 85%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15% Tamarind pap paste; E= 80%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20% Tamarind pap paste; F=75% </w:t>
      </w:r>
      <w:proofErr w:type="spellStart"/>
      <w:r>
        <w:rPr>
          <w:rFonts w:ascii="Times New Roman" w:eastAsiaTheme="minorEastAsia" w:hAnsi="Times New Roman" w:cs="Times New Roman"/>
          <w:sz w:val="20"/>
          <w:szCs w:val="24"/>
        </w:rPr>
        <w:t>Biofortifies</w:t>
      </w:r>
      <w:proofErr w:type="spellEnd"/>
      <w:r>
        <w:rPr>
          <w:rFonts w:ascii="Times New Roman" w:eastAsiaTheme="minorEastAsia" w:hAnsi="Times New Roman" w:cs="Times New Roman"/>
          <w:sz w:val="20"/>
          <w:szCs w:val="24"/>
        </w:rPr>
        <w:t xml:space="preserve"> maize, 25%Tamarind pap paste; G=70%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30% Tamarind pap paste.</w:t>
      </w:r>
    </w:p>
    <w:p w14:paraId="304EAAC8"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rPr>
      </w:pPr>
      <w:r>
        <w:rPr>
          <w:rFonts w:ascii="Times New Roman" w:eastAsiaTheme="minorEastAsia" w:hAnsi="Times New Roman" w:cs="Times New Roman"/>
          <w:b/>
          <w:i/>
          <w:sz w:val="24"/>
          <w:szCs w:val="24"/>
        </w:rPr>
        <w:t>Proximate Composition of Pap Paste Samples</w:t>
      </w:r>
      <w:r>
        <w:rPr>
          <w:rFonts w:ascii="Times New Roman" w:eastAsiaTheme="minorEastAsia" w:hAnsi="Times New Roman" w:cs="Times New Roman"/>
          <w:sz w:val="24"/>
          <w:szCs w:val="24"/>
        </w:rPr>
        <w:t>:</w:t>
      </w:r>
      <w:r>
        <w:rPr>
          <w:rFonts w:ascii="Times New Roman" w:eastAsiaTheme="minorEastAsia" w:hAnsi="Times New Roman" w:cs="Times New Roman"/>
          <w:i/>
          <w:sz w:val="24"/>
          <w:szCs w:val="24"/>
        </w:rPr>
        <w:t xml:space="preserve"> </w:t>
      </w:r>
      <w:r>
        <w:rPr>
          <w:rFonts w:ascii="Times New Roman" w:eastAsiaTheme="minorEastAsia" w:hAnsi="Times New Roman" w:cs="Times New Roman"/>
          <w:sz w:val="24"/>
          <w:szCs w:val="24"/>
        </w:rPr>
        <w:t>In Table 3, the control was different from sample G, and both were significant to others</w:t>
      </w:r>
      <w:r>
        <w:rPr>
          <w:rFonts w:ascii="Times New Roman" w:eastAsia="Calibri" w:hAnsi="Times New Roman" w:cs="Times New Roman"/>
          <w:sz w:val="24"/>
          <w:szCs w:val="24"/>
        </w:rPr>
        <w:t xml:space="preserve">. Moisture content, an index of water activity of foods </w:t>
      </w:r>
      <w:r>
        <w:rPr>
          <w:rFonts w:ascii="Times New Roman" w:eastAsia="Calibri" w:hAnsi="Times New Roman" w:cs="Times New Roman"/>
          <w:sz w:val="24"/>
          <w:szCs w:val="24"/>
        </w:rPr>
        <w:fldChar w:fldCharType="begin"/>
      </w:r>
      <w:r>
        <w:rPr>
          <w:rFonts w:ascii="Times New Roman" w:eastAsia="Calibri" w:hAnsi="Times New Roman" w:cs="Times New Roman"/>
          <w:sz w:val="24"/>
          <w:szCs w:val="24"/>
        </w:rPr>
        <w:instrText xml:space="preserve"> ADDIN EN.CITE &lt;EndNote&gt;&lt;Cite&gt;&lt;Author&gt;Asouzu&lt;/Author&gt;&lt;Year&gt;2020&lt;/Year&gt;&lt;RecNum&gt;100&lt;/RecNum&gt;&lt;DisplayText&gt;(Asouzu and Umerah, 2020)&lt;/DisplayText&gt;&lt;record&gt;&lt;rec-number&gt;100&lt;/rec-number&gt;&lt;foreign-keys&gt;&lt;key app="EN" db-id="tz9rpzspgx2teie0pzs5w5a7v2exvttzvvdr"&gt;100&lt;/key&gt;&lt;/foreign-keys&gt;&lt;ref-type name="Journal Article"&gt;17&lt;/ref-type&gt;&lt;contributors&gt;&lt;authors&gt;&lt;author&gt;Asouzu, AI&lt;/author&gt;&lt;author&gt;Umerah, NN&lt;/author&gt;&lt;/authors&gt;&lt;/contributors&gt;&lt;titles&gt;&lt;title&gt;Rheology and acceptance of pap (Zea mays) enriched with Jatropha carcus Leaves to improve iron status in children&lt;/title&gt;&lt;secondary-title&gt;Asian Journal of Biochemistry, Genetics and Molecular Biology&lt;/secondary-title&gt;&lt;/titles&gt;&lt;periodical&gt;&lt;full-title&gt;Asian Journal of Biochemistry, Genetics and Molecular Biology&lt;/full-title&gt;&lt;/periodical&gt;&lt;pages&gt;22-34&lt;/pages&gt;&lt;dates&gt;&lt;year&gt;2020&lt;/year&gt;&lt;/dates&gt;&lt;isbn&gt;2582-3698&lt;/isbn&gt;&lt;urls&gt;&lt;/urls&gt;&lt;/record&gt;&lt;/Cite&gt;&lt;/EndNote&gt;</w:instrText>
      </w:r>
      <w:r>
        <w:rPr>
          <w:rFonts w:ascii="Times New Roman" w:eastAsia="Calibri" w:hAnsi="Times New Roman" w:cs="Times New Roman"/>
          <w:sz w:val="24"/>
          <w:szCs w:val="24"/>
        </w:rPr>
        <w:fldChar w:fldCharType="separate"/>
      </w:r>
      <w:r>
        <w:rPr>
          <w:rFonts w:ascii="Times New Roman" w:eastAsia="Calibri" w:hAnsi="Times New Roman" w:cs="Times New Roman"/>
          <w:sz w:val="24"/>
          <w:szCs w:val="24"/>
        </w:rPr>
        <w:t>(</w:t>
      </w:r>
      <w:hyperlink w:anchor="_ENREF_9" w:tooltip="Asouzu, 2020 #100" w:history="1">
        <w:r>
          <w:rPr>
            <w:rFonts w:ascii="Times New Roman" w:eastAsia="Calibri" w:hAnsi="Times New Roman" w:cs="Times New Roman"/>
            <w:sz w:val="24"/>
            <w:szCs w:val="24"/>
          </w:rPr>
          <w:t>Asouzu and Umerah, 2020</w:t>
        </w:r>
      </w:hyperlink>
      <w:r>
        <w:rPr>
          <w:rFonts w:ascii="Times New Roman" w:eastAsia="Calibri" w:hAnsi="Times New Roman" w:cs="Times New Roman"/>
          <w:sz w:val="24"/>
          <w:szCs w:val="24"/>
        </w:rPr>
        <w:t>)</w:t>
      </w:r>
      <w:r>
        <w:rPr>
          <w:rFonts w:ascii="Times New Roman" w:eastAsia="Calibri" w:hAnsi="Times New Roman" w:cs="Times New Roman"/>
          <w:sz w:val="24"/>
          <w:szCs w:val="24"/>
        </w:rPr>
        <w:fldChar w:fldCharType="end"/>
      </w:r>
      <w:r>
        <w:rPr>
          <w:rFonts w:ascii="Times New Roman" w:eastAsia="Calibri" w:hAnsi="Times New Roman" w:cs="Times New Roman"/>
          <w:sz w:val="24"/>
          <w:szCs w:val="24"/>
        </w:rPr>
        <w:t>, was &lt;82%. Moisture variation may be due to processing method, quantity of water retained (</w:t>
      </w:r>
      <w:proofErr w:type="spellStart"/>
      <w:r w:rsidR="00FD7E7D">
        <w:fldChar w:fldCharType="begin"/>
      </w:r>
      <w:r w:rsidR="00FD7E7D">
        <w:instrText xml:space="preserve"> HYPERLINK \l "_ENREF_7" \o "Asouzu, 2020 #100" </w:instrText>
      </w:r>
      <w:r w:rsidR="00FD7E7D">
        <w:fldChar w:fldCharType="separate"/>
      </w:r>
      <w:r>
        <w:rPr>
          <w:rFonts w:ascii="Times New Roman" w:eastAsia="Calibri" w:hAnsi="Times New Roman" w:cs="Times New Roman"/>
          <w:sz w:val="24"/>
          <w:szCs w:val="24"/>
        </w:rPr>
        <w:t>Asouzu</w:t>
      </w:r>
      <w:proofErr w:type="spellEnd"/>
      <w:r>
        <w:rPr>
          <w:rFonts w:ascii="Times New Roman" w:eastAsia="Calibri" w:hAnsi="Times New Roman" w:cs="Times New Roman"/>
          <w:sz w:val="24"/>
          <w:szCs w:val="24"/>
        </w:rPr>
        <w:t xml:space="preserve"> and </w:t>
      </w:r>
      <w:proofErr w:type="spellStart"/>
      <w:r>
        <w:rPr>
          <w:rFonts w:ascii="Times New Roman" w:eastAsia="Calibri" w:hAnsi="Times New Roman" w:cs="Times New Roman"/>
          <w:sz w:val="24"/>
          <w:szCs w:val="24"/>
        </w:rPr>
        <w:t>Umerah</w:t>
      </w:r>
      <w:proofErr w:type="spellEnd"/>
      <w:r>
        <w:rPr>
          <w:rFonts w:ascii="Times New Roman" w:eastAsia="Calibri" w:hAnsi="Times New Roman" w:cs="Times New Roman"/>
          <w:sz w:val="24"/>
          <w:szCs w:val="24"/>
        </w:rPr>
        <w:t>, 2020</w:t>
      </w:r>
      <w:r w:rsidR="00FD7E7D">
        <w:rPr>
          <w:rFonts w:ascii="Times New Roman" w:eastAsia="Calibri" w:hAnsi="Times New Roman" w:cs="Times New Roman"/>
          <w:sz w:val="24"/>
          <w:szCs w:val="24"/>
        </w:rPr>
        <w:fldChar w:fldCharType="end"/>
      </w:r>
      <w:r>
        <w:rPr>
          <w:rFonts w:ascii="Times New Roman" w:eastAsia="Calibri" w:hAnsi="Times New Roman" w:cs="Times New Roman"/>
          <w:sz w:val="24"/>
          <w:szCs w:val="24"/>
        </w:rPr>
        <w:t xml:space="preserve">), and added tamarind. The tamarind could have been soaked in water before milling. Crude protein of treated samples were significant (p&lt;0.05) with values of </w:t>
      </w:r>
      <w:r>
        <w:rPr>
          <w:rFonts w:ascii="Times New Roman" w:hAnsi="Times New Roman" w:cs="Times New Roman"/>
          <w:sz w:val="24"/>
          <w:szCs w:val="24"/>
        </w:rPr>
        <w:t xml:space="preserve">10.24±0.07% to 9.74±0.07%; the </w:t>
      </w:r>
      <w:r>
        <w:rPr>
          <w:rFonts w:ascii="Times New Roman" w:eastAsia="Calibri" w:hAnsi="Times New Roman" w:cs="Times New Roman"/>
          <w:sz w:val="24"/>
          <w:szCs w:val="24"/>
        </w:rPr>
        <w:t>control had the highest value</w:t>
      </w:r>
      <w:r>
        <w:rPr>
          <w:rFonts w:ascii="Times New Roman" w:hAnsi="Times New Roman" w:cs="Times New Roman"/>
          <w:sz w:val="24"/>
          <w:szCs w:val="24"/>
        </w:rPr>
        <w:t xml:space="preserve"> not significant to samples B and C, but significant to others. Germ removal and processing steps could have influenced the loss</w:t>
      </w:r>
      <w:r>
        <w:rPr>
          <w:rFonts w:ascii="Times New Roman" w:eastAsia="Calibri" w:hAnsi="Times New Roman" w:cs="Times New Roman"/>
          <w:sz w:val="24"/>
          <w:szCs w:val="24"/>
        </w:rPr>
        <w:t xml:space="preserve">, though </w:t>
      </w:r>
      <w:proofErr w:type="spellStart"/>
      <w:r>
        <w:rPr>
          <w:rFonts w:ascii="Times New Roman" w:eastAsia="Calibri" w:hAnsi="Times New Roman" w:cs="Times New Roman"/>
          <w:sz w:val="24"/>
          <w:szCs w:val="24"/>
        </w:rPr>
        <w:t>Abioye</w:t>
      </w:r>
      <w:proofErr w:type="spellEnd"/>
      <w:r>
        <w:rPr>
          <w:rFonts w:ascii="Times New Roman" w:eastAsia="Calibri" w:hAnsi="Times New Roman" w:cs="Times New Roman"/>
          <w:sz w:val="24"/>
          <w:szCs w:val="24"/>
        </w:rPr>
        <w:t xml:space="preserve"> and </w:t>
      </w:r>
      <w:proofErr w:type="gramStart"/>
      <w:r>
        <w:rPr>
          <w:rFonts w:ascii="Times New Roman" w:eastAsia="Calibri" w:hAnsi="Times New Roman" w:cs="Times New Roman"/>
          <w:sz w:val="24"/>
          <w:szCs w:val="24"/>
        </w:rPr>
        <w:t>Aka</w:t>
      </w:r>
      <w:proofErr w:type="gramEnd"/>
      <w:r>
        <w:rPr>
          <w:rFonts w:ascii="Times New Roman" w:eastAsia="Calibri" w:hAnsi="Times New Roman" w:cs="Times New Roman"/>
          <w:sz w:val="24"/>
          <w:szCs w:val="24"/>
        </w:rPr>
        <w:t xml:space="preserve"> (2015) reported increased value in </w:t>
      </w:r>
      <w:proofErr w:type="spellStart"/>
      <w:r>
        <w:rPr>
          <w:rFonts w:ascii="Times New Roman" w:eastAsia="Calibri" w:hAnsi="Times New Roman" w:cs="Times New Roman"/>
          <w:i/>
          <w:sz w:val="24"/>
          <w:szCs w:val="24"/>
        </w:rPr>
        <w:t>ogi</w:t>
      </w:r>
      <w:proofErr w:type="spellEnd"/>
      <w:r>
        <w:rPr>
          <w:rFonts w:ascii="Times New Roman" w:eastAsia="Calibri" w:hAnsi="Times New Roman" w:cs="Times New Roman"/>
          <w:sz w:val="24"/>
          <w:szCs w:val="24"/>
        </w:rPr>
        <w:t xml:space="preserve"> fortified with </w:t>
      </w:r>
      <w:proofErr w:type="spellStart"/>
      <w:r>
        <w:rPr>
          <w:rFonts w:ascii="Times New Roman" w:eastAsia="Calibri" w:hAnsi="Times New Roman" w:cs="Times New Roman"/>
          <w:sz w:val="24"/>
          <w:szCs w:val="24"/>
        </w:rPr>
        <w:t>moringa</w:t>
      </w:r>
      <w:proofErr w:type="spellEnd"/>
      <w:r>
        <w:rPr>
          <w:rFonts w:ascii="Times New Roman" w:eastAsia="Calibri" w:hAnsi="Times New Roman" w:cs="Times New Roman"/>
          <w:sz w:val="24"/>
          <w:szCs w:val="24"/>
        </w:rPr>
        <w:t xml:space="preserve"> leaf.  </w:t>
      </w:r>
    </w:p>
    <w:p w14:paraId="54FA850F"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Fat content of the samples was significant to the control by increasing with tamarind addition, however, </w:t>
      </w:r>
      <w:hyperlink w:anchor="_ENREF_62" w:tooltip="Ukom, 2019 #95" w:history="1">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AuthorYear="1"&gt;&lt;Author&gt;Ukom&lt;/Author&gt;&lt;Year&gt;2019&lt;/Year&gt;&lt;RecNum&gt;95&lt;/RecNum&gt;&lt;DisplayText&gt;Ukom&lt;style face="italic"&gt; et al.&lt;/style&gt; (2019)&lt;/DisplayText&gt;&lt;record&gt;&lt;rec-number&gt;95&lt;/rec-number&gt;&lt;foreign-keys&gt;&lt;key app="EN" db-id="tz9rpzspgx2teie0pzs5w5a7v2exvttzvvdr"&gt;95&lt;/key&gt;&lt;/foreign-keys&gt;&lt;ref-type name="Journal Article"&gt;17&lt;/ref-type&gt;&lt;contributors&gt;&lt;authors&gt;&lt;author&gt;Ukom, AN&lt;/author&gt;&lt;author&gt;Adiegwu, EC&lt;/author&gt;&lt;author&gt;Ojimelukwe, PC&lt;/author&gt;&lt;author&gt;Okwunodulu, IN&lt;/author&gt;&lt;/authors&gt;&lt;/contributors&gt;&lt;titles&gt;&lt;title&gt;Quality and sensory acceptability of yellow maize ogi porridge enriched with orange-fleshed sweet potato and African yam bean seed flours for infants&lt;/title&gt;&lt;secondary-title&gt;Scientific African&lt;/secondary-title&gt;&lt;/titles&gt;&lt;periodical&gt;&lt;full-title&gt;Scientific African&lt;/full-title&gt;&lt;/periodical&gt;&lt;pages&gt;e00194&lt;/pages&gt;&lt;volume&gt;6&lt;/volume&gt;&lt;dates&gt;&lt;year&gt;2019&lt;/year&gt;&lt;/dates&gt;&lt;isbn&gt;2468-2276&lt;/isbn&gt;&lt;urls&gt;&lt;/urls&gt;&lt;/record&gt;&lt;/Cite&gt;&lt;/EndNote&gt;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Ukom</w:t>
        </w:r>
        <w:r>
          <w:rPr>
            <w:rFonts w:ascii="Times New Roman" w:hAnsi="Times New Roman" w:cs="Times New Roman"/>
            <w:i/>
            <w:sz w:val="24"/>
            <w:szCs w:val="24"/>
          </w:rPr>
          <w:t xml:space="preserve"> et al.</w:t>
        </w:r>
        <w:r>
          <w:rPr>
            <w:rFonts w:ascii="Times New Roman" w:hAnsi="Times New Roman" w:cs="Times New Roman"/>
            <w:sz w:val="24"/>
            <w:szCs w:val="24"/>
          </w:rPr>
          <w:t xml:space="preserve"> (2019)</w:t>
        </w:r>
        <w:r>
          <w:rPr>
            <w:rFonts w:ascii="Times New Roman" w:hAnsi="Times New Roman" w:cs="Times New Roman"/>
            <w:sz w:val="24"/>
            <w:szCs w:val="24"/>
          </w:rPr>
          <w:fldChar w:fldCharType="end"/>
        </w:r>
      </w:hyperlink>
      <w:r>
        <w:rPr>
          <w:rFonts w:ascii="Times New Roman" w:hAnsi="Times New Roman" w:cs="Times New Roman"/>
          <w:sz w:val="24"/>
          <w:szCs w:val="24"/>
        </w:rPr>
        <w:t>, opined that the increase may have resulted from the fermentation process. C</w:t>
      </w:r>
      <w:r>
        <w:rPr>
          <w:rFonts w:ascii="Times New Roman" w:eastAsia="Calibri" w:hAnsi="Times New Roman" w:cs="Times New Roman"/>
          <w:sz w:val="24"/>
          <w:szCs w:val="24"/>
        </w:rPr>
        <w:t xml:space="preserve">rude </w:t>
      </w:r>
      <w:proofErr w:type="spellStart"/>
      <w:r>
        <w:rPr>
          <w:rFonts w:ascii="Times New Roman" w:eastAsia="Calibri" w:hAnsi="Times New Roman" w:cs="Times New Roman"/>
          <w:sz w:val="24"/>
          <w:szCs w:val="24"/>
        </w:rPr>
        <w:t>fibre</w:t>
      </w:r>
      <w:proofErr w:type="spellEnd"/>
      <w:r>
        <w:rPr>
          <w:rFonts w:ascii="Times New Roman" w:eastAsia="Calibri" w:hAnsi="Times New Roman" w:cs="Times New Roman"/>
          <w:sz w:val="24"/>
          <w:szCs w:val="24"/>
        </w:rPr>
        <w:t xml:space="preserve"> of treated samples was not significantly different (p&lt;0.05) from one another, but was significant to the control. The control had crude </w:t>
      </w:r>
      <w:proofErr w:type="spellStart"/>
      <w:r>
        <w:rPr>
          <w:rFonts w:ascii="Times New Roman" w:eastAsia="Calibri" w:hAnsi="Times New Roman" w:cs="Times New Roman"/>
          <w:sz w:val="24"/>
          <w:szCs w:val="24"/>
        </w:rPr>
        <w:t>fibre</w:t>
      </w:r>
      <w:proofErr w:type="spellEnd"/>
      <w:r>
        <w:rPr>
          <w:rFonts w:ascii="Times New Roman" w:eastAsia="Calibri" w:hAnsi="Times New Roman" w:cs="Times New Roman"/>
          <w:sz w:val="24"/>
          <w:szCs w:val="24"/>
        </w:rPr>
        <w:t xml:space="preserve"> content of </w:t>
      </w:r>
      <w:r>
        <w:rPr>
          <w:rFonts w:ascii="Times New Roman" w:hAnsi="Times New Roman" w:cs="Times New Roman"/>
          <w:sz w:val="24"/>
          <w:szCs w:val="24"/>
        </w:rPr>
        <w:t>0.61±0.07%,</w:t>
      </w:r>
      <w:r>
        <w:rPr>
          <w:rFonts w:ascii="Times New Roman" w:eastAsia="Calibri" w:hAnsi="Times New Roman" w:cs="Times New Roman"/>
          <w:sz w:val="24"/>
          <w:szCs w:val="24"/>
        </w:rPr>
        <w:t xml:space="preserve"> while others ranged from 0.84±0.07% to 1.02±0.07%. Sieving process may have contributed to the low content, though </w:t>
      </w:r>
      <w:hyperlink w:anchor="_ENREF_21" w:tooltip="Farinde, 2015 #89" w:history="1">
        <w:r>
          <w:rPr>
            <w:rFonts w:ascii="Times New Roman" w:eastAsia="Calibri" w:hAnsi="Times New Roman" w:cs="Times New Roman"/>
            <w:sz w:val="24"/>
            <w:szCs w:val="24"/>
          </w:rPr>
          <w:fldChar w:fldCharType="begin"/>
        </w:r>
        <w:r>
          <w:rPr>
            <w:rFonts w:ascii="Times New Roman" w:eastAsia="Calibri" w:hAnsi="Times New Roman" w:cs="Times New Roman"/>
            <w:sz w:val="24"/>
            <w:szCs w:val="24"/>
          </w:rPr>
          <w:instrText xml:space="preserve"> ADDIN EN.CITE &lt;EndNote&gt;&lt;Cite AuthorYear="1"&gt;&lt;Author&gt;Farinde&lt;/Author&gt;&lt;Year&gt;2015&lt;/Year&gt;&lt;RecNum&gt;89&lt;/RecNum&gt;&lt;DisplayText&gt;Farinde (2015)&lt;/DisplayText&gt;&lt;record&gt;&lt;rec-number&gt;89&lt;/rec-number&gt;&lt;foreign-keys&gt;&lt;key app="EN" db-id="tz9rpzspgx2teie0pzs5w5a7v2exvttzvvdr"&gt;89&lt;/key&gt;&lt;/foreign-keys&gt;&lt;ref-type name="Journal Article"&gt;17&lt;/ref-type&gt;&lt;contributors&gt;&lt;authors&gt;&lt;author&gt;Farinde, Elizabeth Oluremi&lt;/author&gt;&lt;/authors&gt;&lt;/contributors&gt;&lt;titles&gt;&lt;title&gt;Chemical and sensory properties of sieved and unsieved fortified „ogi‟&lt;/title&gt;&lt;secondary-title&gt;Nat Sci&lt;/secondary-title&gt;&lt;/titles&gt;&lt;periodical&gt;&lt;full-title&gt;Nat Sci&lt;/full-title&gt;&lt;/periodical&gt;&lt;pages&gt;49-53&lt;/pages&gt;&lt;volume&gt;13&lt;/volume&gt;&lt;number&gt;1&lt;/number&gt;&lt;dates&gt;&lt;year&gt;2015&lt;/year&gt;&lt;/dates&gt;&lt;urls&gt;&lt;/urls&gt;&lt;/record&gt;&lt;/Cite&gt;&lt;/EndNote&gt;</w:instrText>
        </w:r>
        <w:r>
          <w:rPr>
            <w:rFonts w:ascii="Times New Roman" w:eastAsia="Calibri" w:hAnsi="Times New Roman" w:cs="Times New Roman"/>
            <w:sz w:val="24"/>
            <w:szCs w:val="24"/>
          </w:rPr>
          <w:fldChar w:fldCharType="separate"/>
        </w:r>
        <w:r>
          <w:rPr>
            <w:rFonts w:ascii="Times New Roman" w:eastAsia="Calibri" w:hAnsi="Times New Roman" w:cs="Times New Roman"/>
            <w:sz w:val="24"/>
            <w:szCs w:val="24"/>
          </w:rPr>
          <w:t>Farinde (2015)</w:t>
        </w:r>
        <w:r>
          <w:rPr>
            <w:rFonts w:ascii="Times New Roman" w:eastAsia="Calibri" w:hAnsi="Times New Roman" w:cs="Times New Roman"/>
            <w:sz w:val="24"/>
            <w:szCs w:val="24"/>
          </w:rPr>
          <w:fldChar w:fldCharType="end"/>
        </w:r>
      </w:hyperlink>
      <w:r>
        <w:rPr>
          <w:rFonts w:ascii="Times New Roman" w:eastAsia="Calibri" w:hAnsi="Times New Roman" w:cs="Times New Roman"/>
          <w:sz w:val="24"/>
          <w:szCs w:val="24"/>
        </w:rPr>
        <w:t xml:space="preserve"> opined that fibrous removal is highly plausible, and linked to enzymatic breakdown during the fermentation process. </w:t>
      </w:r>
    </w:p>
    <w:p w14:paraId="29CF7874"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Ash content of control and sample with 5% tamarind (0.88±0.07 and 0.94±0.07 respectively) were not significant from each other, but were significant to the others. Since Tamarind was said to be rich in minerals, high values of the treated samples were justified. Carbohydrate content was significant, though with no particular trend. However, sample B had the highest value and sample G, the least.  </w:t>
      </w:r>
    </w:p>
    <w:p w14:paraId="174CB21D" w14:textId="77777777" w:rsidR="00406B68" w:rsidRDefault="001162EA">
      <w:pPr>
        <w:autoSpaceDE w:val="0"/>
        <w:autoSpaceDN w:val="0"/>
        <w:adjustRightInd w:val="0"/>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Table 3: Proximate Composition of Pap Paste Samples.</w:t>
      </w:r>
    </w:p>
    <w:tbl>
      <w:tblPr>
        <w:tblStyle w:val="TableGrid"/>
        <w:tblW w:w="10684" w:type="dxa"/>
        <w:tblLook w:val="04A0" w:firstRow="1" w:lastRow="0" w:firstColumn="1" w:lastColumn="0" w:noHBand="0" w:noVBand="1"/>
      </w:tblPr>
      <w:tblGrid>
        <w:gridCol w:w="1212"/>
        <w:gridCol w:w="1580"/>
        <w:gridCol w:w="1580"/>
        <w:gridCol w:w="1440"/>
        <w:gridCol w:w="1440"/>
        <w:gridCol w:w="1520"/>
        <w:gridCol w:w="1912"/>
      </w:tblGrid>
      <w:tr w:rsidR="00406B68" w14:paraId="66EEDF3C" w14:textId="77777777">
        <w:tc>
          <w:tcPr>
            <w:tcW w:w="1212" w:type="dxa"/>
            <w:tcBorders>
              <w:top w:val="single" w:sz="4" w:space="0" w:color="auto"/>
              <w:left w:val="nil"/>
              <w:bottom w:val="single" w:sz="4" w:space="0" w:color="auto"/>
              <w:right w:val="nil"/>
            </w:tcBorders>
          </w:tcPr>
          <w:p w14:paraId="7459D04F" w14:textId="77777777" w:rsidR="00406B68" w:rsidRDefault="001162EA">
            <w:pPr>
              <w:autoSpaceDE w:val="0"/>
              <w:autoSpaceDN w:val="0"/>
              <w:adjustRightInd w:val="0"/>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Samples</w:t>
            </w:r>
          </w:p>
        </w:tc>
        <w:tc>
          <w:tcPr>
            <w:tcW w:w="1580" w:type="dxa"/>
            <w:tcBorders>
              <w:top w:val="single" w:sz="4" w:space="0" w:color="auto"/>
              <w:left w:val="nil"/>
              <w:bottom w:val="single" w:sz="4" w:space="0" w:color="auto"/>
              <w:right w:val="nil"/>
            </w:tcBorders>
          </w:tcPr>
          <w:p w14:paraId="3499555F" w14:textId="77777777" w:rsidR="00406B68" w:rsidRDefault="001162EA">
            <w:pPr>
              <w:autoSpaceDE w:val="0"/>
              <w:autoSpaceDN w:val="0"/>
              <w:adjustRightInd w:val="0"/>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Moisture</w:t>
            </w:r>
          </w:p>
          <w:p w14:paraId="796CDBEC" w14:textId="77777777" w:rsidR="00406B68" w:rsidRDefault="001162EA">
            <w:pPr>
              <w:autoSpaceDE w:val="0"/>
              <w:autoSpaceDN w:val="0"/>
              <w:adjustRightInd w:val="0"/>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w:t>
            </w:r>
          </w:p>
        </w:tc>
        <w:tc>
          <w:tcPr>
            <w:tcW w:w="1580" w:type="dxa"/>
            <w:tcBorders>
              <w:top w:val="single" w:sz="4" w:space="0" w:color="auto"/>
              <w:left w:val="nil"/>
              <w:bottom w:val="single" w:sz="4" w:space="0" w:color="auto"/>
              <w:right w:val="nil"/>
            </w:tcBorders>
          </w:tcPr>
          <w:p w14:paraId="603DF8B3" w14:textId="77777777" w:rsidR="00406B68" w:rsidRDefault="001162EA">
            <w:pPr>
              <w:autoSpaceDE w:val="0"/>
              <w:autoSpaceDN w:val="0"/>
              <w:adjustRightInd w:val="0"/>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Protein</w:t>
            </w:r>
          </w:p>
          <w:p w14:paraId="447AD08E" w14:textId="77777777" w:rsidR="00406B68" w:rsidRDefault="001162EA">
            <w:pPr>
              <w:autoSpaceDE w:val="0"/>
              <w:autoSpaceDN w:val="0"/>
              <w:adjustRightInd w:val="0"/>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w:t>
            </w:r>
          </w:p>
        </w:tc>
        <w:tc>
          <w:tcPr>
            <w:tcW w:w="1440" w:type="dxa"/>
            <w:tcBorders>
              <w:top w:val="single" w:sz="4" w:space="0" w:color="auto"/>
              <w:left w:val="nil"/>
              <w:bottom w:val="single" w:sz="4" w:space="0" w:color="auto"/>
              <w:right w:val="nil"/>
            </w:tcBorders>
          </w:tcPr>
          <w:p w14:paraId="369FB625" w14:textId="77777777" w:rsidR="00406B68" w:rsidRDefault="001162EA">
            <w:pPr>
              <w:autoSpaceDE w:val="0"/>
              <w:autoSpaceDN w:val="0"/>
              <w:adjustRightInd w:val="0"/>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Fat</w:t>
            </w:r>
          </w:p>
          <w:p w14:paraId="281B8C20" w14:textId="77777777" w:rsidR="00406B68" w:rsidRDefault="001162EA">
            <w:pPr>
              <w:autoSpaceDE w:val="0"/>
              <w:autoSpaceDN w:val="0"/>
              <w:adjustRightInd w:val="0"/>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w:t>
            </w:r>
          </w:p>
        </w:tc>
        <w:tc>
          <w:tcPr>
            <w:tcW w:w="1440" w:type="dxa"/>
            <w:tcBorders>
              <w:top w:val="single" w:sz="4" w:space="0" w:color="auto"/>
              <w:left w:val="nil"/>
              <w:bottom w:val="single" w:sz="4" w:space="0" w:color="auto"/>
              <w:right w:val="nil"/>
            </w:tcBorders>
          </w:tcPr>
          <w:p w14:paraId="43DB6391" w14:textId="77777777" w:rsidR="00406B68" w:rsidRDefault="001162EA">
            <w:pPr>
              <w:autoSpaceDE w:val="0"/>
              <w:autoSpaceDN w:val="0"/>
              <w:adjustRightInd w:val="0"/>
              <w:spacing w:line="480" w:lineRule="auto"/>
              <w:jc w:val="both"/>
              <w:rPr>
                <w:rFonts w:ascii="Times New Roman" w:eastAsia="Calibri" w:hAnsi="Times New Roman" w:cs="Times New Roman"/>
                <w:b/>
                <w:sz w:val="24"/>
                <w:szCs w:val="24"/>
              </w:rPr>
            </w:pPr>
            <w:proofErr w:type="spellStart"/>
            <w:r>
              <w:rPr>
                <w:rFonts w:ascii="Times New Roman" w:eastAsia="Calibri" w:hAnsi="Times New Roman" w:cs="Times New Roman"/>
                <w:b/>
                <w:sz w:val="24"/>
                <w:szCs w:val="24"/>
              </w:rPr>
              <w:t>Fibre</w:t>
            </w:r>
            <w:proofErr w:type="spellEnd"/>
          </w:p>
          <w:p w14:paraId="52879781" w14:textId="77777777" w:rsidR="00406B68" w:rsidRDefault="001162EA">
            <w:pPr>
              <w:autoSpaceDE w:val="0"/>
              <w:autoSpaceDN w:val="0"/>
              <w:adjustRightInd w:val="0"/>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w:t>
            </w:r>
          </w:p>
        </w:tc>
        <w:tc>
          <w:tcPr>
            <w:tcW w:w="1520" w:type="dxa"/>
            <w:tcBorders>
              <w:top w:val="single" w:sz="4" w:space="0" w:color="auto"/>
              <w:left w:val="nil"/>
              <w:bottom w:val="single" w:sz="4" w:space="0" w:color="auto"/>
              <w:right w:val="nil"/>
            </w:tcBorders>
          </w:tcPr>
          <w:p w14:paraId="36CC03EF" w14:textId="77777777" w:rsidR="00406B68" w:rsidRDefault="001162EA">
            <w:pPr>
              <w:autoSpaceDE w:val="0"/>
              <w:autoSpaceDN w:val="0"/>
              <w:adjustRightInd w:val="0"/>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Ash</w:t>
            </w:r>
          </w:p>
          <w:p w14:paraId="4BBFBA05" w14:textId="77777777" w:rsidR="00406B68" w:rsidRDefault="001162EA">
            <w:pPr>
              <w:autoSpaceDE w:val="0"/>
              <w:autoSpaceDN w:val="0"/>
              <w:adjustRightInd w:val="0"/>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w:t>
            </w:r>
          </w:p>
        </w:tc>
        <w:tc>
          <w:tcPr>
            <w:tcW w:w="1912" w:type="dxa"/>
            <w:tcBorders>
              <w:top w:val="single" w:sz="4" w:space="0" w:color="auto"/>
              <w:left w:val="nil"/>
              <w:bottom w:val="single" w:sz="4" w:space="0" w:color="auto"/>
              <w:right w:val="nil"/>
            </w:tcBorders>
          </w:tcPr>
          <w:p w14:paraId="155035A0" w14:textId="77777777" w:rsidR="00406B68" w:rsidRDefault="001162EA">
            <w:pPr>
              <w:autoSpaceDE w:val="0"/>
              <w:autoSpaceDN w:val="0"/>
              <w:adjustRightInd w:val="0"/>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Carbohydrate</w:t>
            </w:r>
          </w:p>
          <w:p w14:paraId="4125EC81" w14:textId="77777777" w:rsidR="00406B68" w:rsidRDefault="001162EA">
            <w:pPr>
              <w:autoSpaceDE w:val="0"/>
              <w:autoSpaceDN w:val="0"/>
              <w:adjustRightInd w:val="0"/>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w:t>
            </w:r>
          </w:p>
        </w:tc>
      </w:tr>
      <w:tr w:rsidR="00406B68" w14:paraId="1562E890" w14:textId="77777777">
        <w:tc>
          <w:tcPr>
            <w:tcW w:w="1212" w:type="dxa"/>
            <w:tcBorders>
              <w:top w:val="single" w:sz="4" w:space="0" w:color="auto"/>
              <w:left w:val="nil"/>
              <w:bottom w:val="nil"/>
              <w:right w:val="nil"/>
            </w:tcBorders>
          </w:tcPr>
          <w:p w14:paraId="74F700D9" w14:textId="77777777" w:rsidR="00406B68" w:rsidRDefault="001162EA">
            <w:pPr>
              <w:autoSpaceDE w:val="0"/>
              <w:autoSpaceDN w:val="0"/>
              <w:adjustRightInd w:val="0"/>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A</w:t>
            </w:r>
          </w:p>
        </w:tc>
        <w:tc>
          <w:tcPr>
            <w:tcW w:w="1580" w:type="dxa"/>
            <w:tcBorders>
              <w:top w:val="single" w:sz="4" w:space="0" w:color="auto"/>
              <w:left w:val="nil"/>
              <w:bottom w:val="nil"/>
              <w:right w:val="nil"/>
            </w:tcBorders>
          </w:tcPr>
          <w:p w14:paraId="42E86EEE"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66.70±0.07</w:t>
            </w:r>
            <w:r>
              <w:rPr>
                <w:rFonts w:ascii="Times New Roman" w:eastAsia="Calibri" w:hAnsi="Times New Roman" w:cs="Times New Roman"/>
                <w:sz w:val="24"/>
                <w:szCs w:val="24"/>
                <w:vertAlign w:val="superscript"/>
              </w:rPr>
              <w:t>a</w:t>
            </w:r>
          </w:p>
        </w:tc>
        <w:tc>
          <w:tcPr>
            <w:tcW w:w="1580" w:type="dxa"/>
            <w:tcBorders>
              <w:top w:val="single" w:sz="4" w:space="0" w:color="auto"/>
              <w:left w:val="nil"/>
              <w:bottom w:val="nil"/>
              <w:right w:val="nil"/>
            </w:tcBorders>
          </w:tcPr>
          <w:p w14:paraId="69F48217"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10.40±0.07</w:t>
            </w:r>
            <w:r>
              <w:rPr>
                <w:rFonts w:ascii="Times New Roman" w:eastAsia="Calibri" w:hAnsi="Times New Roman" w:cs="Times New Roman"/>
                <w:sz w:val="24"/>
                <w:szCs w:val="24"/>
                <w:vertAlign w:val="superscript"/>
              </w:rPr>
              <w:t>a</w:t>
            </w:r>
          </w:p>
        </w:tc>
        <w:tc>
          <w:tcPr>
            <w:tcW w:w="1440" w:type="dxa"/>
            <w:tcBorders>
              <w:top w:val="single" w:sz="4" w:space="0" w:color="auto"/>
              <w:left w:val="nil"/>
              <w:bottom w:val="nil"/>
              <w:right w:val="nil"/>
            </w:tcBorders>
          </w:tcPr>
          <w:p w14:paraId="642FA031"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5.56±0.07</w:t>
            </w:r>
            <w:r>
              <w:rPr>
                <w:rFonts w:ascii="Times New Roman" w:eastAsia="Calibri" w:hAnsi="Times New Roman" w:cs="Times New Roman"/>
                <w:sz w:val="24"/>
                <w:szCs w:val="24"/>
                <w:vertAlign w:val="superscript"/>
              </w:rPr>
              <w:t>e</w:t>
            </w:r>
          </w:p>
        </w:tc>
        <w:tc>
          <w:tcPr>
            <w:tcW w:w="1440" w:type="dxa"/>
            <w:tcBorders>
              <w:top w:val="single" w:sz="4" w:space="0" w:color="auto"/>
              <w:left w:val="nil"/>
              <w:bottom w:val="nil"/>
              <w:right w:val="nil"/>
            </w:tcBorders>
          </w:tcPr>
          <w:p w14:paraId="122170F7"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0.61±0.07</w:t>
            </w:r>
            <w:r>
              <w:rPr>
                <w:rFonts w:ascii="Times New Roman" w:eastAsia="Calibri" w:hAnsi="Times New Roman" w:cs="Times New Roman"/>
                <w:sz w:val="24"/>
                <w:szCs w:val="24"/>
                <w:vertAlign w:val="superscript"/>
              </w:rPr>
              <w:t>b</w:t>
            </w:r>
          </w:p>
        </w:tc>
        <w:tc>
          <w:tcPr>
            <w:tcW w:w="1520" w:type="dxa"/>
            <w:tcBorders>
              <w:top w:val="single" w:sz="4" w:space="0" w:color="auto"/>
              <w:left w:val="nil"/>
              <w:bottom w:val="nil"/>
              <w:right w:val="nil"/>
            </w:tcBorders>
          </w:tcPr>
          <w:p w14:paraId="27F75C32"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0.88±0.07</w:t>
            </w:r>
            <w:r>
              <w:rPr>
                <w:rFonts w:ascii="Times New Roman" w:eastAsia="Calibri" w:hAnsi="Times New Roman" w:cs="Times New Roman"/>
                <w:sz w:val="24"/>
                <w:szCs w:val="24"/>
                <w:vertAlign w:val="superscript"/>
              </w:rPr>
              <w:t>b</w:t>
            </w:r>
          </w:p>
        </w:tc>
        <w:tc>
          <w:tcPr>
            <w:tcW w:w="1912" w:type="dxa"/>
            <w:tcBorders>
              <w:top w:val="single" w:sz="4" w:space="0" w:color="auto"/>
              <w:left w:val="nil"/>
              <w:bottom w:val="nil"/>
              <w:right w:val="nil"/>
            </w:tcBorders>
          </w:tcPr>
          <w:p w14:paraId="5798A0EF"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 xml:space="preserve"> 15.85±0.07</w:t>
            </w:r>
            <w:r>
              <w:rPr>
                <w:rFonts w:ascii="Times New Roman" w:eastAsia="Calibri" w:hAnsi="Times New Roman" w:cs="Times New Roman"/>
                <w:sz w:val="24"/>
                <w:szCs w:val="24"/>
                <w:vertAlign w:val="superscript"/>
              </w:rPr>
              <w:t>d</w:t>
            </w:r>
          </w:p>
        </w:tc>
      </w:tr>
      <w:tr w:rsidR="00406B68" w14:paraId="46B389E9" w14:textId="77777777">
        <w:tc>
          <w:tcPr>
            <w:tcW w:w="1212" w:type="dxa"/>
            <w:tcBorders>
              <w:top w:val="nil"/>
              <w:left w:val="nil"/>
              <w:bottom w:val="nil"/>
              <w:right w:val="nil"/>
            </w:tcBorders>
          </w:tcPr>
          <w:p w14:paraId="0E8099D5" w14:textId="77777777" w:rsidR="00406B68" w:rsidRDefault="001162EA">
            <w:pPr>
              <w:autoSpaceDE w:val="0"/>
              <w:autoSpaceDN w:val="0"/>
              <w:adjustRightInd w:val="0"/>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B</w:t>
            </w:r>
          </w:p>
        </w:tc>
        <w:tc>
          <w:tcPr>
            <w:tcW w:w="1580" w:type="dxa"/>
            <w:tcBorders>
              <w:top w:val="nil"/>
              <w:left w:val="nil"/>
              <w:bottom w:val="nil"/>
              <w:right w:val="nil"/>
            </w:tcBorders>
          </w:tcPr>
          <w:p w14:paraId="769A38B9"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63.00±0.07</w:t>
            </w:r>
            <w:r>
              <w:rPr>
                <w:rFonts w:ascii="Times New Roman" w:eastAsia="Calibri" w:hAnsi="Times New Roman" w:cs="Times New Roman"/>
                <w:sz w:val="24"/>
                <w:szCs w:val="24"/>
                <w:vertAlign w:val="superscript"/>
              </w:rPr>
              <w:t>bc</w:t>
            </w:r>
          </w:p>
        </w:tc>
        <w:tc>
          <w:tcPr>
            <w:tcW w:w="1580" w:type="dxa"/>
            <w:tcBorders>
              <w:top w:val="nil"/>
              <w:left w:val="nil"/>
              <w:bottom w:val="nil"/>
              <w:right w:val="nil"/>
            </w:tcBorders>
          </w:tcPr>
          <w:p w14:paraId="157F01D4"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10.24±0.07</w:t>
            </w:r>
            <w:r>
              <w:rPr>
                <w:rFonts w:ascii="Times New Roman" w:eastAsia="Calibri" w:hAnsi="Times New Roman" w:cs="Times New Roman"/>
                <w:sz w:val="24"/>
                <w:szCs w:val="24"/>
                <w:vertAlign w:val="superscript"/>
              </w:rPr>
              <w:t>a</w:t>
            </w:r>
          </w:p>
        </w:tc>
        <w:tc>
          <w:tcPr>
            <w:tcW w:w="1440" w:type="dxa"/>
            <w:tcBorders>
              <w:top w:val="nil"/>
              <w:left w:val="nil"/>
              <w:bottom w:val="nil"/>
              <w:right w:val="nil"/>
            </w:tcBorders>
          </w:tcPr>
          <w:p w14:paraId="4475D5CB"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6.15±0.07</w:t>
            </w:r>
            <w:r>
              <w:rPr>
                <w:rFonts w:ascii="Times New Roman" w:eastAsia="Calibri" w:hAnsi="Times New Roman" w:cs="Times New Roman"/>
                <w:sz w:val="24"/>
                <w:szCs w:val="24"/>
                <w:vertAlign w:val="superscript"/>
              </w:rPr>
              <w:t>d</w:t>
            </w:r>
          </w:p>
        </w:tc>
        <w:tc>
          <w:tcPr>
            <w:tcW w:w="1440" w:type="dxa"/>
            <w:tcBorders>
              <w:top w:val="nil"/>
              <w:left w:val="nil"/>
              <w:bottom w:val="nil"/>
              <w:right w:val="nil"/>
            </w:tcBorders>
          </w:tcPr>
          <w:p w14:paraId="779793ED"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0.84±0.07</w:t>
            </w:r>
            <w:r>
              <w:rPr>
                <w:rFonts w:ascii="Times New Roman" w:eastAsia="Calibri" w:hAnsi="Times New Roman" w:cs="Times New Roman"/>
                <w:sz w:val="24"/>
                <w:szCs w:val="24"/>
                <w:vertAlign w:val="superscript"/>
              </w:rPr>
              <w:t>a</w:t>
            </w:r>
          </w:p>
        </w:tc>
        <w:tc>
          <w:tcPr>
            <w:tcW w:w="1520" w:type="dxa"/>
            <w:tcBorders>
              <w:top w:val="nil"/>
              <w:left w:val="nil"/>
              <w:bottom w:val="nil"/>
              <w:right w:val="nil"/>
            </w:tcBorders>
          </w:tcPr>
          <w:p w14:paraId="0D12DA5F"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0.94±0.07</w:t>
            </w:r>
            <w:r>
              <w:rPr>
                <w:rFonts w:ascii="Times New Roman" w:eastAsia="Calibri" w:hAnsi="Times New Roman" w:cs="Times New Roman"/>
                <w:sz w:val="24"/>
                <w:szCs w:val="24"/>
                <w:vertAlign w:val="superscript"/>
              </w:rPr>
              <w:t>b</w:t>
            </w:r>
          </w:p>
        </w:tc>
        <w:tc>
          <w:tcPr>
            <w:tcW w:w="1912" w:type="dxa"/>
            <w:tcBorders>
              <w:top w:val="nil"/>
              <w:left w:val="nil"/>
              <w:bottom w:val="nil"/>
              <w:right w:val="nil"/>
            </w:tcBorders>
          </w:tcPr>
          <w:p w14:paraId="275017F3"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18.83±0.07</w:t>
            </w:r>
            <w:r>
              <w:rPr>
                <w:rFonts w:ascii="Times New Roman" w:eastAsia="Calibri" w:hAnsi="Times New Roman" w:cs="Times New Roman"/>
                <w:sz w:val="24"/>
                <w:szCs w:val="24"/>
                <w:vertAlign w:val="superscript"/>
              </w:rPr>
              <w:t>a</w:t>
            </w:r>
          </w:p>
        </w:tc>
      </w:tr>
      <w:tr w:rsidR="00406B68" w14:paraId="0F6443BA" w14:textId="77777777">
        <w:tc>
          <w:tcPr>
            <w:tcW w:w="1212" w:type="dxa"/>
            <w:tcBorders>
              <w:top w:val="nil"/>
              <w:left w:val="nil"/>
              <w:bottom w:val="nil"/>
              <w:right w:val="nil"/>
            </w:tcBorders>
          </w:tcPr>
          <w:p w14:paraId="70BE982B" w14:textId="77777777" w:rsidR="00406B68" w:rsidRDefault="001162EA">
            <w:pPr>
              <w:autoSpaceDE w:val="0"/>
              <w:autoSpaceDN w:val="0"/>
              <w:adjustRightInd w:val="0"/>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C</w:t>
            </w:r>
          </w:p>
        </w:tc>
        <w:tc>
          <w:tcPr>
            <w:tcW w:w="1580" w:type="dxa"/>
            <w:tcBorders>
              <w:top w:val="nil"/>
              <w:left w:val="nil"/>
              <w:bottom w:val="nil"/>
              <w:right w:val="nil"/>
            </w:tcBorders>
          </w:tcPr>
          <w:p w14:paraId="5AE0925F"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64.20±0.07</w:t>
            </w:r>
            <w:r>
              <w:rPr>
                <w:rFonts w:ascii="Times New Roman" w:eastAsia="Calibri" w:hAnsi="Times New Roman" w:cs="Times New Roman"/>
                <w:sz w:val="24"/>
                <w:szCs w:val="24"/>
                <w:vertAlign w:val="superscript"/>
              </w:rPr>
              <w:t>b</w:t>
            </w:r>
          </w:p>
        </w:tc>
        <w:tc>
          <w:tcPr>
            <w:tcW w:w="1580" w:type="dxa"/>
            <w:tcBorders>
              <w:top w:val="nil"/>
              <w:left w:val="nil"/>
              <w:bottom w:val="nil"/>
              <w:right w:val="nil"/>
            </w:tcBorders>
          </w:tcPr>
          <w:p w14:paraId="745C1DF3"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10.06±0.07</w:t>
            </w:r>
            <w:r>
              <w:rPr>
                <w:rFonts w:ascii="Times New Roman" w:eastAsia="Calibri" w:hAnsi="Times New Roman" w:cs="Times New Roman"/>
                <w:sz w:val="24"/>
                <w:szCs w:val="24"/>
                <w:vertAlign w:val="superscript"/>
              </w:rPr>
              <w:t>a</w:t>
            </w:r>
          </w:p>
        </w:tc>
        <w:tc>
          <w:tcPr>
            <w:tcW w:w="1440" w:type="dxa"/>
            <w:tcBorders>
              <w:top w:val="nil"/>
              <w:left w:val="nil"/>
              <w:bottom w:val="nil"/>
              <w:right w:val="nil"/>
            </w:tcBorders>
          </w:tcPr>
          <w:p w14:paraId="0CF5F282"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6.58±0.07</w:t>
            </w:r>
            <w:r>
              <w:rPr>
                <w:rFonts w:ascii="Times New Roman" w:eastAsia="Calibri" w:hAnsi="Times New Roman" w:cs="Times New Roman"/>
                <w:sz w:val="24"/>
                <w:szCs w:val="24"/>
                <w:vertAlign w:val="superscript"/>
              </w:rPr>
              <w:t>d</w:t>
            </w:r>
          </w:p>
        </w:tc>
        <w:tc>
          <w:tcPr>
            <w:tcW w:w="1440" w:type="dxa"/>
            <w:tcBorders>
              <w:top w:val="nil"/>
              <w:left w:val="nil"/>
              <w:bottom w:val="nil"/>
              <w:right w:val="nil"/>
            </w:tcBorders>
          </w:tcPr>
          <w:p w14:paraId="52652930"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0.90±0.07</w:t>
            </w:r>
            <w:r>
              <w:rPr>
                <w:rFonts w:ascii="Times New Roman" w:eastAsia="Calibri" w:hAnsi="Times New Roman" w:cs="Times New Roman"/>
                <w:sz w:val="24"/>
                <w:szCs w:val="24"/>
                <w:vertAlign w:val="superscript"/>
              </w:rPr>
              <w:t>a</w:t>
            </w:r>
          </w:p>
        </w:tc>
        <w:tc>
          <w:tcPr>
            <w:tcW w:w="1520" w:type="dxa"/>
            <w:tcBorders>
              <w:top w:val="nil"/>
              <w:left w:val="nil"/>
              <w:bottom w:val="nil"/>
              <w:right w:val="nil"/>
            </w:tcBorders>
          </w:tcPr>
          <w:p w14:paraId="0DE9E69D"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1.08±0.07</w:t>
            </w:r>
            <w:r>
              <w:rPr>
                <w:rFonts w:ascii="Times New Roman" w:eastAsia="Calibri" w:hAnsi="Times New Roman" w:cs="Times New Roman"/>
                <w:sz w:val="24"/>
                <w:szCs w:val="24"/>
                <w:vertAlign w:val="superscript"/>
              </w:rPr>
              <w:t>ab</w:t>
            </w:r>
          </w:p>
        </w:tc>
        <w:tc>
          <w:tcPr>
            <w:tcW w:w="1912" w:type="dxa"/>
            <w:tcBorders>
              <w:top w:val="nil"/>
              <w:left w:val="nil"/>
              <w:bottom w:val="nil"/>
              <w:right w:val="nil"/>
            </w:tcBorders>
          </w:tcPr>
          <w:p w14:paraId="6140D625"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17.18±0.07</w:t>
            </w:r>
            <w:r>
              <w:rPr>
                <w:rFonts w:ascii="Times New Roman" w:eastAsia="Calibri" w:hAnsi="Times New Roman" w:cs="Times New Roman"/>
                <w:sz w:val="24"/>
                <w:szCs w:val="24"/>
                <w:vertAlign w:val="superscript"/>
              </w:rPr>
              <w:t>b</w:t>
            </w:r>
          </w:p>
        </w:tc>
      </w:tr>
      <w:tr w:rsidR="00406B68" w14:paraId="3938CD35" w14:textId="77777777">
        <w:tc>
          <w:tcPr>
            <w:tcW w:w="1212" w:type="dxa"/>
            <w:tcBorders>
              <w:top w:val="nil"/>
              <w:left w:val="nil"/>
              <w:bottom w:val="nil"/>
              <w:right w:val="nil"/>
            </w:tcBorders>
          </w:tcPr>
          <w:p w14:paraId="1486FAD5" w14:textId="77777777" w:rsidR="00406B68" w:rsidRDefault="001162EA">
            <w:pPr>
              <w:autoSpaceDE w:val="0"/>
              <w:autoSpaceDN w:val="0"/>
              <w:adjustRightInd w:val="0"/>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D</w:t>
            </w:r>
          </w:p>
        </w:tc>
        <w:tc>
          <w:tcPr>
            <w:tcW w:w="1580" w:type="dxa"/>
            <w:tcBorders>
              <w:top w:val="nil"/>
              <w:left w:val="nil"/>
              <w:bottom w:val="nil"/>
              <w:right w:val="nil"/>
            </w:tcBorders>
          </w:tcPr>
          <w:p w14:paraId="19518311"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64.80±0.07</w:t>
            </w:r>
            <w:r>
              <w:rPr>
                <w:rFonts w:ascii="Times New Roman" w:eastAsia="Calibri" w:hAnsi="Times New Roman" w:cs="Times New Roman"/>
                <w:sz w:val="24"/>
                <w:szCs w:val="24"/>
                <w:vertAlign w:val="superscript"/>
              </w:rPr>
              <w:t>b</w:t>
            </w:r>
          </w:p>
        </w:tc>
        <w:tc>
          <w:tcPr>
            <w:tcW w:w="1580" w:type="dxa"/>
            <w:tcBorders>
              <w:top w:val="nil"/>
              <w:left w:val="nil"/>
              <w:bottom w:val="nil"/>
              <w:right w:val="nil"/>
            </w:tcBorders>
          </w:tcPr>
          <w:p w14:paraId="671DD3CD"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9.92±0.07</w:t>
            </w:r>
            <w:r>
              <w:rPr>
                <w:rFonts w:ascii="Times New Roman" w:eastAsia="Calibri" w:hAnsi="Times New Roman" w:cs="Times New Roman"/>
                <w:sz w:val="24"/>
                <w:szCs w:val="24"/>
                <w:vertAlign w:val="superscript"/>
              </w:rPr>
              <w:t>b</w:t>
            </w:r>
          </w:p>
        </w:tc>
        <w:tc>
          <w:tcPr>
            <w:tcW w:w="1440" w:type="dxa"/>
            <w:tcBorders>
              <w:top w:val="nil"/>
              <w:left w:val="nil"/>
              <w:bottom w:val="nil"/>
              <w:right w:val="nil"/>
            </w:tcBorders>
          </w:tcPr>
          <w:p w14:paraId="7E535B40"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6.75±0.07</w:t>
            </w:r>
            <w:r>
              <w:rPr>
                <w:rFonts w:ascii="Times New Roman" w:eastAsia="Calibri" w:hAnsi="Times New Roman" w:cs="Times New Roman"/>
                <w:sz w:val="24"/>
                <w:szCs w:val="24"/>
                <w:vertAlign w:val="superscript"/>
              </w:rPr>
              <w:t>c</w:t>
            </w:r>
          </w:p>
        </w:tc>
        <w:tc>
          <w:tcPr>
            <w:tcW w:w="1440" w:type="dxa"/>
            <w:tcBorders>
              <w:top w:val="nil"/>
              <w:left w:val="nil"/>
              <w:bottom w:val="nil"/>
              <w:right w:val="nil"/>
            </w:tcBorders>
          </w:tcPr>
          <w:p w14:paraId="5EE0A926"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0.95±0.07</w:t>
            </w:r>
            <w:r>
              <w:rPr>
                <w:rFonts w:ascii="Times New Roman" w:eastAsia="Calibri" w:hAnsi="Times New Roman" w:cs="Times New Roman"/>
                <w:sz w:val="24"/>
                <w:szCs w:val="24"/>
                <w:vertAlign w:val="superscript"/>
              </w:rPr>
              <w:t>a</w:t>
            </w:r>
          </w:p>
        </w:tc>
        <w:tc>
          <w:tcPr>
            <w:tcW w:w="1520" w:type="dxa"/>
            <w:tcBorders>
              <w:top w:val="nil"/>
              <w:left w:val="nil"/>
              <w:bottom w:val="nil"/>
              <w:right w:val="nil"/>
            </w:tcBorders>
          </w:tcPr>
          <w:p w14:paraId="6BC5FD3B"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1.10±0.07</w:t>
            </w:r>
            <w:r>
              <w:rPr>
                <w:rFonts w:ascii="Times New Roman" w:eastAsia="Calibri" w:hAnsi="Times New Roman" w:cs="Times New Roman"/>
                <w:sz w:val="24"/>
                <w:szCs w:val="24"/>
                <w:vertAlign w:val="superscript"/>
              </w:rPr>
              <w:t>a</w:t>
            </w:r>
          </w:p>
        </w:tc>
        <w:tc>
          <w:tcPr>
            <w:tcW w:w="1912" w:type="dxa"/>
            <w:tcBorders>
              <w:top w:val="nil"/>
              <w:left w:val="nil"/>
              <w:bottom w:val="nil"/>
              <w:right w:val="nil"/>
            </w:tcBorders>
          </w:tcPr>
          <w:p w14:paraId="2590A5E3"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16.48±0.07</w:t>
            </w:r>
            <w:r>
              <w:rPr>
                <w:rFonts w:ascii="Times New Roman" w:eastAsia="Calibri" w:hAnsi="Times New Roman" w:cs="Times New Roman"/>
                <w:sz w:val="24"/>
                <w:szCs w:val="24"/>
                <w:vertAlign w:val="superscript"/>
              </w:rPr>
              <w:t>c</w:t>
            </w:r>
          </w:p>
        </w:tc>
      </w:tr>
      <w:tr w:rsidR="00406B68" w14:paraId="36F02258" w14:textId="77777777">
        <w:tc>
          <w:tcPr>
            <w:tcW w:w="1212" w:type="dxa"/>
            <w:tcBorders>
              <w:top w:val="nil"/>
              <w:left w:val="nil"/>
              <w:bottom w:val="nil"/>
              <w:right w:val="nil"/>
            </w:tcBorders>
          </w:tcPr>
          <w:p w14:paraId="532538A1" w14:textId="77777777" w:rsidR="00406B68" w:rsidRDefault="001162EA">
            <w:pPr>
              <w:autoSpaceDE w:val="0"/>
              <w:autoSpaceDN w:val="0"/>
              <w:adjustRightInd w:val="0"/>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E</w:t>
            </w:r>
          </w:p>
        </w:tc>
        <w:tc>
          <w:tcPr>
            <w:tcW w:w="1580" w:type="dxa"/>
            <w:tcBorders>
              <w:top w:val="nil"/>
              <w:left w:val="nil"/>
              <w:bottom w:val="nil"/>
              <w:right w:val="nil"/>
            </w:tcBorders>
          </w:tcPr>
          <w:p w14:paraId="55FA522D"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64.20±0.07</w:t>
            </w:r>
            <w:r>
              <w:rPr>
                <w:rFonts w:ascii="Times New Roman" w:eastAsia="Calibri" w:hAnsi="Times New Roman" w:cs="Times New Roman"/>
                <w:sz w:val="24"/>
                <w:szCs w:val="24"/>
                <w:vertAlign w:val="superscript"/>
              </w:rPr>
              <w:t>b</w:t>
            </w:r>
          </w:p>
        </w:tc>
        <w:tc>
          <w:tcPr>
            <w:tcW w:w="1580" w:type="dxa"/>
            <w:tcBorders>
              <w:top w:val="nil"/>
              <w:left w:val="nil"/>
              <w:bottom w:val="nil"/>
              <w:right w:val="nil"/>
            </w:tcBorders>
          </w:tcPr>
          <w:p w14:paraId="7F2F7271"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9.88±0.07</w:t>
            </w:r>
            <w:r>
              <w:rPr>
                <w:rFonts w:ascii="Times New Roman" w:eastAsia="Calibri" w:hAnsi="Times New Roman" w:cs="Times New Roman"/>
                <w:sz w:val="24"/>
                <w:szCs w:val="24"/>
                <w:vertAlign w:val="superscript"/>
              </w:rPr>
              <w:t>b</w:t>
            </w:r>
          </w:p>
        </w:tc>
        <w:tc>
          <w:tcPr>
            <w:tcW w:w="1440" w:type="dxa"/>
            <w:tcBorders>
              <w:top w:val="nil"/>
              <w:left w:val="nil"/>
              <w:bottom w:val="nil"/>
              <w:right w:val="nil"/>
            </w:tcBorders>
          </w:tcPr>
          <w:p w14:paraId="5A46610B"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6.98±0.07</w:t>
            </w:r>
            <w:r>
              <w:rPr>
                <w:rFonts w:ascii="Times New Roman" w:eastAsia="Calibri" w:hAnsi="Times New Roman" w:cs="Times New Roman"/>
                <w:sz w:val="24"/>
                <w:szCs w:val="24"/>
                <w:vertAlign w:val="superscript"/>
              </w:rPr>
              <w:t>b</w:t>
            </w:r>
          </w:p>
        </w:tc>
        <w:tc>
          <w:tcPr>
            <w:tcW w:w="1440" w:type="dxa"/>
            <w:tcBorders>
              <w:top w:val="nil"/>
              <w:left w:val="nil"/>
              <w:bottom w:val="nil"/>
              <w:right w:val="nil"/>
            </w:tcBorders>
          </w:tcPr>
          <w:p w14:paraId="5905D6E9"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0.96±0.07</w:t>
            </w:r>
            <w:r>
              <w:rPr>
                <w:rFonts w:ascii="Times New Roman" w:eastAsia="Calibri" w:hAnsi="Times New Roman" w:cs="Times New Roman"/>
                <w:sz w:val="24"/>
                <w:szCs w:val="24"/>
                <w:vertAlign w:val="superscript"/>
              </w:rPr>
              <w:t>a</w:t>
            </w:r>
          </w:p>
        </w:tc>
        <w:tc>
          <w:tcPr>
            <w:tcW w:w="1520" w:type="dxa"/>
            <w:tcBorders>
              <w:top w:val="nil"/>
              <w:left w:val="nil"/>
              <w:bottom w:val="nil"/>
              <w:right w:val="nil"/>
            </w:tcBorders>
          </w:tcPr>
          <w:p w14:paraId="50128268"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1.12±0.07</w:t>
            </w:r>
            <w:r>
              <w:rPr>
                <w:rFonts w:ascii="Times New Roman" w:eastAsia="Calibri" w:hAnsi="Times New Roman" w:cs="Times New Roman"/>
                <w:sz w:val="24"/>
                <w:szCs w:val="24"/>
                <w:vertAlign w:val="superscript"/>
              </w:rPr>
              <w:t>a</w:t>
            </w:r>
          </w:p>
        </w:tc>
        <w:tc>
          <w:tcPr>
            <w:tcW w:w="1912" w:type="dxa"/>
            <w:tcBorders>
              <w:top w:val="nil"/>
              <w:left w:val="nil"/>
              <w:bottom w:val="nil"/>
              <w:right w:val="nil"/>
            </w:tcBorders>
          </w:tcPr>
          <w:p w14:paraId="7121C0D8"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16.86±0.07</w:t>
            </w:r>
            <w:r>
              <w:rPr>
                <w:rFonts w:ascii="Times New Roman" w:eastAsia="Calibri" w:hAnsi="Times New Roman" w:cs="Times New Roman"/>
                <w:sz w:val="24"/>
                <w:szCs w:val="24"/>
                <w:vertAlign w:val="superscript"/>
              </w:rPr>
              <w:t>c</w:t>
            </w:r>
          </w:p>
        </w:tc>
      </w:tr>
      <w:tr w:rsidR="00406B68" w14:paraId="3C88EA6F" w14:textId="77777777">
        <w:tc>
          <w:tcPr>
            <w:tcW w:w="1212" w:type="dxa"/>
            <w:tcBorders>
              <w:top w:val="nil"/>
              <w:left w:val="nil"/>
              <w:bottom w:val="nil"/>
              <w:right w:val="nil"/>
            </w:tcBorders>
          </w:tcPr>
          <w:p w14:paraId="356257D2" w14:textId="77777777" w:rsidR="00406B68" w:rsidRDefault="001162EA">
            <w:pPr>
              <w:autoSpaceDE w:val="0"/>
              <w:autoSpaceDN w:val="0"/>
              <w:adjustRightInd w:val="0"/>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F</w:t>
            </w:r>
          </w:p>
        </w:tc>
        <w:tc>
          <w:tcPr>
            <w:tcW w:w="1580" w:type="dxa"/>
            <w:tcBorders>
              <w:top w:val="nil"/>
              <w:left w:val="nil"/>
              <w:bottom w:val="nil"/>
              <w:right w:val="nil"/>
            </w:tcBorders>
          </w:tcPr>
          <w:p w14:paraId="18CFE291"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64.10±0.07</w:t>
            </w:r>
            <w:r>
              <w:rPr>
                <w:rFonts w:ascii="Times New Roman" w:eastAsia="Calibri" w:hAnsi="Times New Roman" w:cs="Times New Roman"/>
                <w:sz w:val="24"/>
                <w:szCs w:val="24"/>
                <w:vertAlign w:val="superscript"/>
              </w:rPr>
              <w:t>b</w:t>
            </w:r>
          </w:p>
        </w:tc>
        <w:tc>
          <w:tcPr>
            <w:tcW w:w="1580" w:type="dxa"/>
            <w:tcBorders>
              <w:top w:val="nil"/>
              <w:left w:val="nil"/>
              <w:bottom w:val="nil"/>
              <w:right w:val="nil"/>
            </w:tcBorders>
          </w:tcPr>
          <w:p w14:paraId="7A338EE4"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9.76±0.07</w:t>
            </w:r>
            <w:r>
              <w:rPr>
                <w:rFonts w:ascii="Times New Roman" w:eastAsia="Calibri" w:hAnsi="Times New Roman" w:cs="Times New Roman"/>
                <w:sz w:val="24"/>
                <w:szCs w:val="24"/>
                <w:vertAlign w:val="superscript"/>
              </w:rPr>
              <w:t>b</w:t>
            </w:r>
          </w:p>
        </w:tc>
        <w:tc>
          <w:tcPr>
            <w:tcW w:w="1440" w:type="dxa"/>
            <w:tcBorders>
              <w:top w:val="nil"/>
              <w:left w:val="nil"/>
              <w:bottom w:val="nil"/>
              <w:right w:val="nil"/>
            </w:tcBorders>
          </w:tcPr>
          <w:p w14:paraId="26FDC634"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7.10±0.07</w:t>
            </w:r>
            <w:r>
              <w:rPr>
                <w:rFonts w:ascii="Times New Roman" w:eastAsia="Calibri" w:hAnsi="Times New Roman" w:cs="Times New Roman"/>
                <w:sz w:val="24"/>
                <w:szCs w:val="24"/>
                <w:vertAlign w:val="superscript"/>
              </w:rPr>
              <w:t>b</w:t>
            </w:r>
          </w:p>
        </w:tc>
        <w:tc>
          <w:tcPr>
            <w:tcW w:w="1440" w:type="dxa"/>
            <w:tcBorders>
              <w:top w:val="nil"/>
              <w:left w:val="nil"/>
              <w:bottom w:val="nil"/>
              <w:right w:val="nil"/>
            </w:tcBorders>
          </w:tcPr>
          <w:p w14:paraId="70A978A7"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0.98±0.07</w:t>
            </w:r>
            <w:r>
              <w:rPr>
                <w:rFonts w:ascii="Times New Roman" w:eastAsia="Calibri" w:hAnsi="Times New Roman" w:cs="Times New Roman"/>
                <w:sz w:val="24"/>
                <w:szCs w:val="24"/>
                <w:vertAlign w:val="superscript"/>
              </w:rPr>
              <w:t>a</w:t>
            </w:r>
          </w:p>
        </w:tc>
        <w:tc>
          <w:tcPr>
            <w:tcW w:w="1520" w:type="dxa"/>
            <w:tcBorders>
              <w:top w:val="nil"/>
              <w:left w:val="nil"/>
              <w:bottom w:val="nil"/>
              <w:right w:val="nil"/>
            </w:tcBorders>
          </w:tcPr>
          <w:p w14:paraId="30868E9D"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1.15±0.07</w:t>
            </w:r>
            <w:r>
              <w:rPr>
                <w:rFonts w:ascii="Times New Roman" w:eastAsia="Calibri" w:hAnsi="Times New Roman" w:cs="Times New Roman"/>
                <w:sz w:val="24"/>
                <w:szCs w:val="24"/>
                <w:vertAlign w:val="superscript"/>
              </w:rPr>
              <w:t>a</w:t>
            </w:r>
          </w:p>
        </w:tc>
        <w:tc>
          <w:tcPr>
            <w:tcW w:w="1912" w:type="dxa"/>
            <w:tcBorders>
              <w:top w:val="nil"/>
              <w:left w:val="nil"/>
              <w:bottom w:val="nil"/>
              <w:right w:val="nil"/>
            </w:tcBorders>
          </w:tcPr>
          <w:p w14:paraId="3519DEE6"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16.91±0.07</w:t>
            </w:r>
            <w:r>
              <w:rPr>
                <w:rFonts w:ascii="Times New Roman" w:eastAsia="Calibri" w:hAnsi="Times New Roman" w:cs="Times New Roman"/>
                <w:sz w:val="24"/>
                <w:szCs w:val="24"/>
                <w:vertAlign w:val="superscript"/>
              </w:rPr>
              <w:t>c</w:t>
            </w:r>
          </w:p>
        </w:tc>
      </w:tr>
      <w:tr w:rsidR="00406B68" w14:paraId="5DD9E853" w14:textId="77777777">
        <w:tc>
          <w:tcPr>
            <w:tcW w:w="1212" w:type="dxa"/>
            <w:tcBorders>
              <w:top w:val="nil"/>
              <w:left w:val="nil"/>
              <w:bottom w:val="single" w:sz="4" w:space="0" w:color="auto"/>
              <w:right w:val="nil"/>
            </w:tcBorders>
          </w:tcPr>
          <w:p w14:paraId="6B9665BC" w14:textId="77777777" w:rsidR="00406B68" w:rsidRDefault="001162EA">
            <w:pPr>
              <w:autoSpaceDE w:val="0"/>
              <w:autoSpaceDN w:val="0"/>
              <w:adjustRightInd w:val="0"/>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G</w:t>
            </w:r>
          </w:p>
        </w:tc>
        <w:tc>
          <w:tcPr>
            <w:tcW w:w="1580" w:type="dxa"/>
            <w:tcBorders>
              <w:top w:val="nil"/>
              <w:left w:val="nil"/>
              <w:bottom w:val="single" w:sz="4" w:space="0" w:color="auto"/>
              <w:right w:val="nil"/>
            </w:tcBorders>
          </w:tcPr>
          <w:p w14:paraId="03C9CD18"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65.40±0.07</w:t>
            </w:r>
            <w:r>
              <w:rPr>
                <w:rFonts w:ascii="Times New Roman" w:eastAsia="Calibri" w:hAnsi="Times New Roman" w:cs="Times New Roman"/>
                <w:sz w:val="24"/>
                <w:szCs w:val="24"/>
                <w:vertAlign w:val="superscript"/>
              </w:rPr>
              <w:t>a</w:t>
            </w:r>
          </w:p>
        </w:tc>
        <w:tc>
          <w:tcPr>
            <w:tcW w:w="1580" w:type="dxa"/>
            <w:tcBorders>
              <w:top w:val="nil"/>
              <w:left w:val="nil"/>
              <w:bottom w:val="single" w:sz="4" w:space="0" w:color="auto"/>
              <w:right w:val="nil"/>
            </w:tcBorders>
          </w:tcPr>
          <w:p w14:paraId="6FCDC57E"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9.74±0.07</w:t>
            </w:r>
            <w:r>
              <w:rPr>
                <w:rFonts w:ascii="Times New Roman" w:eastAsia="Calibri" w:hAnsi="Times New Roman" w:cs="Times New Roman"/>
                <w:sz w:val="24"/>
                <w:szCs w:val="24"/>
                <w:vertAlign w:val="superscript"/>
              </w:rPr>
              <w:t>b</w:t>
            </w:r>
          </w:p>
        </w:tc>
        <w:tc>
          <w:tcPr>
            <w:tcW w:w="1440" w:type="dxa"/>
            <w:tcBorders>
              <w:top w:val="nil"/>
              <w:left w:val="nil"/>
              <w:bottom w:val="single" w:sz="4" w:space="0" w:color="auto"/>
              <w:right w:val="nil"/>
            </w:tcBorders>
          </w:tcPr>
          <w:p w14:paraId="441E6052"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7.66±0.07</w:t>
            </w:r>
            <w:r>
              <w:rPr>
                <w:rFonts w:ascii="Times New Roman" w:eastAsia="Calibri" w:hAnsi="Times New Roman" w:cs="Times New Roman"/>
                <w:sz w:val="24"/>
                <w:szCs w:val="24"/>
                <w:vertAlign w:val="superscript"/>
              </w:rPr>
              <w:t>a</w:t>
            </w:r>
          </w:p>
        </w:tc>
        <w:tc>
          <w:tcPr>
            <w:tcW w:w="1440" w:type="dxa"/>
            <w:tcBorders>
              <w:top w:val="nil"/>
              <w:left w:val="nil"/>
              <w:bottom w:val="single" w:sz="4" w:space="0" w:color="auto"/>
              <w:right w:val="nil"/>
            </w:tcBorders>
          </w:tcPr>
          <w:p w14:paraId="5C61F2D8"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1.02±0.07</w:t>
            </w:r>
            <w:r>
              <w:rPr>
                <w:rFonts w:ascii="Times New Roman" w:eastAsia="Calibri" w:hAnsi="Times New Roman" w:cs="Times New Roman"/>
                <w:sz w:val="24"/>
                <w:szCs w:val="24"/>
                <w:vertAlign w:val="superscript"/>
              </w:rPr>
              <w:t>a</w:t>
            </w:r>
          </w:p>
        </w:tc>
        <w:tc>
          <w:tcPr>
            <w:tcW w:w="1520" w:type="dxa"/>
            <w:tcBorders>
              <w:top w:val="nil"/>
              <w:left w:val="nil"/>
              <w:bottom w:val="single" w:sz="4" w:space="0" w:color="auto"/>
              <w:right w:val="nil"/>
            </w:tcBorders>
          </w:tcPr>
          <w:p w14:paraId="34AE2621"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1.19±0.07</w:t>
            </w:r>
            <w:r>
              <w:rPr>
                <w:rFonts w:ascii="Times New Roman" w:eastAsia="Calibri" w:hAnsi="Times New Roman" w:cs="Times New Roman"/>
                <w:sz w:val="24"/>
                <w:szCs w:val="24"/>
                <w:vertAlign w:val="superscript"/>
              </w:rPr>
              <w:t>a</w:t>
            </w:r>
          </w:p>
        </w:tc>
        <w:tc>
          <w:tcPr>
            <w:tcW w:w="1912" w:type="dxa"/>
            <w:tcBorders>
              <w:top w:val="nil"/>
              <w:left w:val="nil"/>
              <w:bottom w:val="single" w:sz="4" w:space="0" w:color="auto"/>
              <w:right w:val="nil"/>
            </w:tcBorders>
          </w:tcPr>
          <w:p w14:paraId="17F99BC7" w14:textId="77777777" w:rsidR="00406B68" w:rsidRDefault="001162EA">
            <w:pPr>
              <w:autoSpaceDE w:val="0"/>
              <w:autoSpaceDN w:val="0"/>
              <w:adjustRightInd w:val="0"/>
              <w:spacing w:line="480" w:lineRule="auto"/>
              <w:jc w:val="both"/>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14.99±0.07</w:t>
            </w:r>
            <w:r>
              <w:rPr>
                <w:rFonts w:ascii="Times New Roman" w:eastAsia="Calibri" w:hAnsi="Times New Roman" w:cs="Times New Roman"/>
                <w:sz w:val="24"/>
                <w:szCs w:val="24"/>
                <w:vertAlign w:val="superscript"/>
              </w:rPr>
              <w:t>d</w:t>
            </w:r>
          </w:p>
        </w:tc>
      </w:tr>
    </w:tbl>
    <w:p w14:paraId="0BB2997D" w14:textId="77777777" w:rsidR="00406B68" w:rsidRDefault="001162EA">
      <w:pPr>
        <w:tabs>
          <w:tab w:val="left" w:pos="4770"/>
        </w:tabs>
        <w:autoSpaceDE w:val="0"/>
        <w:autoSpaceDN w:val="0"/>
        <w:adjustRightInd w:val="0"/>
        <w:spacing w:line="480" w:lineRule="auto"/>
        <w:jc w:val="both"/>
        <w:rPr>
          <w:rFonts w:ascii="Times New Roman" w:eastAsiaTheme="minorEastAsia" w:hAnsi="Times New Roman" w:cs="Times New Roman"/>
          <w:sz w:val="20"/>
          <w:szCs w:val="24"/>
        </w:rPr>
      </w:pPr>
      <w:r>
        <w:rPr>
          <w:rFonts w:ascii="Times New Roman" w:eastAsiaTheme="minorEastAsia" w:hAnsi="Times New Roman" w:cs="Times New Roman"/>
          <w:sz w:val="20"/>
          <w:szCs w:val="24"/>
        </w:rPr>
        <w:t>Values in the same column with different superscript are significantly different (P˂0.05)</w:t>
      </w:r>
    </w:p>
    <w:p w14:paraId="5DB70203" w14:textId="77777777" w:rsidR="00406B68" w:rsidRDefault="001162EA">
      <w:pPr>
        <w:tabs>
          <w:tab w:val="left" w:pos="4770"/>
        </w:tabs>
        <w:autoSpaceDE w:val="0"/>
        <w:autoSpaceDN w:val="0"/>
        <w:adjustRightInd w:val="0"/>
        <w:spacing w:line="480" w:lineRule="auto"/>
        <w:jc w:val="both"/>
        <w:rPr>
          <w:rFonts w:ascii="Times New Roman" w:eastAsiaTheme="minorEastAsia" w:hAnsi="Times New Roman" w:cs="Times New Roman"/>
          <w:sz w:val="20"/>
          <w:szCs w:val="24"/>
        </w:rPr>
      </w:pPr>
      <w:r>
        <w:rPr>
          <w:rFonts w:ascii="Times New Roman" w:eastAsiaTheme="minorEastAsia" w:hAnsi="Times New Roman" w:cs="Times New Roman"/>
          <w:sz w:val="20"/>
          <w:szCs w:val="24"/>
        </w:rPr>
        <w:t xml:space="preserve">A= 100%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pap paste; B= 95%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5% Tamarind pap paste.</w:t>
      </w:r>
    </w:p>
    <w:p w14:paraId="50D5105E" w14:textId="77777777" w:rsidR="00406B68" w:rsidRDefault="001162EA">
      <w:pPr>
        <w:tabs>
          <w:tab w:val="left" w:pos="4770"/>
        </w:tabs>
        <w:autoSpaceDE w:val="0"/>
        <w:autoSpaceDN w:val="0"/>
        <w:adjustRightInd w:val="0"/>
        <w:spacing w:line="480" w:lineRule="auto"/>
        <w:jc w:val="both"/>
        <w:rPr>
          <w:rFonts w:ascii="Times New Roman" w:eastAsiaTheme="minorEastAsia" w:hAnsi="Times New Roman" w:cs="Times New Roman"/>
          <w:sz w:val="20"/>
          <w:szCs w:val="24"/>
        </w:rPr>
      </w:pPr>
      <w:r>
        <w:rPr>
          <w:rFonts w:ascii="Times New Roman" w:eastAsiaTheme="minorEastAsia" w:hAnsi="Times New Roman" w:cs="Times New Roman"/>
          <w:sz w:val="20"/>
          <w:szCs w:val="24"/>
        </w:rPr>
        <w:t xml:space="preserve">C= 90%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10% Tamarind pap paste; D= 85%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15% Tamarind pap paste; E= 80%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20% Tamarind pap paste; F=75% </w:t>
      </w:r>
      <w:proofErr w:type="spellStart"/>
      <w:r>
        <w:rPr>
          <w:rFonts w:ascii="Times New Roman" w:eastAsiaTheme="minorEastAsia" w:hAnsi="Times New Roman" w:cs="Times New Roman"/>
          <w:sz w:val="20"/>
          <w:szCs w:val="24"/>
        </w:rPr>
        <w:t>Biofortifies</w:t>
      </w:r>
      <w:proofErr w:type="spellEnd"/>
      <w:r>
        <w:rPr>
          <w:rFonts w:ascii="Times New Roman" w:eastAsiaTheme="minorEastAsia" w:hAnsi="Times New Roman" w:cs="Times New Roman"/>
          <w:sz w:val="20"/>
          <w:szCs w:val="24"/>
        </w:rPr>
        <w:t xml:space="preserve"> maize, 25%Tamarind pap paste; G=70%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30% Tamarind pap paste.</w:t>
      </w:r>
    </w:p>
    <w:p w14:paraId="18E1D9D7" w14:textId="44221B40" w:rsidR="00406B68" w:rsidRDefault="001162EA">
      <w:pPr>
        <w:tabs>
          <w:tab w:val="left" w:pos="4770"/>
        </w:tabs>
        <w:autoSpaceDE w:val="0"/>
        <w:autoSpaceDN w:val="0"/>
        <w:adjustRightInd w:val="0"/>
        <w:spacing w:line="480" w:lineRule="auto"/>
        <w:jc w:val="both"/>
        <w:rPr>
          <w:rFonts w:ascii="Times New Roman" w:hAnsi="Times New Roman" w:cs="Times New Roman"/>
          <w:sz w:val="24"/>
          <w:szCs w:val="24"/>
        </w:rPr>
      </w:pPr>
      <w:r>
        <w:rPr>
          <w:rFonts w:ascii="Times New Roman" w:eastAsiaTheme="minorEastAsia" w:hAnsi="Times New Roman" w:cs="Times New Roman"/>
          <w:b/>
          <w:i/>
          <w:sz w:val="24"/>
          <w:szCs w:val="24"/>
        </w:rPr>
        <w:t xml:space="preserve">The pH and Total </w:t>
      </w:r>
      <w:proofErr w:type="spellStart"/>
      <w:r>
        <w:rPr>
          <w:rFonts w:ascii="Times New Roman" w:eastAsiaTheme="minorEastAsia" w:hAnsi="Times New Roman" w:cs="Times New Roman"/>
          <w:b/>
          <w:i/>
          <w:sz w:val="24"/>
          <w:szCs w:val="24"/>
        </w:rPr>
        <w:t>Titratable</w:t>
      </w:r>
      <w:proofErr w:type="spellEnd"/>
      <w:r>
        <w:rPr>
          <w:rFonts w:ascii="Times New Roman" w:eastAsiaTheme="minorEastAsia" w:hAnsi="Times New Roman" w:cs="Times New Roman"/>
          <w:b/>
          <w:i/>
          <w:sz w:val="24"/>
          <w:szCs w:val="24"/>
        </w:rPr>
        <w:t xml:space="preserve"> Acid of Pap Paste Samples</w:t>
      </w:r>
      <w:r>
        <w:rPr>
          <w:rFonts w:ascii="Times New Roman" w:eastAsiaTheme="minorEastAsia" w:hAnsi="Times New Roman" w:cs="Times New Roman"/>
          <w:sz w:val="24"/>
          <w:szCs w:val="24"/>
        </w:rPr>
        <w:t>:</w:t>
      </w:r>
      <w:r>
        <w:rPr>
          <w:rFonts w:ascii="Times New Roman" w:eastAsiaTheme="minorEastAsia" w:hAnsi="Times New Roman" w:cs="Times New Roman"/>
          <w:i/>
          <w:sz w:val="24"/>
          <w:szCs w:val="24"/>
        </w:rPr>
        <w:t xml:space="preserve"> </w:t>
      </w:r>
      <w:r>
        <w:rPr>
          <w:rFonts w:ascii="Times New Roman" w:eastAsiaTheme="minorEastAsia" w:hAnsi="Times New Roman" w:cs="Times New Roman"/>
          <w:sz w:val="24"/>
          <w:szCs w:val="24"/>
        </w:rPr>
        <w:t xml:space="preserve">Table 4 showed the pH and </w:t>
      </w:r>
      <w:proofErr w:type="spellStart"/>
      <w:r>
        <w:rPr>
          <w:rFonts w:ascii="Times New Roman" w:eastAsiaTheme="minorEastAsia" w:hAnsi="Times New Roman" w:cs="Times New Roman"/>
          <w:sz w:val="24"/>
          <w:szCs w:val="24"/>
        </w:rPr>
        <w:t>titratable</w:t>
      </w:r>
      <w:proofErr w:type="spellEnd"/>
      <w:r>
        <w:rPr>
          <w:rFonts w:ascii="Times New Roman" w:eastAsiaTheme="minorEastAsia" w:hAnsi="Times New Roman" w:cs="Times New Roman"/>
          <w:sz w:val="24"/>
          <w:szCs w:val="24"/>
        </w:rPr>
        <w:t xml:space="preserve"> acidity values. The pH was significant, with s</w:t>
      </w:r>
      <w:r>
        <w:rPr>
          <w:rFonts w:ascii="Times New Roman" w:hAnsi="Times New Roman" w:cs="Times New Roman"/>
          <w:sz w:val="24"/>
          <w:szCs w:val="24"/>
        </w:rPr>
        <w:t xml:space="preserve">amples D and E having highest and lowest respectively (3.8 and 3.14), similar to that of </w:t>
      </w:r>
      <w:hyperlink w:anchor="_ENREF_42" w:tooltip="Odugbemi, 1991 #105" w:history="1">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AuthorYear="1"&gt;&lt;Author&gt;Odugbemi&lt;/Author&gt;&lt;Year&gt;1991&lt;/Year&gt;&lt;RecNum&gt;105&lt;/RecNum&gt;&lt;DisplayText&gt;Odugbemi&lt;style face="italic"&gt; et al.&lt;/style&gt; (1991)&lt;/DisplayText&gt;&lt;record&gt;&lt;rec-number&gt;105&lt;/rec-number&gt;&lt;foreign-keys&gt;&lt;key app="EN" db-id="tz9rpzspgx2teie0pzs5w5a7v2exvttzvvdr"&gt;105&lt;/key&gt;&lt;/foreign-keys&gt;&lt;ref-type name="Journal Article"&gt;17&lt;/ref-type&gt;&lt;contributors&gt;&lt;authors&gt;&lt;author&gt;Odugbemi, T&lt;/author&gt;&lt;author&gt;Odujinrin, OM&lt;/author&gt;&lt;author&gt;Akitoye, CO&lt;/author&gt;&lt;author&gt;Oyerinde, JP&lt;/author&gt;&lt;author&gt;Esumeh, FI&lt;/author&gt;&lt;/authors&gt;&lt;/contributors&gt;&lt;titles&gt;&lt;title&gt;Study on the pH of ogi, Nigerian fermented weaning food, and its effect on enteropathogenic Escherichia coli, Salmonella typhi and Salmonella paratyphi&lt;/title&gt;&lt;secondary-title&gt;The Journal of tropical medicine and hygiene&lt;/secondary-title&gt;&lt;/titles&gt;&lt;periodical&gt;&lt;full-title&gt;The Journal of tropical medicine and hygiene&lt;/full-title&gt;&lt;/periodical&gt;&lt;pages&gt;219-223&lt;/pages&gt;&lt;volume&gt;94&lt;/volume&gt;&lt;number&gt;4&lt;/number&gt;&lt;dates&gt;&lt;year&gt;1991&lt;/year&gt;&lt;/dates&gt;&lt;isbn&gt;0022-5304&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Odugbemi</w:t>
        </w:r>
        <w:r>
          <w:rPr>
            <w:rFonts w:ascii="Times New Roman" w:hAnsi="Times New Roman" w:cs="Times New Roman"/>
            <w:i/>
            <w:sz w:val="24"/>
            <w:szCs w:val="24"/>
          </w:rPr>
          <w:t xml:space="preserve"> et al.</w:t>
        </w:r>
        <w:r w:rsidR="008B3F9C">
          <w:rPr>
            <w:rFonts w:ascii="Times New Roman" w:hAnsi="Times New Roman" w:cs="Times New Roman"/>
            <w:i/>
            <w:sz w:val="24"/>
            <w:szCs w:val="24"/>
          </w:rPr>
          <w:t>,</w:t>
        </w:r>
        <w:r>
          <w:rPr>
            <w:rFonts w:ascii="Times New Roman" w:hAnsi="Times New Roman" w:cs="Times New Roman"/>
            <w:sz w:val="24"/>
            <w:szCs w:val="24"/>
          </w:rPr>
          <w:t xml:space="preserve"> (1991)</w:t>
        </w:r>
        <w:r>
          <w:rPr>
            <w:rFonts w:ascii="Times New Roman" w:hAnsi="Times New Roman" w:cs="Times New Roman"/>
            <w:sz w:val="24"/>
            <w:szCs w:val="24"/>
          </w:rPr>
          <w:fldChar w:fldCharType="end"/>
        </w:r>
      </w:hyperlink>
      <w:r>
        <w:rPr>
          <w:rFonts w:ascii="Times New Roman" w:hAnsi="Times New Roman" w:cs="Times New Roman"/>
          <w:sz w:val="24"/>
          <w:szCs w:val="24"/>
        </w:rPr>
        <w:t>. TTA was significant, but the value differences were attributed to fermentation, backed by the ratio of maize/tamarind during the fermentation process.</w:t>
      </w:r>
    </w:p>
    <w:p w14:paraId="5579C7CC" w14:textId="77777777" w:rsidR="00406B68" w:rsidRDefault="001162EA">
      <w:pPr>
        <w:tabs>
          <w:tab w:val="left" w:pos="4770"/>
        </w:tabs>
        <w:autoSpaceDE w:val="0"/>
        <w:autoSpaceDN w:val="0"/>
        <w:adjustRightInd w:val="0"/>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Table 4: pH and Total </w:t>
      </w:r>
      <w:proofErr w:type="spellStart"/>
      <w:r>
        <w:rPr>
          <w:rFonts w:ascii="Times New Roman" w:hAnsi="Times New Roman" w:cs="Times New Roman"/>
          <w:b/>
          <w:sz w:val="24"/>
          <w:szCs w:val="24"/>
        </w:rPr>
        <w:t>Titratable</w:t>
      </w:r>
      <w:proofErr w:type="spellEnd"/>
      <w:r>
        <w:rPr>
          <w:rFonts w:ascii="Times New Roman" w:hAnsi="Times New Roman" w:cs="Times New Roman"/>
          <w:b/>
          <w:sz w:val="24"/>
          <w:szCs w:val="24"/>
        </w:rPr>
        <w:t xml:space="preserve"> Acid</w:t>
      </w:r>
      <w:r>
        <w:rPr>
          <w:rFonts w:ascii="Times New Roman" w:hAnsi="Times New Roman" w:cs="Times New Roman"/>
          <w:sz w:val="24"/>
          <w:szCs w:val="24"/>
        </w:rPr>
        <w:t xml:space="preserve"> </w:t>
      </w:r>
      <w:r>
        <w:rPr>
          <w:rFonts w:ascii="Times New Roman" w:hAnsi="Times New Roman" w:cs="Times New Roman"/>
          <w:b/>
          <w:sz w:val="24"/>
          <w:szCs w:val="24"/>
        </w:rPr>
        <w:t>of Pap Paste Samples</w:t>
      </w:r>
    </w:p>
    <w:tbl>
      <w:tblPr>
        <w:tblStyle w:val="TableGrid"/>
        <w:tblW w:w="657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30"/>
        <w:gridCol w:w="2257"/>
        <w:gridCol w:w="3283"/>
      </w:tblGrid>
      <w:tr w:rsidR="00406B68" w14:paraId="3F444D3E" w14:textId="77777777">
        <w:tc>
          <w:tcPr>
            <w:tcW w:w="960" w:type="dxa"/>
            <w:tcBorders>
              <w:top w:val="single" w:sz="4" w:space="0" w:color="auto"/>
              <w:bottom w:val="single" w:sz="4" w:space="0" w:color="auto"/>
            </w:tcBorders>
          </w:tcPr>
          <w:p w14:paraId="3BF2B97F"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Samples                 </w:t>
            </w:r>
          </w:p>
        </w:tc>
        <w:tc>
          <w:tcPr>
            <w:tcW w:w="2280" w:type="dxa"/>
            <w:tcBorders>
              <w:top w:val="single" w:sz="4" w:space="0" w:color="auto"/>
              <w:bottom w:val="single" w:sz="4" w:space="0" w:color="auto"/>
            </w:tcBorders>
          </w:tcPr>
          <w:p w14:paraId="69C3158D"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pH </w:t>
            </w:r>
          </w:p>
        </w:tc>
        <w:tc>
          <w:tcPr>
            <w:tcW w:w="3330" w:type="dxa"/>
            <w:tcBorders>
              <w:top w:val="single" w:sz="4" w:space="0" w:color="auto"/>
              <w:bottom w:val="single" w:sz="4" w:space="0" w:color="auto"/>
            </w:tcBorders>
          </w:tcPr>
          <w:p w14:paraId="7C1EA8F2"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TTA</w:t>
            </w:r>
          </w:p>
        </w:tc>
      </w:tr>
      <w:tr w:rsidR="00406B68" w14:paraId="0E7BC422" w14:textId="77777777">
        <w:tc>
          <w:tcPr>
            <w:tcW w:w="960" w:type="dxa"/>
            <w:tcBorders>
              <w:top w:val="single" w:sz="4" w:space="0" w:color="auto"/>
            </w:tcBorders>
          </w:tcPr>
          <w:p w14:paraId="3A540AC8"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w:t>
            </w:r>
          </w:p>
        </w:tc>
        <w:tc>
          <w:tcPr>
            <w:tcW w:w="2280" w:type="dxa"/>
            <w:tcBorders>
              <w:top w:val="single" w:sz="4" w:space="0" w:color="auto"/>
            </w:tcBorders>
          </w:tcPr>
          <w:p w14:paraId="452E6A88"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3.23±0.00</w:t>
            </w:r>
            <w:r>
              <w:rPr>
                <w:rFonts w:ascii="Times New Roman" w:hAnsi="Times New Roman" w:cs="Times New Roman"/>
                <w:sz w:val="24"/>
                <w:szCs w:val="24"/>
                <w:vertAlign w:val="superscript"/>
              </w:rPr>
              <w:t>c</w:t>
            </w:r>
          </w:p>
        </w:tc>
        <w:tc>
          <w:tcPr>
            <w:tcW w:w="3330" w:type="dxa"/>
            <w:tcBorders>
              <w:top w:val="single" w:sz="4" w:space="0" w:color="auto"/>
            </w:tcBorders>
          </w:tcPr>
          <w:p w14:paraId="20B9AF03"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0.47±0.03</w:t>
            </w:r>
            <w:r>
              <w:rPr>
                <w:rFonts w:ascii="Times New Roman" w:hAnsi="Times New Roman" w:cs="Times New Roman"/>
                <w:sz w:val="24"/>
                <w:szCs w:val="24"/>
                <w:vertAlign w:val="superscript"/>
              </w:rPr>
              <w:t>c</w:t>
            </w:r>
          </w:p>
        </w:tc>
      </w:tr>
      <w:tr w:rsidR="00406B68" w14:paraId="7436C41A" w14:textId="77777777">
        <w:tc>
          <w:tcPr>
            <w:tcW w:w="960" w:type="dxa"/>
          </w:tcPr>
          <w:p w14:paraId="3D200F1D"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B</w:t>
            </w:r>
          </w:p>
        </w:tc>
        <w:tc>
          <w:tcPr>
            <w:tcW w:w="2280" w:type="dxa"/>
          </w:tcPr>
          <w:p w14:paraId="11F09F4F"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3.35±0.01</w:t>
            </w:r>
            <w:r>
              <w:rPr>
                <w:rFonts w:ascii="Times New Roman" w:hAnsi="Times New Roman" w:cs="Times New Roman"/>
                <w:sz w:val="24"/>
                <w:szCs w:val="24"/>
                <w:vertAlign w:val="superscript"/>
              </w:rPr>
              <w:t>b</w:t>
            </w:r>
          </w:p>
        </w:tc>
        <w:tc>
          <w:tcPr>
            <w:tcW w:w="3330" w:type="dxa"/>
          </w:tcPr>
          <w:p w14:paraId="571C5005"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0.80±0.00</w:t>
            </w:r>
            <w:r>
              <w:rPr>
                <w:rFonts w:ascii="Times New Roman" w:hAnsi="Times New Roman" w:cs="Times New Roman"/>
                <w:sz w:val="24"/>
                <w:szCs w:val="24"/>
                <w:vertAlign w:val="superscript"/>
              </w:rPr>
              <w:t>b</w:t>
            </w:r>
          </w:p>
        </w:tc>
      </w:tr>
      <w:tr w:rsidR="00406B68" w14:paraId="5A49ABDF" w14:textId="77777777">
        <w:tc>
          <w:tcPr>
            <w:tcW w:w="960" w:type="dxa"/>
          </w:tcPr>
          <w:p w14:paraId="740E160C"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w:t>
            </w:r>
          </w:p>
        </w:tc>
        <w:tc>
          <w:tcPr>
            <w:tcW w:w="2280" w:type="dxa"/>
          </w:tcPr>
          <w:p w14:paraId="5B70CD42"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3.44±0.01</w:t>
            </w:r>
            <w:r>
              <w:rPr>
                <w:rFonts w:ascii="Times New Roman" w:hAnsi="Times New Roman" w:cs="Times New Roman"/>
                <w:sz w:val="24"/>
                <w:szCs w:val="24"/>
                <w:vertAlign w:val="superscript"/>
              </w:rPr>
              <w:t>b</w:t>
            </w:r>
          </w:p>
        </w:tc>
        <w:tc>
          <w:tcPr>
            <w:tcW w:w="3330" w:type="dxa"/>
          </w:tcPr>
          <w:p w14:paraId="117F4368"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0.41±0.00</w:t>
            </w:r>
            <w:r>
              <w:rPr>
                <w:rFonts w:ascii="Times New Roman" w:hAnsi="Times New Roman" w:cs="Times New Roman"/>
                <w:sz w:val="24"/>
                <w:szCs w:val="24"/>
                <w:vertAlign w:val="superscript"/>
              </w:rPr>
              <w:t>c</w:t>
            </w:r>
          </w:p>
        </w:tc>
      </w:tr>
      <w:tr w:rsidR="00406B68" w14:paraId="528D18C6" w14:textId="77777777">
        <w:tc>
          <w:tcPr>
            <w:tcW w:w="960" w:type="dxa"/>
          </w:tcPr>
          <w:p w14:paraId="5753619A"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w:t>
            </w:r>
          </w:p>
        </w:tc>
        <w:tc>
          <w:tcPr>
            <w:tcW w:w="2280" w:type="dxa"/>
          </w:tcPr>
          <w:p w14:paraId="34D437BF"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3.80±0.00</w:t>
            </w:r>
            <w:r>
              <w:rPr>
                <w:rFonts w:ascii="Times New Roman" w:hAnsi="Times New Roman" w:cs="Times New Roman"/>
                <w:sz w:val="24"/>
                <w:szCs w:val="24"/>
                <w:vertAlign w:val="superscript"/>
              </w:rPr>
              <w:t>a</w:t>
            </w:r>
          </w:p>
        </w:tc>
        <w:tc>
          <w:tcPr>
            <w:tcW w:w="3330" w:type="dxa"/>
          </w:tcPr>
          <w:p w14:paraId="4C6B7C51"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0.23±0.00</w:t>
            </w:r>
            <w:r>
              <w:rPr>
                <w:rFonts w:ascii="Times New Roman" w:hAnsi="Times New Roman" w:cs="Times New Roman"/>
                <w:sz w:val="24"/>
                <w:szCs w:val="24"/>
                <w:vertAlign w:val="superscript"/>
              </w:rPr>
              <w:t>e</w:t>
            </w:r>
          </w:p>
        </w:tc>
      </w:tr>
      <w:tr w:rsidR="00406B68" w14:paraId="4AC16098" w14:textId="77777777">
        <w:tc>
          <w:tcPr>
            <w:tcW w:w="960" w:type="dxa"/>
          </w:tcPr>
          <w:p w14:paraId="09FC4C9C"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E</w:t>
            </w:r>
          </w:p>
        </w:tc>
        <w:tc>
          <w:tcPr>
            <w:tcW w:w="2280" w:type="dxa"/>
          </w:tcPr>
          <w:p w14:paraId="2F13A6A2"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3.14±0.00</w:t>
            </w:r>
            <w:r>
              <w:rPr>
                <w:rFonts w:ascii="Times New Roman" w:hAnsi="Times New Roman" w:cs="Times New Roman"/>
                <w:sz w:val="24"/>
                <w:szCs w:val="24"/>
                <w:vertAlign w:val="superscript"/>
              </w:rPr>
              <w:t>c</w:t>
            </w:r>
          </w:p>
        </w:tc>
        <w:tc>
          <w:tcPr>
            <w:tcW w:w="3330" w:type="dxa"/>
          </w:tcPr>
          <w:p w14:paraId="1FEC63E7"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1.00±0.00</w:t>
            </w:r>
            <w:r>
              <w:rPr>
                <w:rFonts w:ascii="Times New Roman" w:hAnsi="Times New Roman" w:cs="Times New Roman"/>
                <w:sz w:val="24"/>
                <w:szCs w:val="24"/>
                <w:vertAlign w:val="superscript"/>
              </w:rPr>
              <w:t>a</w:t>
            </w:r>
          </w:p>
        </w:tc>
      </w:tr>
      <w:tr w:rsidR="00406B68" w14:paraId="0050C858" w14:textId="77777777">
        <w:tc>
          <w:tcPr>
            <w:tcW w:w="960" w:type="dxa"/>
          </w:tcPr>
          <w:p w14:paraId="77A39297"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w:t>
            </w:r>
          </w:p>
        </w:tc>
        <w:tc>
          <w:tcPr>
            <w:tcW w:w="2280" w:type="dxa"/>
          </w:tcPr>
          <w:p w14:paraId="593B8FDC"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3.54±0.01</w:t>
            </w:r>
            <w:r>
              <w:rPr>
                <w:rFonts w:ascii="Times New Roman" w:hAnsi="Times New Roman" w:cs="Times New Roman"/>
                <w:sz w:val="24"/>
                <w:szCs w:val="24"/>
                <w:vertAlign w:val="superscript"/>
              </w:rPr>
              <w:t>b</w:t>
            </w:r>
          </w:p>
        </w:tc>
        <w:tc>
          <w:tcPr>
            <w:tcW w:w="3330" w:type="dxa"/>
          </w:tcPr>
          <w:p w14:paraId="5D0ABF11"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0.70±0.00</w:t>
            </w:r>
            <w:r>
              <w:rPr>
                <w:rFonts w:ascii="Times New Roman" w:hAnsi="Times New Roman" w:cs="Times New Roman"/>
                <w:sz w:val="24"/>
                <w:szCs w:val="24"/>
                <w:vertAlign w:val="superscript"/>
              </w:rPr>
              <w:t>b</w:t>
            </w:r>
          </w:p>
        </w:tc>
      </w:tr>
      <w:tr w:rsidR="00406B68" w14:paraId="2C295BD0" w14:textId="77777777">
        <w:tc>
          <w:tcPr>
            <w:tcW w:w="960" w:type="dxa"/>
          </w:tcPr>
          <w:p w14:paraId="3622914A"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G</w:t>
            </w:r>
          </w:p>
        </w:tc>
        <w:tc>
          <w:tcPr>
            <w:tcW w:w="2280" w:type="dxa"/>
          </w:tcPr>
          <w:p w14:paraId="672C9BFF"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3.26±0.00</w:t>
            </w:r>
            <w:r>
              <w:rPr>
                <w:rFonts w:ascii="Times New Roman" w:hAnsi="Times New Roman" w:cs="Times New Roman"/>
                <w:sz w:val="24"/>
                <w:szCs w:val="24"/>
                <w:vertAlign w:val="superscript"/>
              </w:rPr>
              <w:t>c</w:t>
            </w:r>
          </w:p>
        </w:tc>
        <w:tc>
          <w:tcPr>
            <w:tcW w:w="3330" w:type="dxa"/>
          </w:tcPr>
          <w:p w14:paraId="3569853E"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0.34±0.03</w:t>
            </w:r>
            <w:r>
              <w:rPr>
                <w:rFonts w:ascii="Times New Roman" w:hAnsi="Times New Roman" w:cs="Times New Roman"/>
                <w:sz w:val="24"/>
                <w:szCs w:val="24"/>
                <w:vertAlign w:val="superscript"/>
              </w:rPr>
              <w:t>d</w:t>
            </w:r>
          </w:p>
        </w:tc>
      </w:tr>
    </w:tbl>
    <w:p w14:paraId="49B40E8F" w14:textId="77777777" w:rsidR="00406B68" w:rsidRDefault="001162EA">
      <w:pPr>
        <w:tabs>
          <w:tab w:val="left" w:pos="4770"/>
        </w:tabs>
        <w:autoSpaceDE w:val="0"/>
        <w:autoSpaceDN w:val="0"/>
        <w:adjustRightInd w:val="0"/>
        <w:spacing w:line="480" w:lineRule="auto"/>
        <w:jc w:val="both"/>
        <w:rPr>
          <w:rFonts w:ascii="Times New Roman" w:eastAsiaTheme="minorEastAsia" w:hAnsi="Times New Roman" w:cs="Times New Roman"/>
          <w:sz w:val="20"/>
          <w:szCs w:val="24"/>
        </w:rPr>
      </w:pPr>
      <w:r>
        <w:rPr>
          <w:rFonts w:ascii="Times New Roman" w:eastAsiaTheme="minorEastAsia" w:hAnsi="Times New Roman" w:cs="Times New Roman"/>
          <w:sz w:val="20"/>
          <w:szCs w:val="24"/>
        </w:rPr>
        <w:t>Values in the same column with different superscript are significantly different (P˂0.05)</w:t>
      </w:r>
    </w:p>
    <w:p w14:paraId="1B9F4F2E" w14:textId="77777777" w:rsidR="00406B68" w:rsidRDefault="001162EA">
      <w:pPr>
        <w:tabs>
          <w:tab w:val="left" w:pos="4770"/>
        </w:tabs>
        <w:autoSpaceDE w:val="0"/>
        <w:autoSpaceDN w:val="0"/>
        <w:adjustRightInd w:val="0"/>
        <w:spacing w:line="480" w:lineRule="auto"/>
        <w:jc w:val="both"/>
        <w:rPr>
          <w:rFonts w:ascii="Times New Roman" w:eastAsiaTheme="minorEastAsia" w:hAnsi="Times New Roman" w:cs="Times New Roman"/>
          <w:sz w:val="20"/>
          <w:szCs w:val="24"/>
        </w:rPr>
      </w:pPr>
      <w:r>
        <w:rPr>
          <w:rFonts w:ascii="Times New Roman" w:eastAsiaTheme="minorEastAsia" w:hAnsi="Times New Roman" w:cs="Times New Roman"/>
          <w:sz w:val="20"/>
          <w:szCs w:val="24"/>
        </w:rPr>
        <w:t xml:space="preserve">A= 100%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pap paste; B= 95%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5% Tamarind pap paste.</w:t>
      </w:r>
    </w:p>
    <w:p w14:paraId="49AD5946" w14:textId="77777777" w:rsidR="00406B68" w:rsidRDefault="001162EA">
      <w:pPr>
        <w:tabs>
          <w:tab w:val="left" w:pos="4770"/>
        </w:tabs>
        <w:autoSpaceDE w:val="0"/>
        <w:autoSpaceDN w:val="0"/>
        <w:adjustRightInd w:val="0"/>
        <w:spacing w:line="480" w:lineRule="auto"/>
        <w:jc w:val="both"/>
        <w:rPr>
          <w:rFonts w:ascii="Times New Roman" w:eastAsiaTheme="minorEastAsia" w:hAnsi="Times New Roman" w:cs="Times New Roman"/>
          <w:sz w:val="20"/>
          <w:szCs w:val="24"/>
        </w:rPr>
      </w:pPr>
      <w:r>
        <w:rPr>
          <w:rFonts w:ascii="Times New Roman" w:eastAsiaTheme="minorEastAsia" w:hAnsi="Times New Roman" w:cs="Times New Roman"/>
          <w:sz w:val="20"/>
          <w:szCs w:val="24"/>
        </w:rPr>
        <w:t xml:space="preserve">C= 90%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10% Tamarind pap paste; D= 85%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15% Tamarind pap paste; E= 80%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20% Tamarind pap paste; F=75% </w:t>
      </w:r>
      <w:proofErr w:type="spellStart"/>
      <w:r>
        <w:rPr>
          <w:rFonts w:ascii="Times New Roman" w:eastAsiaTheme="minorEastAsia" w:hAnsi="Times New Roman" w:cs="Times New Roman"/>
          <w:sz w:val="20"/>
          <w:szCs w:val="24"/>
        </w:rPr>
        <w:t>Biofortifies</w:t>
      </w:r>
      <w:proofErr w:type="spellEnd"/>
      <w:r>
        <w:rPr>
          <w:rFonts w:ascii="Times New Roman" w:eastAsiaTheme="minorEastAsia" w:hAnsi="Times New Roman" w:cs="Times New Roman"/>
          <w:sz w:val="20"/>
          <w:szCs w:val="24"/>
        </w:rPr>
        <w:t xml:space="preserve"> maize, 25%Tamarind pap paste; G=70%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30% Tamarind pap paste.</w:t>
      </w:r>
    </w:p>
    <w:p w14:paraId="1A46A9CC" w14:textId="77777777" w:rsidR="00406B68" w:rsidRDefault="001162EA">
      <w:pPr>
        <w:spacing w:line="480" w:lineRule="auto"/>
        <w:jc w:val="both"/>
        <w:rPr>
          <w:rFonts w:ascii="Times New Roman" w:hAnsi="Times New Roman" w:cs="Times New Roman"/>
          <w:sz w:val="24"/>
          <w:szCs w:val="24"/>
        </w:rPr>
      </w:pPr>
      <w:proofErr w:type="spellStart"/>
      <w:r>
        <w:rPr>
          <w:rFonts w:ascii="Times New Roman" w:hAnsi="Times New Roman" w:cs="Times New Roman"/>
          <w:b/>
          <w:i/>
          <w:sz w:val="24"/>
          <w:szCs w:val="24"/>
        </w:rPr>
        <w:t>Colour</w:t>
      </w:r>
      <w:proofErr w:type="spellEnd"/>
      <w:r>
        <w:rPr>
          <w:rFonts w:ascii="Times New Roman" w:hAnsi="Times New Roman" w:cs="Times New Roman"/>
          <w:b/>
          <w:i/>
          <w:sz w:val="24"/>
          <w:szCs w:val="24"/>
        </w:rPr>
        <w:t xml:space="preserve"> Analysis of the Samples</w:t>
      </w:r>
      <w:r>
        <w:rPr>
          <w:rFonts w:ascii="Times New Roman" w:hAnsi="Times New Roman" w:cs="Times New Roman"/>
          <w:sz w:val="24"/>
          <w:szCs w:val="24"/>
        </w:rPr>
        <w:t>:</w:t>
      </w:r>
      <w:r>
        <w:rPr>
          <w:rFonts w:ascii="Times New Roman" w:hAnsi="Times New Roman" w:cs="Times New Roman"/>
          <w:i/>
          <w:sz w:val="24"/>
          <w:szCs w:val="24"/>
        </w:rPr>
        <w:t xml:space="preserve"> </w:t>
      </w:r>
      <w:proofErr w:type="spellStart"/>
      <w:r>
        <w:rPr>
          <w:rFonts w:ascii="Times New Roman" w:hAnsi="Times New Roman" w:cs="Times New Roman"/>
          <w:sz w:val="24"/>
          <w:szCs w:val="24"/>
        </w:rPr>
        <w:t>Colour</w:t>
      </w:r>
      <w:proofErr w:type="spellEnd"/>
      <w:r>
        <w:rPr>
          <w:rFonts w:ascii="Times New Roman" w:hAnsi="Times New Roman" w:cs="Times New Roman"/>
          <w:sz w:val="24"/>
          <w:szCs w:val="24"/>
        </w:rPr>
        <w:t xml:space="preserve"> is an important parameter in bio-fortified foods. Lightness of the samples was significant, with values from 46.72 to 47.25, and control not different from samples D and E. Redness values were not significant (p&lt;0.05) from one other, though control was highest. The yellowness was significant; it decreased with tamarind pulp increase and reducing bio-fortified maize content.</w:t>
      </w:r>
    </w:p>
    <w:p w14:paraId="23ECC902" w14:textId="77777777" w:rsidR="00406B68" w:rsidRDefault="001162EA">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Table 5: </w:t>
      </w:r>
      <w:proofErr w:type="spellStart"/>
      <w:r>
        <w:rPr>
          <w:rFonts w:ascii="Times New Roman" w:hAnsi="Times New Roman" w:cs="Times New Roman"/>
          <w:b/>
          <w:sz w:val="24"/>
          <w:szCs w:val="24"/>
        </w:rPr>
        <w:t>Colour</w:t>
      </w:r>
      <w:proofErr w:type="spellEnd"/>
      <w:r>
        <w:rPr>
          <w:rFonts w:ascii="Times New Roman" w:hAnsi="Times New Roman" w:cs="Times New Roman"/>
          <w:b/>
          <w:sz w:val="24"/>
          <w:szCs w:val="24"/>
        </w:rPr>
        <w:t xml:space="preserve"> Analysis of Pap Paste Samples</w:t>
      </w:r>
    </w:p>
    <w:tbl>
      <w:tblPr>
        <w:tblStyle w:val="TableGrid"/>
        <w:tblW w:w="9349" w:type="dxa"/>
        <w:tblLook w:val="04A0" w:firstRow="1" w:lastRow="0" w:firstColumn="1" w:lastColumn="0" w:noHBand="0" w:noVBand="1"/>
      </w:tblPr>
      <w:tblGrid>
        <w:gridCol w:w="2337"/>
        <w:gridCol w:w="2337"/>
        <w:gridCol w:w="2337"/>
        <w:gridCol w:w="2338"/>
      </w:tblGrid>
      <w:tr w:rsidR="00406B68" w14:paraId="46DE25E3" w14:textId="77777777">
        <w:tc>
          <w:tcPr>
            <w:tcW w:w="2337" w:type="dxa"/>
            <w:tcBorders>
              <w:left w:val="nil"/>
              <w:bottom w:val="single" w:sz="4" w:space="0" w:color="auto"/>
              <w:right w:val="nil"/>
            </w:tcBorders>
          </w:tcPr>
          <w:p w14:paraId="4DE819A8"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Samples</w:t>
            </w:r>
          </w:p>
        </w:tc>
        <w:tc>
          <w:tcPr>
            <w:tcW w:w="2337" w:type="dxa"/>
            <w:tcBorders>
              <w:left w:val="nil"/>
              <w:bottom w:val="single" w:sz="4" w:space="0" w:color="auto"/>
              <w:right w:val="nil"/>
            </w:tcBorders>
          </w:tcPr>
          <w:p w14:paraId="5C2D2A41"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L*</w:t>
            </w:r>
          </w:p>
        </w:tc>
        <w:tc>
          <w:tcPr>
            <w:tcW w:w="2337" w:type="dxa"/>
            <w:tcBorders>
              <w:left w:val="nil"/>
              <w:bottom w:val="single" w:sz="4" w:space="0" w:color="auto"/>
              <w:right w:val="nil"/>
            </w:tcBorders>
          </w:tcPr>
          <w:p w14:paraId="4BBAF2DA"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a*</w:t>
            </w:r>
          </w:p>
        </w:tc>
        <w:tc>
          <w:tcPr>
            <w:tcW w:w="2338" w:type="dxa"/>
            <w:tcBorders>
              <w:left w:val="nil"/>
              <w:bottom w:val="single" w:sz="4" w:space="0" w:color="auto"/>
              <w:right w:val="nil"/>
            </w:tcBorders>
          </w:tcPr>
          <w:p w14:paraId="5E037CF8"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b*</w:t>
            </w:r>
          </w:p>
        </w:tc>
      </w:tr>
      <w:tr w:rsidR="00406B68" w14:paraId="6D20CCDA" w14:textId="77777777">
        <w:tc>
          <w:tcPr>
            <w:tcW w:w="2337" w:type="dxa"/>
            <w:tcBorders>
              <w:left w:val="nil"/>
              <w:bottom w:val="nil"/>
              <w:right w:val="nil"/>
            </w:tcBorders>
          </w:tcPr>
          <w:p w14:paraId="53604F9A"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w:t>
            </w:r>
          </w:p>
        </w:tc>
        <w:tc>
          <w:tcPr>
            <w:tcW w:w="2337" w:type="dxa"/>
            <w:tcBorders>
              <w:left w:val="nil"/>
              <w:bottom w:val="nil"/>
              <w:right w:val="nil"/>
            </w:tcBorders>
          </w:tcPr>
          <w:p w14:paraId="30DAB47E"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47.25±0.05</w:t>
            </w:r>
            <w:r>
              <w:rPr>
                <w:rFonts w:ascii="Times New Roman" w:hAnsi="Times New Roman" w:cs="Times New Roman"/>
                <w:sz w:val="24"/>
                <w:szCs w:val="24"/>
                <w:vertAlign w:val="superscript"/>
              </w:rPr>
              <w:t>a</w:t>
            </w:r>
          </w:p>
        </w:tc>
        <w:tc>
          <w:tcPr>
            <w:tcW w:w="2337" w:type="dxa"/>
            <w:tcBorders>
              <w:left w:val="nil"/>
              <w:bottom w:val="nil"/>
              <w:right w:val="nil"/>
            </w:tcBorders>
          </w:tcPr>
          <w:p w14:paraId="514B0EAE"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3.38±0.01</w:t>
            </w:r>
            <w:r>
              <w:rPr>
                <w:rFonts w:ascii="Times New Roman" w:hAnsi="Times New Roman" w:cs="Times New Roman"/>
                <w:sz w:val="24"/>
                <w:szCs w:val="24"/>
                <w:vertAlign w:val="superscript"/>
              </w:rPr>
              <w:t>a</w:t>
            </w:r>
          </w:p>
        </w:tc>
        <w:tc>
          <w:tcPr>
            <w:tcW w:w="2338" w:type="dxa"/>
            <w:tcBorders>
              <w:left w:val="nil"/>
              <w:bottom w:val="nil"/>
              <w:right w:val="nil"/>
            </w:tcBorders>
          </w:tcPr>
          <w:p w14:paraId="477EF8EF"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5.95±0.01</w:t>
            </w:r>
            <w:r>
              <w:rPr>
                <w:rFonts w:ascii="Times New Roman" w:hAnsi="Times New Roman" w:cs="Times New Roman"/>
                <w:sz w:val="24"/>
                <w:szCs w:val="24"/>
                <w:vertAlign w:val="superscript"/>
              </w:rPr>
              <w:t>a</w:t>
            </w:r>
          </w:p>
        </w:tc>
      </w:tr>
      <w:tr w:rsidR="00406B68" w14:paraId="6A1D3011" w14:textId="77777777">
        <w:tc>
          <w:tcPr>
            <w:tcW w:w="2337" w:type="dxa"/>
            <w:tcBorders>
              <w:top w:val="nil"/>
              <w:left w:val="nil"/>
              <w:bottom w:val="nil"/>
              <w:right w:val="nil"/>
            </w:tcBorders>
          </w:tcPr>
          <w:p w14:paraId="1E5FB3D8"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B</w:t>
            </w:r>
          </w:p>
        </w:tc>
        <w:tc>
          <w:tcPr>
            <w:tcW w:w="2337" w:type="dxa"/>
            <w:tcBorders>
              <w:top w:val="nil"/>
              <w:left w:val="nil"/>
              <w:bottom w:val="nil"/>
              <w:right w:val="nil"/>
            </w:tcBorders>
          </w:tcPr>
          <w:p w14:paraId="588327A1"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46.87±0.06</w:t>
            </w:r>
            <w:r>
              <w:rPr>
                <w:rFonts w:ascii="Times New Roman" w:hAnsi="Times New Roman" w:cs="Times New Roman"/>
                <w:sz w:val="24"/>
                <w:szCs w:val="24"/>
                <w:vertAlign w:val="superscript"/>
              </w:rPr>
              <w:t>b</w:t>
            </w:r>
          </w:p>
        </w:tc>
        <w:tc>
          <w:tcPr>
            <w:tcW w:w="2337" w:type="dxa"/>
            <w:tcBorders>
              <w:top w:val="nil"/>
              <w:left w:val="nil"/>
              <w:bottom w:val="nil"/>
              <w:right w:val="nil"/>
            </w:tcBorders>
          </w:tcPr>
          <w:p w14:paraId="3A94343D"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3.33±0.01</w:t>
            </w:r>
            <w:r>
              <w:rPr>
                <w:rFonts w:ascii="Times New Roman" w:hAnsi="Times New Roman" w:cs="Times New Roman"/>
                <w:sz w:val="24"/>
                <w:szCs w:val="24"/>
                <w:vertAlign w:val="superscript"/>
              </w:rPr>
              <w:t>a</w:t>
            </w:r>
          </w:p>
        </w:tc>
        <w:tc>
          <w:tcPr>
            <w:tcW w:w="2338" w:type="dxa"/>
            <w:tcBorders>
              <w:top w:val="nil"/>
              <w:left w:val="nil"/>
              <w:bottom w:val="nil"/>
              <w:right w:val="nil"/>
            </w:tcBorders>
          </w:tcPr>
          <w:p w14:paraId="62A4DF73"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5.57±0.01</w:t>
            </w:r>
            <w:r>
              <w:rPr>
                <w:rFonts w:ascii="Times New Roman" w:hAnsi="Times New Roman" w:cs="Times New Roman"/>
                <w:sz w:val="24"/>
                <w:szCs w:val="24"/>
                <w:vertAlign w:val="superscript"/>
              </w:rPr>
              <w:t>b</w:t>
            </w:r>
          </w:p>
        </w:tc>
      </w:tr>
      <w:tr w:rsidR="00406B68" w14:paraId="335868C7" w14:textId="77777777">
        <w:tc>
          <w:tcPr>
            <w:tcW w:w="2337" w:type="dxa"/>
            <w:tcBorders>
              <w:top w:val="nil"/>
              <w:left w:val="nil"/>
              <w:bottom w:val="nil"/>
              <w:right w:val="nil"/>
            </w:tcBorders>
          </w:tcPr>
          <w:p w14:paraId="7CC9EE97"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w:t>
            </w:r>
          </w:p>
        </w:tc>
        <w:tc>
          <w:tcPr>
            <w:tcW w:w="2337" w:type="dxa"/>
            <w:tcBorders>
              <w:top w:val="nil"/>
              <w:left w:val="nil"/>
              <w:bottom w:val="nil"/>
              <w:right w:val="nil"/>
            </w:tcBorders>
          </w:tcPr>
          <w:p w14:paraId="69D2FEB4"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46.91±0.04</w:t>
            </w:r>
            <w:r>
              <w:rPr>
                <w:rFonts w:ascii="Times New Roman" w:hAnsi="Times New Roman" w:cs="Times New Roman"/>
                <w:sz w:val="24"/>
                <w:szCs w:val="24"/>
                <w:vertAlign w:val="superscript"/>
              </w:rPr>
              <w:t>b</w:t>
            </w:r>
          </w:p>
        </w:tc>
        <w:tc>
          <w:tcPr>
            <w:tcW w:w="2337" w:type="dxa"/>
            <w:tcBorders>
              <w:top w:val="nil"/>
              <w:left w:val="nil"/>
              <w:bottom w:val="nil"/>
              <w:right w:val="nil"/>
            </w:tcBorders>
          </w:tcPr>
          <w:p w14:paraId="5E82364D"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3.33±0.01</w:t>
            </w:r>
            <w:r>
              <w:rPr>
                <w:rFonts w:ascii="Times New Roman" w:hAnsi="Times New Roman" w:cs="Times New Roman"/>
                <w:sz w:val="24"/>
                <w:szCs w:val="24"/>
                <w:vertAlign w:val="superscript"/>
              </w:rPr>
              <w:t>a</w:t>
            </w:r>
          </w:p>
        </w:tc>
        <w:tc>
          <w:tcPr>
            <w:tcW w:w="2338" w:type="dxa"/>
            <w:tcBorders>
              <w:top w:val="nil"/>
              <w:left w:val="nil"/>
              <w:bottom w:val="nil"/>
              <w:right w:val="nil"/>
            </w:tcBorders>
          </w:tcPr>
          <w:p w14:paraId="446A0BED"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5.62±0.00</w:t>
            </w:r>
            <w:r>
              <w:rPr>
                <w:rFonts w:ascii="Times New Roman" w:hAnsi="Times New Roman" w:cs="Times New Roman"/>
                <w:sz w:val="24"/>
                <w:szCs w:val="24"/>
                <w:vertAlign w:val="superscript"/>
              </w:rPr>
              <w:t>b</w:t>
            </w:r>
          </w:p>
        </w:tc>
      </w:tr>
      <w:tr w:rsidR="00406B68" w14:paraId="14AD4A27" w14:textId="77777777">
        <w:tc>
          <w:tcPr>
            <w:tcW w:w="2337" w:type="dxa"/>
            <w:tcBorders>
              <w:top w:val="nil"/>
              <w:left w:val="nil"/>
              <w:bottom w:val="nil"/>
              <w:right w:val="nil"/>
            </w:tcBorders>
          </w:tcPr>
          <w:p w14:paraId="61B8606D"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w:t>
            </w:r>
          </w:p>
        </w:tc>
        <w:tc>
          <w:tcPr>
            <w:tcW w:w="2337" w:type="dxa"/>
            <w:tcBorders>
              <w:top w:val="nil"/>
              <w:left w:val="nil"/>
              <w:bottom w:val="nil"/>
              <w:right w:val="nil"/>
            </w:tcBorders>
          </w:tcPr>
          <w:p w14:paraId="79581008"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47.07±0.02</w:t>
            </w:r>
            <w:r>
              <w:rPr>
                <w:rFonts w:ascii="Times New Roman" w:hAnsi="Times New Roman" w:cs="Times New Roman"/>
                <w:sz w:val="24"/>
                <w:szCs w:val="24"/>
                <w:vertAlign w:val="superscript"/>
              </w:rPr>
              <w:t>a</w:t>
            </w:r>
          </w:p>
        </w:tc>
        <w:tc>
          <w:tcPr>
            <w:tcW w:w="2337" w:type="dxa"/>
            <w:tcBorders>
              <w:top w:val="nil"/>
              <w:left w:val="nil"/>
              <w:bottom w:val="nil"/>
              <w:right w:val="nil"/>
            </w:tcBorders>
          </w:tcPr>
          <w:p w14:paraId="426C0C53"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3.33±0.00</w:t>
            </w:r>
            <w:r>
              <w:rPr>
                <w:rFonts w:ascii="Times New Roman" w:hAnsi="Times New Roman" w:cs="Times New Roman"/>
                <w:sz w:val="24"/>
                <w:szCs w:val="24"/>
                <w:vertAlign w:val="superscript"/>
              </w:rPr>
              <w:t>a</w:t>
            </w:r>
          </w:p>
        </w:tc>
        <w:tc>
          <w:tcPr>
            <w:tcW w:w="2338" w:type="dxa"/>
            <w:tcBorders>
              <w:top w:val="nil"/>
              <w:left w:val="nil"/>
              <w:bottom w:val="nil"/>
              <w:right w:val="nil"/>
            </w:tcBorders>
          </w:tcPr>
          <w:p w14:paraId="4621AB16"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5.64±0.00</w:t>
            </w:r>
            <w:r>
              <w:rPr>
                <w:rFonts w:ascii="Times New Roman" w:hAnsi="Times New Roman" w:cs="Times New Roman"/>
                <w:sz w:val="24"/>
                <w:szCs w:val="24"/>
                <w:vertAlign w:val="superscript"/>
              </w:rPr>
              <w:t>b</w:t>
            </w:r>
          </w:p>
        </w:tc>
      </w:tr>
      <w:tr w:rsidR="00406B68" w14:paraId="3273A88E" w14:textId="77777777">
        <w:tc>
          <w:tcPr>
            <w:tcW w:w="2337" w:type="dxa"/>
            <w:tcBorders>
              <w:top w:val="nil"/>
              <w:left w:val="nil"/>
              <w:bottom w:val="nil"/>
              <w:right w:val="nil"/>
            </w:tcBorders>
          </w:tcPr>
          <w:p w14:paraId="570287DE"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E</w:t>
            </w:r>
          </w:p>
        </w:tc>
        <w:tc>
          <w:tcPr>
            <w:tcW w:w="2337" w:type="dxa"/>
            <w:tcBorders>
              <w:top w:val="nil"/>
              <w:left w:val="nil"/>
              <w:bottom w:val="nil"/>
              <w:right w:val="nil"/>
            </w:tcBorders>
          </w:tcPr>
          <w:p w14:paraId="1723375A"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47.06±0.04</w:t>
            </w:r>
            <w:r>
              <w:rPr>
                <w:rFonts w:ascii="Times New Roman" w:hAnsi="Times New Roman" w:cs="Times New Roman"/>
                <w:sz w:val="24"/>
                <w:szCs w:val="24"/>
                <w:vertAlign w:val="superscript"/>
              </w:rPr>
              <w:t>a</w:t>
            </w:r>
          </w:p>
        </w:tc>
        <w:tc>
          <w:tcPr>
            <w:tcW w:w="2337" w:type="dxa"/>
            <w:tcBorders>
              <w:top w:val="nil"/>
              <w:left w:val="nil"/>
              <w:bottom w:val="nil"/>
              <w:right w:val="nil"/>
            </w:tcBorders>
          </w:tcPr>
          <w:p w14:paraId="3D0F3A28"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3.31±0.01</w:t>
            </w:r>
            <w:r>
              <w:rPr>
                <w:rFonts w:ascii="Times New Roman" w:hAnsi="Times New Roman" w:cs="Times New Roman"/>
                <w:sz w:val="24"/>
                <w:szCs w:val="24"/>
                <w:vertAlign w:val="superscript"/>
              </w:rPr>
              <w:t>ab</w:t>
            </w:r>
          </w:p>
        </w:tc>
        <w:tc>
          <w:tcPr>
            <w:tcW w:w="2338" w:type="dxa"/>
            <w:tcBorders>
              <w:top w:val="nil"/>
              <w:left w:val="nil"/>
              <w:bottom w:val="nil"/>
              <w:right w:val="nil"/>
            </w:tcBorders>
          </w:tcPr>
          <w:p w14:paraId="0C36EECB"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5.57±0.02</w:t>
            </w:r>
            <w:r>
              <w:rPr>
                <w:rFonts w:ascii="Times New Roman" w:hAnsi="Times New Roman" w:cs="Times New Roman"/>
                <w:sz w:val="24"/>
                <w:szCs w:val="24"/>
                <w:vertAlign w:val="superscript"/>
              </w:rPr>
              <w:t>b</w:t>
            </w:r>
          </w:p>
        </w:tc>
      </w:tr>
      <w:tr w:rsidR="00406B68" w14:paraId="50C064A3" w14:textId="77777777">
        <w:tc>
          <w:tcPr>
            <w:tcW w:w="2337" w:type="dxa"/>
            <w:tcBorders>
              <w:top w:val="nil"/>
              <w:left w:val="nil"/>
              <w:bottom w:val="nil"/>
              <w:right w:val="nil"/>
            </w:tcBorders>
          </w:tcPr>
          <w:p w14:paraId="1A161C04"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w:t>
            </w:r>
          </w:p>
        </w:tc>
        <w:tc>
          <w:tcPr>
            <w:tcW w:w="2337" w:type="dxa"/>
            <w:tcBorders>
              <w:top w:val="nil"/>
              <w:left w:val="nil"/>
              <w:bottom w:val="nil"/>
              <w:right w:val="nil"/>
            </w:tcBorders>
          </w:tcPr>
          <w:p w14:paraId="5D3D836B"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46.84±0.02</w:t>
            </w:r>
            <w:r>
              <w:rPr>
                <w:rFonts w:ascii="Times New Roman" w:hAnsi="Times New Roman" w:cs="Times New Roman"/>
                <w:sz w:val="24"/>
                <w:szCs w:val="24"/>
                <w:vertAlign w:val="superscript"/>
              </w:rPr>
              <w:t>b</w:t>
            </w:r>
          </w:p>
        </w:tc>
        <w:tc>
          <w:tcPr>
            <w:tcW w:w="2337" w:type="dxa"/>
            <w:tcBorders>
              <w:top w:val="nil"/>
              <w:left w:val="nil"/>
              <w:bottom w:val="nil"/>
              <w:right w:val="nil"/>
            </w:tcBorders>
          </w:tcPr>
          <w:p w14:paraId="1BE78208"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3.31±0.01</w:t>
            </w:r>
            <w:r>
              <w:rPr>
                <w:rFonts w:ascii="Times New Roman" w:hAnsi="Times New Roman" w:cs="Times New Roman"/>
                <w:sz w:val="24"/>
                <w:szCs w:val="24"/>
                <w:vertAlign w:val="superscript"/>
              </w:rPr>
              <w:t>ab</w:t>
            </w:r>
          </w:p>
        </w:tc>
        <w:tc>
          <w:tcPr>
            <w:tcW w:w="2338" w:type="dxa"/>
            <w:tcBorders>
              <w:top w:val="nil"/>
              <w:left w:val="nil"/>
              <w:bottom w:val="nil"/>
              <w:right w:val="nil"/>
            </w:tcBorders>
          </w:tcPr>
          <w:p w14:paraId="1B741E70"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5.52±0.02</w:t>
            </w:r>
            <w:r>
              <w:rPr>
                <w:rFonts w:ascii="Times New Roman" w:hAnsi="Times New Roman" w:cs="Times New Roman"/>
                <w:sz w:val="24"/>
                <w:szCs w:val="24"/>
                <w:vertAlign w:val="superscript"/>
              </w:rPr>
              <w:t>bc</w:t>
            </w:r>
          </w:p>
        </w:tc>
      </w:tr>
      <w:tr w:rsidR="00406B68" w14:paraId="7BD52194" w14:textId="77777777">
        <w:tc>
          <w:tcPr>
            <w:tcW w:w="2337" w:type="dxa"/>
            <w:tcBorders>
              <w:top w:val="nil"/>
              <w:left w:val="nil"/>
              <w:right w:val="nil"/>
            </w:tcBorders>
          </w:tcPr>
          <w:p w14:paraId="7FE192A9"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G</w:t>
            </w:r>
          </w:p>
        </w:tc>
        <w:tc>
          <w:tcPr>
            <w:tcW w:w="2337" w:type="dxa"/>
            <w:tcBorders>
              <w:top w:val="nil"/>
              <w:left w:val="nil"/>
              <w:right w:val="nil"/>
            </w:tcBorders>
          </w:tcPr>
          <w:p w14:paraId="0BC4483F"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46.72±0.04</w:t>
            </w:r>
            <w:r>
              <w:rPr>
                <w:rFonts w:ascii="Times New Roman" w:hAnsi="Times New Roman" w:cs="Times New Roman"/>
                <w:sz w:val="24"/>
                <w:szCs w:val="24"/>
                <w:vertAlign w:val="superscript"/>
              </w:rPr>
              <w:t>b</w:t>
            </w:r>
          </w:p>
        </w:tc>
        <w:tc>
          <w:tcPr>
            <w:tcW w:w="2337" w:type="dxa"/>
            <w:tcBorders>
              <w:top w:val="nil"/>
              <w:left w:val="nil"/>
              <w:right w:val="nil"/>
            </w:tcBorders>
          </w:tcPr>
          <w:p w14:paraId="04144D44"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3.34±0.01</w:t>
            </w:r>
            <w:r>
              <w:rPr>
                <w:rFonts w:ascii="Times New Roman" w:hAnsi="Times New Roman" w:cs="Times New Roman"/>
                <w:sz w:val="24"/>
                <w:szCs w:val="24"/>
                <w:vertAlign w:val="superscript"/>
              </w:rPr>
              <w:t>a</w:t>
            </w:r>
          </w:p>
        </w:tc>
        <w:tc>
          <w:tcPr>
            <w:tcW w:w="2338" w:type="dxa"/>
            <w:tcBorders>
              <w:top w:val="nil"/>
              <w:left w:val="nil"/>
              <w:right w:val="nil"/>
            </w:tcBorders>
          </w:tcPr>
          <w:p w14:paraId="19E4DBE8"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5.49±0.02</w:t>
            </w:r>
            <w:r>
              <w:rPr>
                <w:rFonts w:ascii="Times New Roman" w:hAnsi="Times New Roman" w:cs="Times New Roman"/>
                <w:sz w:val="24"/>
                <w:szCs w:val="24"/>
                <w:vertAlign w:val="superscript"/>
              </w:rPr>
              <w:t>c</w:t>
            </w:r>
          </w:p>
        </w:tc>
      </w:tr>
    </w:tbl>
    <w:p w14:paraId="3A7623DA" w14:textId="77777777" w:rsidR="00406B68" w:rsidRDefault="001162EA">
      <w:pPr>
        <w:tabs>
          <w:tab w:val="left" w:pos="4770"/>
        </w:tabs>
        <w:autoSpaceDE w:val="0"/>
        <w:autoSpaceDN w:val="0"/>
        <w:adjustRightInd w:val="0"/>
        <w:spacing w:line="480" w:lineRule="auto"/>
        <w:jc w:val="both"/>
        <w:rPr>
          <w:rFonts w:ascii="Times New Roman" w:eastAsiaTheme="minorEastAsia" w:hAnsi="Times New Roman" w:cs="Times New Roman"/>
          <w:sz w:val="20"/>
          <w:szCs w:val="24"/>
        </w:rPr>
      </w:pPr>
      <w:r>
        <w:rPr>
          <w:rFonts w:ascii="Times New Roman" w:eastAsiaTheme="minorEastAsia" w:hAnsi="Times New Roman" w:cs="Times New Roman"/>
          <w:sz w:val="20"/>
          <w:szCs w:val="24"/>
        </w:rPr>
        <w:lastRenderedPageBreak/>
        <w:t>Values in the same column with different superscript are significantly different (P˂0.05). L*, a*, b* means Lightness, redness and yellowness respectively.</w:t>
      </w:r>
    </w:p>
    <w:p w14:paraId="614A2A0D" w14:textId="77777777" w:rsidR="00406B68" w:rsidRDefault="001162EA">
      <w:pPr>
        <w:tabs>
          <w:tab w:val="left" w:pos="4770"/>
        </w:tabs>
        <w:autoSpaceDE w:val="0"/>
        <w:autoSpaceDN w:val="0"/>
        <w:adjustRightInd w:val="0"/>
        <w:spacing w:line="480" w:lineRule="auto"/>
        <w:jc w:val="both"/>
        <w:rPr>
          <w:rFonts w:ascii="Times New Roman" w:eastAsiaTheme="minorEastAsia" w:hAnsi="Times New Roman" w:cs="Times New Roman"/>
          <w:sz w:val="20"/>
          <w:szCs w:val="24"/>
        </w:rPr>
      </w:pPr>
      <w:r>
        <w:rPr>
          <w:rFonts w:ascii="Times New Roman" w:eastAsiaTheme="minorEastAsia" w:hAnsi="Times New Roman" w:cs="Times New Roman"/>
          <w:sz w:val="20"/>
          <w:szCs w:val="24"/>
        </w:rPr>
        <w:t xml:space="preserve">A= 100%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pap paste; B= 95%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5% Tamarind pap paste; C= 90%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10% Tamarind pap paste; D= 85%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15% Tamarind pap paste; E= 80%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20% Tamarind pap paste, F=75% </w:t>
      </w:r>
      <w:proofErr w:type="spellStart"/>
      <w:r>
        <w:rPr>
          <w:rFonts w:ascii="Times New Roman" w:eastAsiaTheme="minorEastAsia" w:hAnsi="Times New Roman" w:cs="Times New Roman"/>
          <w:sz w:val="20"/>
          <w:szCs w:val="24"/>
        </w:rPr>
        <w:t>Biofortifies</w:t>
      </w:r>
      <w:proofErr w:type="spellEnd"/>
      <w:r>
        <w:rPr>
          <w:rFonts w:ascii="Times New Roman" w:eastAsiaTheme="minorEastAsia" w:hAnsi="Times New Roman" w:cs="Times New Roman"/>
          <w:sz w:val="20"/>
          <w:szCs w:val="24"/>
        </w:rPr>
        <w:t xml:space="preserve"> maize, 25%Tamarind pap paste; G=70%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30% Tamarind pap paste.</w:t>
      </w:r>
    </w:p>
    <w:p w14:paraId="753C15FA" w14:textId="6FF191F0" w:rsidR="00406B68" w:rsidRDefault="001162EA">
      <w:pPr>
        <w:spacing w:line="480" w:lineRule="auto"/>
        <w:jc w:val="both"/>
        <w:rPr>
          <w:rFonts w:ascii="Times New Roman" w:hAnsi="Times New Roman" w:cs="Times New Roman"/>
          <w:sz w:val="24"/>
          <w:szCs w:val="24"/>
        </w:rPr>
      </w:pPr>
      <w:r>
        <w:rPr>
          <w:rFonts w:ascii="Times New Roman" w:hAnsi="Times New Roman" w:cs="Times New Roman"/>
          <w:b/>
          <w:i/>
          <w:sz w:val="24"/>
          <w:szCs w:val="24"/>
        </w:rPr>
        <w:t>Mineral Content of Pap Paste Samples</w:t>
      </w:r>
      <w:r>
        <w:rPr>
          <w:rFonts w:ascii="Times New Roman" w:hAnsi="Times New Roman" w:cs="Times New Roman"/>
          <w:sz w:val="24"/>
          <w:szCs w:val="24"/>
        </w:rPr>
        <w:t>:</w:t>
      </w:r>
      <w:r>
        <w:rPr>
          <w:rFonts w:ascii="Times New Roman" w:hAnsi="Times New Roman" w:cs="Times New Roman"/>
          <w:i/>
          <w:sz w:val="24"/>
          <w:szCs w:val="24"/>
        </w:rPr>
        <w:t xml:space="preserve"> </w:t>
      </w:r>
      <w:r>
        <w:rPr>
          <w:rFonts w:ascii="Times New Roman" w:hAnsi="Times New Roman" w:cs="Times New Roman"/>
          <w:sz w:val="24"/>
          <w:szCs w:val="24"/>
        </w:rPr>
        <w:t xml:space="preserve">Some minerals </w:t>
      </w:r>
      <w:proofErr w:type="spellStart"/>
      <w:r>
        <w:rPr>
          <w:rFonts w:ascii="Times New Roman" w:hAnsi="Times New Roman" w:cs="Times New Roman"/>
          <w:sz w:val="24"/>
          <w:szCs w:val="24"/>
        </w:rPr>
        <w:t>analysed</w:t>
      </w:r>
      <w:proofErr w:type="spellEnd"/>
      <w:r>
        <w:rPr>
          <w:rFonts w:ascii="Times New Roman" w:hAnsi="Times New Roman" w:cs="Times New Roman"/>
          <w:sz w:val="24"/>
          <w:szCs w:val="24"/>
        </w:rPr>
        <w:t xml:space="preserve"> include Calcium (</w:t>
      </w:r>
      <w:proofErr w:type="spellStart"/>
      <w:r>
        <w:rPr>
          <w:rFonts w:ascii="Times New Roman" w:hAnsi="Times New Roman" w:cs="Times New Roman"/>
          <w:sz w:val="24"/>
          <w:szCs w:val="24"/>
        </w:rPr>
        <w:t>Ca</w:t>
      </w:r>
      <w:proofErr w:type="spellEnd"/>
      <w:r>
        <w:rPr>
          <w:rFonts w:ascii="Times New Roman" w:hAnsi="Times New Roman" w:cs="Times New Roman"/>
          <w:sz w:val="24"/>
          <w:szCs w:val="24"/>
        </w:rPr>
        <w:t xml:space="preserve">), magnesium (Mg), sodium (Na), </w:t>
      </w:r>
      <w:proofErr w:type="spellStart"/>
      <w:proofErr w:type="gramStart"/>
      <w:r>
        <w:rPr>
          <w:rFonts w:ascii="Times New Roman" w:hAnsi="Times New Roman" w:cs="Times New Roman"/>
          <w:sz w:val="24"/>
          <w:szCs w:val="24"/>
        </w:rPr>
        <w:t>pottasium</w:t>
      </w:r>
      <w:proofErr w:type="spellEnd"/>
      <w:proofErr w:type="gramEnd"/>
      <w:r>
        <w:rPr>
          <w:rFonts w:ascii="Times New Roman" w:hAnsi="Times New Roman" w:cs="Times New Roman"/>
          <w:sz w:val="24"/>
          <w:szCs w:val="24"/>
        </w:rPr>
        <w:t xml:space="preserve"> (K), copper (Cu) and zinc (Zn) (Table 6). The </w:t>
      </w:r>
      <w:proofErr w:type="spellStart"/>
      <w:r>
        <w:rPr>
          <w:rFonts w:ascii="Times New Roman" w:hAnsi="Times New Roman" w:cs="Times New Roman"/>
          <w:sz w:val="24"/>
          <w:szCs w:val="24"/>
        </w:rPr>
        <w:t>Ca</w:t>
      </w:r>
      <w:proofErr w:type="spellEnd"/>
      <w:r>
        <w:rPr>
          <w:rFonts w:ascii="Times New Roman" w:hAnsi="Times New Roman" w:cs="Times New Roman"/>
          <w:sz w:val="24"/>
          <w:szCs w:val="24"/>
        </w:rPr>
        <w:t xml:space="preserve"> was significant (p&lt;0.05). The control sample had the least value, and was significant to the treated samples. Samples C and F were not significant from each other, though sample F had the highest value (4.01±0.00). According to </w:t>
      </w:r>
      <w:hyperlink w:anchor="_ENREF_47" w:tooltip="Oyarekua, 2011 #122" w:history="1">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AuthorYear="1"&gt;&lt;Author&gt;Oyarekua&lt;/Author&gt;&lt;Year&gt;2011&lt;/Year&gt;&lt;RecNum&gt;122&lt;/RecNum&gt;&lt;DisplayText&gt;Oyarekua (2011)&lt;/DisplayText&gt;&lt;record&gt;&lt;rec-number&gt;122&lt;/rec-number&gt;&lt;foreign-keys&gt;&lt;key app="EN" db-id="tz9rpzspgx2teie0pzs5w5a7v2exvttzvvdr"&gt;122&lt;/key&gt;&lt;/foreign-keys&gt;&lt;ref-type name="Journal Article"&gt;17&lt;/ref-type&gt;&lt;contributors&gt;&lt;authors&gt;&lt;author&gt;Oyarekua, MA&lt;/author&gt;&lt;/authors&gt;&lt;/contributors&gt;&lt;titles&gt;&lt;title&gt;Evaluation of the nutritional and microbiological status of co-fermented cereals/cowpea ‘OGI’&lt;/title&gt;&lt;secondary-title&gt;Agriculture and Biology Journal of North America&lt;/secondary-title&gt;&lt;/titles&gt;&lt;periodical&gt;&lt;full-title&gt;Agriculture and Biology Journal of North America&lt;/full-title&gt;&lt;/periodical&gt;&lt;pages&gt;61-73&lt;/pages&gt;&lt;volume&gt;2&lt;/volume&gt;&lt;number&gt;1&lt;/number&gt;&lt;dates&gt;&lt;year&gt;2011&lt;/year&gt;&lt;/dates&gt;&lt;isbn&gt;2151-7517&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Oyarekua (2011)</w:t>
        </w:r>
        <w:r>
          <w:rPr>
            <w:rFonts w:ascii="Times New Roman" w:hAnsi="Times New Roman" w:cs="Times New Roman"/>
            <w:sz w:val="24"/>
            <w:szCs w:val="24"/>
          </w:rPr>
          <w:fldChar w:fldCharType="end"/>
        </w:r>
      </w:hyperlink>
      <w:r>
        <w:rPr>
          <w:rFonts w:ascii="Times New Roman" w:hAnsi="Times New Roman" w:cs="Times New Roman"/>
          <w:sz w:val="24"/>
          <w:szCs w:val="24"/>
        </w:rPr>
        <w:t xml:space="preserve">, recommended dietary allowance (RDA) of </w:t>
      </w:r>
      <w:proofErr w:type="spellStart"/>
      <w:r>
        <w:rPr>
          <w:rFonts w:ascii="Times New Roman" w:hAnsi="Times New Roman" w:cs="Times New Roman"/>
          <w:sz w:val="24"/>
          <w:szCs w:val="24"/>
        </w:rPr>
        <w:t>Ca</w:t>
      </w:r>
      <w:proofErr w:type="spellEnd"/>
      <w:r>
        <w:rPr>
          <w:rFonts w:ascii="Times New Roman" w:hAnsi="Times New Roman" w:cs="Times New Roman"/>
          <w:sz w:val="24"/>
          <w:szCs w:val="24"/>
        </w:rPr>
        <w:t xml:space="preserve"> in infants’ food is 295 mg/100 g, which was not met by the samples; probably due to the sieving operation. Mg content was significant (p&lt;0.05), with the control having the least value. Treated samples were significant, except samples D, E and F that were not significant. According to </w:t>
      </w:r>
      <w:hyperlink w:anchor="_ENREF_32" w:tooltip="King, 2005 #123" w:history="1">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AuthorYear="1"&gt;&lt;Author&gt;King&lt;/Author&gt;&lt;Year&gt;2005&lt;/Year&gt;&lt;RecNum&gt;123&lt;/RecNum&gt;&lt;DisplayText&gt;King&lt;style face="italic"&gt; et al.&lt;/style&gt; (2005)&lt;/DisplayText&gt;&lt;record&gt;&lt;rec-number&gt;123&lt;/rec-number&gt;&lt;foreign-keys&gt;&lt;key app="EN" db-id="tz9rpzspgx2teie0pzs5w5a7v2exvttzvvdr"&gt;123&lt;/key&gt;&lt;/foreign-keys&gt;&lt;ref-type name="Journal Article"&gt;17&lt;/ref-type&gt;&lt;contributors&gt;&lt;authors&gt;&lt;author&gt;King, Dana E&lt;/author&gt;&lt;author&gt;Mainous III, Arch G&lt;/author&gt;&lt;author&gt;Geesey, Mark E&lt;/author&gt;&lt;author&gt;Woolson, Robert F&lt;/author&gt;&lt;/authors&gt;&lt;/contributors&gt;&lt;titles&gt;&lt;title&gt;Dietary magnesium and C-reactive protein levels&lt;/title&gt;&lt;secondary-title&gt;Journal of the American College of Nutrition&lt;/secondary-title&gt;&lt;/titles&gt;&lt;periodical&gt;&lt;full-title&gt;Journal of the American College of Nutrition&lt;/full-title&gt;&lt;/periodical&gt;&lt;pages&gt;166-171&lt;/pages&gt;&lt;volume&gt;24&lt;/volume&gt;&lt;number&gt;3&lt;/number&gt;&lt;dates&gt;&lt;year&gt;2005&lt;/year&gt;&lt;/dates&gt;&lt;isbn&gt;0731-5724&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King</w:t>
        </w:r>
        <w:r>
          <w:rPr>
            <w:rFonts w:ascii="Times New Roman" w:hAnsi="Times New Roman" w:cs="Times New Roman"/>
            <w:i/>
            <w:sz w:val="24"/>
            <w:szCs w:val="24"/>
          </w:rPr>
          <w:t xml:space="preserve"> et al.</w:t>
        </w:r>
        <w:r w:rsidR="0047635F">
          <w:rPr>
            <w:rFonts w:ascii="Times New Roman" w:hAnsi="Times New Roman" w:cs="Times New Roman"/>
            <w:i/>
            <w:sz w:val="24"/>
            <w:szCs w:val="24"/>
          </w:rPr>
          <w:t>,</w:t>
        </w:r>
        <w:r>
          <w:rPr>
            <w:rFonts w:ascii="Times New Roman" w:hAnsi="Times New Roman" w:cs="Times New Roman"/>
            <w:sz w:val="24"/>
            <w:szCs w:val="24"/>
          </w:rPr>
          <w:t xml:space="preserve"> (2005)</w:t>
        </w:r>
        <w:r>
          <w:rPr>
            <w:rFonts w:ascii="Times New Roman" w:hAnsi="Times New Roman" w:cs="Times New Roman"/>
            <w:sz w:val="24"/>
            <w:szCs w:val="24"/>
          </w:rPr>
          <w:fldChar w:fldCharType="end"/>
        </w:r>
      </w:hyperlink>
      <w:r>
        <w:rPr>
          <w:rFonts w:ascii="Times New Roman" w:hAnsi="Times New Roman" w:cs="Times New Roman"/>
          <w:sz w:val="24"/>
          <w:szCs w:val="24"/>
        </w:rPr>
        <w:t>, RDA of Mg is between 310 and 420 mg to maintain health and lower the risk of cardiovascular disease, but all the samples were below it.</w:t>
      </w:r>
    </w:p>
    <w:p w14:paraId="0B673F31" w14:textId="77777777" w:rsidR="00406B68" w:rsidRDefault="001162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Na contents were slightly different from each other. Sample C had the highest value, while sample G, the least. All values were &lt;2 mg hence, can all be considered Na free. For K, samples A and B had same value (1.28), and significant to others, while Cu values were not significant. </w:t>
      </w:r>
      <w:hyperlink w:anchor="_ENREF_57" w:tooltip="Singh, 2019 #77" w:history="1">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AuthorYear="1"&gt;&lt;Author&gt;Singh&lt;/Author&gt;&lt;Year&gt;2019&lt;/Year&gt;&lt;RecNum&gt;77&lt;/RecNum&gt;&lt;DisplayText&gt;Singh&lt;style face="italic"&gt; et al.&lt;/style&gt; (2019)&lt;/DisplayText&gt;&lt;record&gt;&lt;rec-number&gt;77&lt;/rec-number&gt;&lt;foreign-keys&gt;&lt;key app="EN" db-id="tz9rpzspgx2teie0pzs5w5a7v2exvttzvvdr"&gt;77&lt;/key&gt;&lt;/foreign-keys&gt;&lt;ref-type name="Book Section"&gt;5&lt;/ref-type&gt;&lt;contributors&gt;&lt;authors&gt;&lt;author&gt;Singh, Narpinder&lt;/author&gt;&lt;author&gt;Singh, Sandeep&lt;/author&gt;&lt;author&gt;Shevkani, Khetan&lt;/author&gt;&lt;/authors&gt;&lt;/contributors&gt;&lt;titles&gt;&lt;title&gt;Maize: Composition, bioactive constituents, and unleavened bread&lt;/title&gt;&lt;secondary-title&gt;Flour and breads and their fortification in health and disease prevention&lt;/secondary-title&gt;&lt;/titles&gt;&lt;pages&gt;111-121&lt;/pages&gt;&lt;dates&gt;&lt;year&gt;2019&lt;/year&gt;&lt;/dates&gt;&lt;publisher&gt;Elsevier&lt;/publisher&gt;&lt;urls&gt;&lt;/urls&gt;&lt;/record&gt;&lt;/Cite&gt;&lt;/EndNote&gt;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Singh</w:t>
        </w:r>
        <w:r>
          <w:rPr>
            <w:rFonts w:ascii="Times New Roman" w:hAnsi="Times New Roman" w:cs="Times New Roman"/>
            <w:i/>
            <w:sz w:val="24"/>
            <w:szCs w:val="24"/>
          </w:rPr>
          <w:t xml:space="preserve"> et al.</w:t>
        </w:r>
        <w:r>
          <w:rPr>
            <w:rFonts w:ascii="Times New Roman" w:hAnsi="Times New Roman" w:cs="Times New Roman"/>
            <w:sz w:val="24"/>
            <w:szCs w:val="24"/>
          </w:rPr>
          <w:t xml:space="preserve"> (2019)</w:t>
        </w:r>
        <w:r>
          <w:rPr>
            <w:rFonts w:ascii="Times New Roman" w:hAnsi="Times New Roman" w:cs="Times New Roman"/>
            <w:sz w:val="24"/>
            <w:szCs w:val="24"/>
          </w:rPr>
          <w:fldChar w:fldCharType="end"/>
        </w:r>
      </w:hyperlink>
      <w:r>
        <w:rPr>
          <w:rFonts w:ascii="Times New Roman" w:hAnsi="Times New Roman" w:cs="Times New Roman"/>
          <w:sz w:val="24"/>
          <w:szCs w:val="24"/>
        </w:rPr>
        <w:t xml:space="preserve">, reported 0.14mg/g Cu in maize, which literally, was similar to 0.11-0.12 recorded here. However, reduced values could be due to leaching during sieving. The Zn values were significant. Samples B and C were highest in values, and significant to others, as tamarind addition increased mineral contents.                                                      </w:t>
      </w:r>
    </w:p>
    <w:p w14:paraId="12EFE85C" w14:textId="77777777" w:rsidR="00406B68" w:rsidRDefault="001162EA">
      <w:pPr>
        <w:spacing w:line="480" w:lineRule="auto"/>
        <w:jc w:val="both"/>
        <w:rPr>
          <w:rFonts w:ascii="Times New Roman" w:hAnsi="Times New Roman" w:cs="Times New Roman"/>
          <w:sz w:val="24"/>
          <w:szCs w:val="24"/>
        </w:rPr>
      </w:pPr>
      <w:r>
        <w:rPr>
          <w:rFonts w:ascii="Times New Roman" w:hAnsi="Times New Roman" w:cs="Times New Roman"/>
          <w:b/>
          <w:sz w:val="24"/>
          <w:szCs w:val="24"/>
        </w:rPr>
        <w:t>Table 6: Mineral content of pap paste samples (mg/L).</w:t>
      </w:r>
    </w:p>
    <w:tbl>
      <w:tblPr>
        <w:tblStyle w:val="TableGrid"/>
        <w:tblW w:w="10908" w:type="dxa"/>
        <w:tblInd w:w="-365" w:type="dxa"/>
        <w:tblLook w:val="04A0" w:firstRow="1" w:lastRow="0" w:firstColumn="1" w:lastColumn="0" w:noHBand="0" w:noVBand="1"/>
      </w:tblPr>
      <w:tblGrid>
        <w:gridCol w:w="1558"/>
        <w:gridCol w:w="1558"/>
        <w:gridCol w:w="1558"/>
        <w:gridCol w:w="1558"/>
        <w:gridCol w:w="1558"/>
        <w:gridCol w:w="1559"/>
        <w:gridCol w:w="1559"/>
      </w:tblGrid>
      <w:tr w:rsidR="00406B68" w14:paraId="39A0746B" w14:textId="77777777">
        <w:tc>
          <w:tcPr>
            <w:tcW w:w="1558" w:type="dxa"/>
            <w:tcBorders>
              <w:left w:val="nil"/>
              <w:bottom w:val="single" w:sz="4" w:space="0" w:color="auto"/>
              <w:right w:val="nil"/>
            </w:tcBorders>
          </w:tcPr>
          <w:p w14:paraId="18B1D5AF"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Samples</w:t>
            </w:r>
          </w:p>
        </w:tc>
        <w:tc>
          <w:tcPr>
            <w:tcW w:w="1558" w:type="dxa"/>
            <w:tcBorders>
              <w:left w:val="nil"/>
              <w:bottom w:val="single" w:sz="4" w:space="0" w:color="auto"/>
              <w:right w:val="nil"/>
            </w:tcBorders>
          </w:tcPr>
          <w:p w14:paraId="795F6041" w14:textId="77777777" w:rsidR="00406B68" w:rsidRDefault="001162EA">
            <w:pPr>
              <w:spacing w:after="0"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Ca</w:t>
            </w:r>
            <w:proofErr w:type="spellEnd"/>
          </w:p>
        </w:tc>
        <w:tc>
          <w:tcPr>
            <w:tcW w:w="1558" w:type="dxa"/>
            <w:tcBorders>
              <w:left w:val="nil"/>
              <w:bottom w:val="single" w:sz="4" w:space="0" w:color="auto"/>
              <w:right w:val="nil"/>
            </w:tcBorders>
          </w:tcPr>
          <w:p w14:paraId="5AFC9AF8"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Mg</w:t>
            </w:r>
          </w:p>
        </w:tc>
        <w:tc>
          <w:tcPr>
            <w:tcW w:w="1558" w:type="dxa"/>
            <w:tcBorders>
              <w:left w:val="nil"/>
              <w:bottom w:val="single" w:sz="4" w:space="0" w:color="auto"/>
              <w:right w:val="nil"/>
            </w:tcBorders>
          </w:tcPr>
          <w:p w14:paraId="27D1F197"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Na</w:t>
            </w:r>
          </w:p>
        </w:tc>
        <w:tc>
          <w:tcPr>
            <w:tcW w:w="1558" w:type="dxa"/>
            <w:tcBorders>
              <w:left w:val="nil"/>
              <w:bottom w:val="single" w:sz="4" w:space="0" w:color="auto"/>
              <w:right w:val="nil"/>
            </w:tcBorders>
          </w:tcPr>
          <w:p w14:paraId="3C2DEAFF"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w:t>
            </w:r>
          </w:p>
        </w:tc>
        <w:tc>
          <w:tcPr>
            <w:tcW w:w="1559" w:type="dxa"/>
            <w:tcBorders>
              <w:left w:val="nil"/>
              <w:bottom w:val="single" w:sz="4" w:space="0" w:color="auto"/>
              <w:right w:val="nil"/>
            </w:tcBorders>
          </w:tcPr>
          <w:p w14:paraId="489D1ADE"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Cu</w:t>
            </w:r>
          </w:p>
        </w:tc>
        <w:tc>
          <w:tcPr>
            <w:tcW w:w="1559" w:type="dxa"/>
            <w:tcBorders>
              <w:left w:val="nil"/>
              <w:bottom w:val="single" w:sz="4" w:space="0" w:color="auto"/>
              <w:right w:val="nil"/>
            </w:tcBorders>
          </w:tcPr>
          <w:p w14:paraId="4E1C9582"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Zn</w:t>
            </w:r>
          </w:p>
        </w:tc>
      </w:tr>
      <w:tr w:rsidR="00406B68" w14:paraId="1FC24C4E" w14:textId="77777777">
        <w:tc>
          <w:tcPr>
            <w:tcW w:w="1558" w:type="dxa"/>
            <w:tcBorders>
              <w:left w:val="nil"/>
              <w:bottom w:val="nil"/>
              <w:right w:val="nil"/>
            </w:tcBorders>
          </w:tcPr>
          <w:p w14:paraId="5B9EFEB1"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w:t>
            </w:r>
          </w:p>
        </w:tc>
        <w:tc>
          <w:tcPr>
            <w:tcW w:w="1558" w:type="dxa"/>
            <w:tcBorders>
              <w:left w:val="nil"/>
              <w:bottom w:val="nil"/>
              <w:right w:val="nil"/>
            </w:tcBorders>
          </w:tcPr>
          <w:p w14:paraId="7D9DB3A0"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2.01±0.00</w:t>
            </w:r>
            <w:r>
              <w:rPr>
                <w:rFonts w:ascii="Times New Roman" w:hAnsi="Times New Roman" w:cs="Times New Roman"/>
                <w:sz w:val="24"/>
                <w:szCs w:val="24"/>
                <w:vertAlign w:val="superscript"/>
              </w:rPr>
              <w:t>c</w:t>
            </w:r>
          </w:p>
        </w:tc>
        <w:tc>
          <w:tcPr>
            <w:tcW w:w="1558" w:type="dxa"/>
            <w:tcBorders>
              <w:left w:val="nil"/>
              <w:bottom w:val="nil"/>
              <w:right w:val="nil"/>
            </w:tcBorders>
          </w:tcPr>
          <w:p w14:paraId="2600ED79"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1.32±0.00</w:t>
            </w:r>
            <w:r>
              <w:rPr>
                <w:rFonts w:ascii="Times New Roman" w:hAnsi="Times New Roman" w:cs="Times New Roman"/>
                <w:sz w:val="24"/>
                <w:szCs w:val="24"/>
                <w:vertAlign w:val="superscript"/>
              </w:rPr>
              <w:t>c</w:t>
            </w:r>
          </w:p>
        </w:tc>
        <w:tc>
          <w:tcPr>
            <w:tcW w:w="1558" w:type="dxa"/>
            <w:tcBorders>
              <w:left w:val="nil"/>
              <w:bottom w:val="nil"/>
              <w:right w:val="nil"/>
            </w:tcBorders>
          </w:tcPr>
          <w:p w14:paraId="0CA3079D"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1.84±0.01</w:t>
            </w:r>
            <w:r>
              <w:rPr>
                <w:rFonts w:ascii="Times New Roman" w:hAnsi="Times New Roman" w:cs="Times New Roman"/>
                <w:sz w:val="24"/>
                <w:szCs w:val="24"/>
                <w:vertAlign w:val="superscript"/>
              </w:rPr>
              <w:t>b</w:t>
            </w:r>
          </w:p>
        </w:tc>
        <w:tc>
          <w:tcPr>
            <w:tcW w:w="1558" w:type="dxa"/>
            <w:tcBorders>
              <w:left w:val="nil"/>
              <w:bottom w:val="nil"/>
              <w:right w:val="nil"/>
            </w:tcBorders>
          </w:tcPr>
          <w:p w14:paraId="6567BE8A"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1.28±0.01</w:t>
            </w:r>
            <w:r>
              <w:rPr>
                <w:rFonts w:ascii="Times New Roman" w:hAnsi="Times New Roman" w:cs="Times New Roman"/>
                <w:sz w:val="24"/>
                <w:szCs w:val="24"/>
                <w:vertAlign w:val="superscript"/>
              </w:rPr>
              <w:t>b</w:t>
            </w:r>
          </w:p>
        </w:tc>
        <w:tc>
          <w:tcPr>
            <w:tcW w:w="1559" w:type="dxa"/>
            <w:tcBorders>
              <w:left w:val="nil"/>
              <w:bottom w:val="nil"/>
              <w:right w:val="nil"/>
            </w:tcBorders>
          </w:tcPr>
          <w:p w14:paraId="5805B04A"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0.12±0.01</w:t>
            </w:r>
            <w:r>
              <w:rPr>
                <w:rFonts w:ascii="Times New Roman" w:hAnsi="Times New Roman" w:cs="Times New Roman"/>
                <w:sz w:val="24"/>
                <w:szCs w:val="24"/>
                <w:vertAlign w:val="superscript"/>
              </w:rPr>
              <w:t>a</w:t>
            </w:r>
          </w:p>
        </w:tc>
        <w:tc>
          <w:tcPr>
            <w:tcW w:w="1559" w:type="dxa"/>
            <w:tcBorders>
              <w:left w:val="nil"/>
              <w:bottom w:val="nil"/>
              <w:right w:val="nil"/>
            </w:tcBorders>
          </w:tcPr>
          <w:p w14:paraId="6D48DFE5"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0.48±0.01</w:t>
            </w:r>
            <w:r>
              <w:rPr>
                <w:rFonts w:ascii="Times New Roman" w:hAnsi="Times New Roman" w:cs="Times New Roman"/>
                <w:sz w:val="24"/>
                <w:szCs w:val="24"/>
                <w:vertAlign w:val="superscript"/>
              </w:rPr>
              <w:t>c</w:t>
            </w:r>
          </w:p>
        </w:tc>
      </w:tr>
      <w:tr w:rsidR="00406B68" w14:paraId="053F5085" w14:textId="77777777">
        <w:tc>
          <w:tcPr>
            <w:tcW w:w="1558" w:type="dxa"/>
            <w:tcBorders>
              <w:top w:val="nil"/>
              <w:left w:val="nil"/>
              <w:bottom w:val="nil"/>
              <w:right w:val="nil"/>
            </w:tcBorders>
          </w:tcPr>
          <w:p w14:paraId="7BF60667"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B</w:t>
            </w:r>
          </w:p>
        </w:tc>
        <w:tc>
          <w:tcPr>
            <w:tcW w:w="1558" w:type="dxa"/>
            <w:tcBorders>
              <w:top w:val="nil"/>
              <w:left w:val="nil"/>
              <w:bottom w:val="nil"/>
              <w:right w:val="nil"/>
            </w:tcBorders>
          </w:tcPr>
          <w:p w14:paraId="286094DB"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3.00±0.00</w:t>
            </w:r>
            <w:r>
              <w:rPr>
                <w:rFonts w:ascii="Times New Roman" w:hAnsi="Times New Roman" w:cs="Times New Roman"/>
                <w:sz w:val="24"/>
                <w:szCs w:val="24"/>
                <w:vertAlign w:val="superscript"/>
              </w:rPr>
              <w:t>b</w:t>
            </w:r>
          </w:p>
        </w:tc>
        <w:tc>
          <w:tcPr>
            <w:tcW w:w="1558" w:type="dxa"/>
            <w:tcBorders>
              <w:top w:val="nil"/>
              <w:left w:val="nil"/>
              <w:bottom w:val="nil"/>
              <w:right w:val="nil"/>
            </w:tcBorders>
          </w:tcPr>
          <w:p w14:paraId="1C3B5DB8"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2.00±0.00</w:t>
            </w:r>
            <w:r>
              <w:rPr>
                <w:rFonts w:ascii="Times New Roman" w:hAnsi="Times New Roman" w:cs="Times New Roman"/>
                <w:sz w:val="24"/>
                <w:szCs w:val="24"/>
                <w:vertAlign w:val="superscript"/>
              </w:rPr>
              <w:t>b</w:t>
            </w:r>
          </w:p>
        </w:tc>
        <w:tc>
          <w:tcPr>
            <w:tcW w:w="1558" w:type="dxa"/>
            <w:tcBorders>
              <w:top w:val="nil"/>
              <w:left w:val="nil"/>
              <w:bottom w:val="nil"/>
              <w:right w:val="nil"/>
            </w:tcBorders>
          </w:tcPr>
          <w:p w14:paraId="2C870C40"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1.87±0.01</w:t>
            </w:r>
            <w:r>
              <w:rPr>
                <w:rFonts w:ascii="Times New Roman" w:hAnsi="Times New Roman" w:cs="Times New Roman"/>
                <w:sz w:val="24"/>
                <w:szCs w:val="24"/>
                <w:vertAlign w:val="superscript"/>
              </w:rPr>
              <w:t>a</w:t>
            </w:r>
          </w:p>
        </w:tc>
        <w:tc>
          <w:tcPr>
            <w:tcW w:w="1558" w:type="dxa"/>
            <w:tcBorders>
              <w:top w:val="nil"/>
              <w:left w:val="nil"/>
              <w:bottom w:val="nil"/>
              <w:right w:val="nil"/>
            </w:tcBorders>
          </w:tcPr>
          <w:p w14:paraId="53EDB3C3"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1.28±0.01</w:t>
            </w:r>
            <w:r>
              <w:rPr>
                <w:rFonts w:ascii="Times New Roman" w:hAnsi="Times New Roman" w:cs="Times New Roman"/>
                <w:sz w:val="24"/>
                <w:szCs w:val="24"/>
                <w:vertAlign w:val="superscript"/>
              </w:rPr>
              <w:t>b</w:t>
            </w:r>
          </w:p>
        </w:tc>
        <w:tc>
          <w:tcPr>
            <w:tcW w:w="1559" w:type="dxa"/>
            <w:tcBorders>
              <w:top w:val="nil"/>
              <w:left w:val="nil"/>
              <w:bottom w:val="nil"/>
              <w:right w:val="nil"/>
            </w:tcBorders>
          </w:tcPr>
          <w:p w14:paraId="611628BD"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0.12±0.01</w:t>
            </w:r>
            <w:r>
              <w:rPr>
                <w:rFonts w:ascii="Times New Roman" w:hAnsi="Times New Roman" w:cs="Times New Roman"/>
                <w:sz w:val="24"/>
                <w:szCs w:val="24"/>
                <w:vertAlign w:val="superscript"/>
              </w:rPr>
              <w:t>a</w:t>
            </w:r>
          </w:p>
        </w:tc>
        <w:tc>
          <w:tcPr>
            <w:tcW w:w="1559" w:type="dxa"/>
            <w:tcBorders>
              <w:top w:val="nil"/>
              <w:left w:val="nil"/>
              <w:bottom w:val="nil"/>
              <w:right w:val="nil"/>
            </w:tcBorders>
          </w:tcPr>
          <w:p w14:paraId="2A25BFE4"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0.77±0.01</w:t>
            </w:r>
            <w:r>
              <w:rPr>
                <w:rFonts w:ascii="Times New Roman" w:hAnsi="Times New Roman" w:cs="Times New Roman"/>
                <w:sz w:val="24"/>
                <w:szCs w:val="24"/>
                <w:vertAlign w:val="superscript"/>
              </w:rPr>
              <w:t>a</w:t>
            </w:r>
          </w:p>
        </w:tc>
      </w:tr>
      <w:tr w:rsidR="00406B68" w14:paraId="184D7FD9" w14:textId="77777777">
        <w:tc>
          <w:tcPr>
            <w:tcW w:w="1558" w:type="dxa"/>
            <w:tcBorders>
              <w:top w:val="nil"/>
              <w:left w:val="nil"/>
              <w:bottom w:val="nil"/>
              <w:right w:val="nil"/>
            </w:tcBorders>
          </w:tcPr>
          <w:p w14:paraId="6900A4C1"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C</w:t>
            </w:r>
          </w:p>
        </w:tc>
        <w:tc>
          <w:tcPr>
            <w:tcW w:w="1558" w:type="dxa"/>
            <w:tcBorders>
              <w:top w:val="nil"/>
              <w:left w:val="nil"/>
              <w:bottom w:val="nil"/>
              <w:right w:val="nil"/>
            </w:tcBorders>
          </w:tcPr>
          <w:p w14:paraId="58BD60EB"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4.00±0.00</w:t>
            </w:r>
            <w:r>
              <w:rPr>
                <w:rFonts w:ascii="Times New Roman" w:hAnsi="Times New Roman" w:cs="Times New Roman"/>
                <w:sz w:val="24"/>
                <w:szCs w:val="24"/>
                <w:vertAlign w:val="superscript"/>
              </w:rPr>
              <w:t>a</w:t>
            </w:r>
          </w:p>
        </w:tc>
        <w:tc>
          <w:tcPr>
            <w:tcW w:w="1558" w:type="dxa"/>
            <w:tcBorders>
              <w:top w:val="nil"/>
              <w:left w:val="nil"/>
              <w:bottom w:val="nil"/>
              <w:right w:val="nil"/>
            </w:tcBorders>
          </w:tcPr>
          <w:p w14:paraId="743C0B48"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2.00±0.00</w:t>
            </w:r>
            <w:r>
              <w:rPr>
                <w:rFonts w:ascii="Times New Roman" w:hAnsi="Times New Roman" w:cs="Times New Roman"/>
                <w:sz w:val="24"/>
                <w:szCs w:val="24"/>
                <w:vertAlign w:val="superscript"/>
              </w:rPr>
              <w:t>b</w:t>
            </w:r>
          </w:p>
        </w:tc>
        <w:tc>
          <w:tcPr>
            <w:tcW w:w="1558" w:type="dxa"/>
            <w:tcBorders>
              <w:top w:val="nil"/>
              <w:left w:val="nil"/>
              <w:bottom w:val="nil"/>
              <w:right w:val="nil"/>
            </w:tcBorders>
          </w:tcPr>
          <w:p w14:paraId="3E89C949"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1.90±0.01</w:t>
            </w:r>
            <w:r>
              <w:rPr>
                <w:rFonts w:ascii="Times New Roman" w:hAnsi="Times New Roman" w:cs="Times New Roman"/>
                <w:sz w:val="24"/>
                <w:szCs w:val="24"/>
                <w:vertAlign w:val="superscript"/>
              </w:rPr>
              <w:t>a</w:t>
            </w:r>
          </w:p>
        </w:tc>
        <w:tc>
          <w:tcPr>
            <w:tcW w:w="1558" w:type="dxa"/>
            <w:tcBorders>
              <w:top w:val="nil"/>
              <w:left w:val="nil"/>
              <w:bottom w:val="nil"/>
              <w:right w:val="nil"/>
            </w:tcBorders>
          </w:tcPr>
          <w:p w14:paraId="46FBC05F"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1.40±0.04</w:t>
            </w:r>
            <w:r>
              <w:rPr>
                <w:rFonts w:ascii="Times New Roman" w:hAnsi="Times New Roman" w:cs="Times New Roman"/>
                <w:sz w:val="24"/>
                <w:szCs w:val="24"/>
                <w:vertAlign w:val="superscript"/>
              </w:rPr>
              <w:t>a</w:t>
            </w:r>
          </w:p>
        </w:tc>
        <w:tc>
          <w:tcPr>
            <w:tcW w:w="1559" w:type="dxa"/>
            <w:tcBorders>
              <w:top w:val="nil"/>
              <w:left w:val="nil"/>
              <w:bottom w:val="nil"/>
              <w:right w:val="nil"/>
            </w:tcBorders>
          </w:tcPr>
          <w:p w14:paraId="430FE7F6"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0.11±0.01</w:t>
            </w:r>
            <w:r>
              <w:rPr>
                <w:rFonts w:ascii="Times New Roman" w:hAnsi="Times New Roman" w:cs="Times New Roman"/>
                <w:sz w:val="24"/>
                <w:szCs w:val="24"/>
                <w:vertAlign w:val="superscript"/>
              </w:rPr>
              <w:t>a</w:t>
            </w:r>
          </w:p>
        </w:tc>
        <w:tc>
          <w:tcPr>
            <w:tcW w:w="1559" w:type="dxa"/>
            <w:tcBorders>
              <w:top w:val="nil"/>
              <w:left w:val="nil"/>
              <w:bottom w:val="nil"/>
              <w:right w:val="nil"/>
            </w:tcBorders>
          </w:tcPr>
          <w:p w14:paraId="54428DFA"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0.77±0.01</w:t>
            </w:r>
            <w:r>
              <w:rPr>
                <w:rFonts w:ascii="Times New Roman" w:hAnsi="Times New Roman" w:cs="Times New Roman"/>
                <w:sz w:val="24"/>
                <w:szCs w:val="24"/>
                <w:vertAlign w:val="superscript"/>
              </w:rPr>
              <w:t>a</w:t>
            </w:r>
          </w:p>
        </w:tc>
      </w:tr>
      <w:tr w:rsidR="00406B68" w14:paraId="0EF8DE03" w14:textId="77777777">
        <w:tc>
          <w:tcPr>
            <w:tcW w:w="1558" w:type="dxa"/>
            <w:tcBorders>
              <w:top w:val="nil"/>
              <w:left w:val="nil"/>
              <w:bottom w:val="nil"/>
              <w:right w:val="nil"/>
            </w:tcBorders>
          </w:tcPr>
          <w:p w14:paraId="702E5B01"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w:t>
            </w:r>
          </w:p>
        </w:tc>
        <w:tc>
          <w:tcPr>
            <w:tcW w:w="1558" w:type="dxa"/>
            <w:tcBorders>
              <w:top w:val="nil"/>
              <w:left w:val="nil"/>
              <w:bottom w:val="nil"/>
              <w:right w:val="nil"/>
            </w:tcBorders>
          </w:tcPr>
          <w:p w14:paraId="3D6637E4"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3.03±0.01</w:t>
            </w:r>
            <w:r>
              <w:rPr>
                <w:rFonts w:ascii="Times New Roman" w:hAnsi="Times New Roman" w:cs="Times New Roman"/>
                <w:sz w:val="24"/>
                <w:szCs w:val="24"/>
                <w:vertAlign w:val="superscript"/>
              </w:rPr>
              <w:t>b</w:t>
            </w:r>
          </w:p>
        </w:tc>
        <w:tc>
          <w:tcPr>
            <w:tcW w:w="1558" w:type="dxa"/>
            <w:tcBorders>
              <w:top w:val="nil"/>
              <w:left w:val="nil"/>
              <w:bottom w:val="nil"/>
              <w:right w:val="nil"/>
            </w:tcBorders>
          </w:tcPr>
          <w:p w14:paraId="157AE97E"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2.14±0.01</w:t>
            </w:r>
            <w:r>
              <w:rPr>
                <w:rFonts w:ascii="Times New Roman" w:hAnsi="Times New Roman" w:cs="Times New Roman"/>
                <w:sz w:val="24"/>
                <w:szCs w:val="24"/>
                <w:vertAlign w:val="superscript"/>
              </w:rPr>
              <w:t>a</w:t>
            </w:r>
          </w:p>
        </w:tc>
        <w:tc>
          <w:tcPr>
            <w:tcW w:w="1558" w:type="dxa"/>
            <w:tcBorders>
              <w:top w:val="nil"/>
              <w:left w:val="nil"/>
              <w:bottom w:val="nil"/>
              <w:right w:val="nil"/>
            </w:tcBorders>
          </w:tcPr>
          <w:p w14:paraId="275C3B13"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1.86±0.01</w:t>
            </w:r>
            <w:r>
              <w:rPr>
                <w:rFonts w:ascii="Times New Roman" w:hAnsi="Times New Roman" w:cs="Times New Roman"/>
                <w:sz w:val="24"/>
                <w:szCs w:val="24"/>
                <w:vertAlign w:val="superscript"/>
              </w:rPr>
              <w:t>b</w:t>
            </w:r>
          </w:p>
        </w:tc>
        <w:tc>
          <w:tcPr>
            <w:tcW w:w="1558" w:type="dxa"/>
            <w:tcBorders>
              <w:top w:val="nil"/>
              <w:left w:val="nil"/>
              <w:bottom w:val="nil"/>
              <w:right w:val="nil"/>
            </w:tcBorders>
          </w:tcPr>
          <w:p w14:paraId="18531981"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1.11±0.00</w:t>
            </w:r>
            <w:r>
              <w:rPr>
                <w:rFonts w:ascii="Times New Roman" w:hAnsi="Times New Roman" w:cs="Times New Roman"/>
                <w:sz w:val="24"/>
                <w:szCs w:val="24"/>
                <w:vertAlign w:val="superscript"/>
              </w:rPr>
              <w:t>c</w:t>
            </w:r>
          </w:p>
        </w:tc>
        <w:tc>
          <w:tcPr>
            <w:tcW w:w="1559" w:type="dxa"/>
            <w:tcBorders>
              <w:top w:val="nil"/>
              <w:left w:val="nil"/>
              <w:bottom w:val="nil"/>
              <w:right w:val="nil"/>
            </w:tcBorders>
          </w:tcPr>
          <w:p w14:paraId="470615EC"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0.12±0.00</w:t>
            </w:r>
            <w:r>
              <w:rPr>
                <w:rFonts w:ascii="Times New Roman" w:hAnsi="Times New Roman" w:cs="Times New Roman"/>
                <w:sz w:val="24"/>
                <w:szCs w:val="24"/>
                <w:vertAlign w:val="superscript"/>
              </w:rPr>
              <w:t>a</w:t>
            </w:r>
          </w:p>
        </w:tc>
        <w:tc>
          <w:tcPr>
            <w:tcW w:w="1559" w:type="dxa"/>
            <w:tcBorders>
              <w:top w:val="nil"/>
              <w:left w:val="nil"/>
              <w:bottom w:val="nil"/>
              <w:right w:val="nil"/>
            </w:tcBorders>
          </w:tcPr>
          <w:p w14:paraId="4F83D114"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0.55±0.01</w:t>
            </w:r>
            <w:r>
              <w:rPr>
                <w:rFonts w:ascii="Times New Roman" w:hAnsi="Times New Roman" w:cs="Times New Roman"/>
                <w:sz w:val="24"/>
                <w:szCs w:val="24"/>
                <w:vertAlign w:val="superscript"/>
              </w:rPr>
              <w:t>c</w:t>
            </w:r>
          </w:p>
        </w:tc>
      </w:tr>
      <w:tr w:rsidR="00406B68" w14:paraId="3907A3D8" w14:textId="77777777">
        <w:tc>
          <w:tcPr>
            <w:tcW w:w="1558" w:type="dxa"/>
            <w:tcBorders>
              <w:top w:val="nil"/>
              <w:left w:val="nil"/>
              <w:bottom w:val="nil"/>
              <w:right w:val="nil"/>
            </w:tcBorders>
          </w:tcPr>
          <w:p w14:paraId="7C69C239"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E</w:t>
            </w:r>
          </w:p>
        </w:tc>
        <w:tc>
          <w:tcPr>
            <w:tcW w:w="1558" w:type="dxa"/>
            <w:tcBorders>
              <w:top w:val="nil"/>
              <w:left w:val="nil"/>
              <w:bottom w:val="nil"/>
              <w:right w:val="nil"/>
            </w:tcBorders>
          </w:tcPr>
          <w:p w14:paraId="004CFA33"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3.00±0.00</w:t>
            </w:r>
            <w:r>
              <w:rPr>
                <w:rFonts w:ascii="Times New Roman" w:hAnsi="Times New Roman" w:cs="Times New Roman"/>
                <w:sz w:val="24"/>
                <w:szCs w:val="24"/>
                <w:vertAlign w:val="superscript"/>
              </w:rPr>
              <w:t>b</w:t>
            </w:r>
          </w:p>
        </w:tc>
        <w:tc>
          <w:tcPr>
            <w:tcW w:w="1558" w:type="dxa"/>
            <w:tcBorders>
              <w:top w:val="nil"/>
              <w:left w:val="nil"/>
              <w:bottom w:val="nil"/>
              <w:right w:val="nil"/>
            </w:tcBorders>
          </w:tcPr>
          <w:p w14:paraId="242722D0"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2.32±0.00</w:t>
            </w:r>
            <w:r>
              <w:rPr>
                <w:rFonts w:ascii="Times New Roman" w:hAnsi="Times New Roman" w:cs="Times New Roman"/>
                <w:sz w:val="24"/>
                <w:szCs w:val="24"/>
                <w:vertAlign w:val="superscript"/>
              </w:rPr>
              <w:t>a</w:t>
            </w:r>
          </w:p>
        </w:tc>
        <w:tc>
          <w:tcPr>
            <w:tcW w:w="1558" w:type="dxa"/>
            <w:tcBorders>
              <w:top w:val="nil"/>
              <w:left w:val="nil"/>
              <w:bottom w:val="nil"/>
              <w:right w:val="nil"/>
            </w:tcBorders>
          </w:tcPr>
          <w:p w14:paraId="0C6F4675"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1.88±0.01</w:t>
            </w:r>
            <w:r>
              <w:rPr>
                <w:rFonts w:ascii="Times New Roman" w:hAnsi="Times New Roman" w:cs="Times New Roman"/>
                <w:sz w:val="24"/>
                <w:szCs w:val="24"/>
                <w:vertAlign w:val="superscript"/>
              </w:rPr>
              <w:t>a</w:t>
            </w:r>
          </w:p>
        </w:tc>
        <w:tc>
          <w:tcPr>
            <w:tcW w:w="1558" w:type="dxa"/>
            <w:tcBorders>
              <w:top w:val="nil"/>
              <w:left w:val="nil"/>
              <w:bottom w:val="nil"/>
              <w:right w:val="nil"/>
            </w:tcBorders>
          </w:tcPr>
          <w:p w14:paraId="23EE9D8B"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1.02±0.04</w:t>
            </w:r>
            <w:r>
              <w:rPr>
                <w:rFonts w:ascii="Times New Roman" w:hAnsi="Times New Roman" w:cs="Times New Roman"/>
                <w:sz w:val="24"/>
                <w:szCs w:val="24"/>
                <w:vertAlign w:val="superscript"/>
              </w:rPr>
              <w:t>d</w:t>
            </w:r>
          </w:p>
        </w:tc>
        <w:tc>
          <w:tcPr>
            <w:tcW w:w="1559" w:type="dxa"/>
            <w:tcBorders>
              <w:top w:val="nil"/>
              <w:left w:val="nil"/>
              <w:bottom w:val="nil"/>
              <w:right w:val="nil"/>
            </w:tcBorders>
          </w:tcPr>
          <w:p w14:paraId="141EA954"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0.11±0.00</w:t>
            </w:r>
            <w:r>
              <w:rPr>
                <w:rFonts w:ascii="Times New Roman" w:hAnsi="Times New Roman" w:cs="Times New Roman"/>
                <w:sz w:val="24"/>
                <w:szCs w:val="24"/>
                <w:vertAlign w:val="superscript"/>
              </w:rPr>
              <w:t>a</w:t>
            </w:r>
          </w:p>
        </w:tc>
        <w:tc>
          <w:tcPr>
            <w:tcW w:w="1559" w:type="dxa"/>
            <w:tcBorders>
              <w:top w:val="nil"/>
              <w:left w:val="nil"/>
              <w:bottom w:val="nil"/>
              <w:right w:val="nil"/>
            </w:tcBorders>
          </w:tcPr>
          <w:p w14:paraId="7752A818"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0.69±0.01</w:t>
            </w:r>
            <w:r>
              <w:rPr>
                <w:rFonts w:ascii="Times New Roman" w:hAnsi="Times New Roman" w:cs="Times New Roman"/>
                <w:sz w:val="24"/>
                <w:szCs w:val="24"/>
                <w:vertAlign w:val="superscript"/>
              </w:rPr>
              <w:t>b</w:t>
            </w:r>
          </w:p>
        </w:tc>
      </w:tr>
      <w:tr w:rsidR="00406B68" w14:paraId="139C1075" w14:textId="77777777">
        <w:tc>
          <w:tcPr>
            <w:tcW w:w="1558" w:type="dxa"/>
            <w:tcBorders>
              <w:top w:val="nil"/>
              <w:left w:val="nil"/>
              <w:bottom w:val="nil"/>
              <w:right w:val="nil"/>
            </w:tcBorders>
          </w:tcPr>
          <w:p w14:paraId="75256A82"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w:t>
            </w:r>
          </w:p>
        </w:tc>
        <w:tc>
          <w:tcPr>
            <w:tcW w:w="1558" w:type="dxa"/>
            <w:tcBorders>
              <w:top w:val="nil"/>
              <w:left w:val="nil"/>
              <w:bottom w:val="nil"/>
              <w:right w:val="nil"/>
            </w:tcBorders>
          </w:tcPr>
          <w:p w14:paraId="377403A6"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4.01±0.00</w:t>
            </w:r>
            <w:r>
              <w:rPr>
                <w:rFonts w:ascii="Times New Roman" w:hAnsi="Times New Roman" w:cs="Times New Roman"/>
                <w:sz w:val="24"/>
                <w:szCs w:val="24"/>
                <w:vertAlign w:val="superscript"/>
              </w:rPr>
              <w:t>a</w:t>
            </w:r>
          </w:p>
        </w:tc>
        <w:tc>
          <w:tcPr>
            <w:tcW w:w="1558" w:type="dxa"/>
            <w:tcBorders>
              <w:top w:val="nil"/>
              <w:left w:val="nil"/>
              <w:bottom w:val="nil"/>
              <w:right w:val="nil"/>
            </w:tcBorders>
          </w:tcPr>
          <w:p w14:paraId="78BCCC0C"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2.16±0.01</w:t>
            </w:r>
            <w:r>
              <w:rPr>
                <w:rFonts w:ascii="Times New Roman" w:hAnsi="Times New Roman" w:cs="Times New Roman"/>
                <w:sz w:val="24"/>
                <w:szCs w:val="24"/>
                <w:vertAlign w:val="superscript"/>
              </w:rPr>
              <w:t>a</w:t>
            </w:r>
          </w:p>
        </w:tc>
        <w:tc>
          <w:tcPr>
            <w:tcW w:w="1558" w:type="dxa"/>
            <w:tcBorders>
              <w:top w:val="nil"/>
              <w:left w:val="nil"/>
              <w:bottom w:val="nil"/>
              <w:right w:val="nil"/>
            </w:tcBorders>
          </w:tcPr>
          <w:p w14:paraId="7DECD2E7"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1.89±0.02</w:t>
            </w:r>
            <w:r>
              <w:rPr>
                <w:rFonts w:ascii="Times New Roman" w:hAnsi="Times New Roman" w:cs="Times New Roman"/>
                <w:sz w:val="24"/>
                <w:szCs w:val="24"/>
                <w:vertAlign w:val="superscript"/>
              </w:rPr>
              <w:t>a</w:t>
            </w:r>
          </w:p>
        </w:tc>
        <w:tc>
          <w:tcPr>
            <w:tcW w:w="1558" w:type="dxa"/>
            <w:tcBorders>
              <w:top w:val="nil"/>
              <w:left w:val="nil"/>
              <w:bottom w:val="nil"/>
              <w:right w:val="nil"/>
            </w:tcBorders>
          </w:tcPr>
          <w:p w14:paraId="0163F383"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1.08±0.00</w:t>
            </w:r>
            <w:r>
              <w:rPr>
                <w:rFonts w:ascii="Times New Roman" w:hAnsi="Times New Roman" w:cs="Times New Roman"/>
                <w:sz w:val="24"/>
                <w:szCs w:val="24"/>
                <w:vertAlign w:val="superscript"/>
              </w:rPr>
              <w:t>c</w:t>
            </w:r>
          </w:p>
        </w:tc>
        <w:tc>
          <w:tcPr>
            <w:tcW w:w="1559" w:type="dxa"/>
            <w:tcBorders>
              <w:top w:val="nil"/>
              <w:left w:val="nil"/>
              <w:bottom w:val="nil"/>
              <w:right w:val="nil"/>
            </w:tcBorders>
          </w:tcPr>
          <w:p w14:paraId="7281AB59"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0.12±0.01</w:t>
            </w:r>
            <w:r>
              <w:rPr>
                <w:rFonts w:ascii="Times New Roman" w:hAnsi="Times New Roman" w:cs="Times New Roman"/>
                <w:sz w:val="24"/>
                <w:szCs w:val="24"/>
                <w:vertAlign w:val="superscript"/>
              </w:rPr>
              <w:t>a</w:t>
            </w:r>
          </w:p>
        </w:tc>
        <w:tc>
          <w:tcPr>
            <w:tcW w:w="1559" w:type="dxa"/>
            <w:tcBorders>
              <w:top w:val="nil"/>
              <w:left w:val="nil"/>
              <w:bottom w:val="nil"/>
              <w:right w:val="nil"/>
            </w:tcBorders>
          </w:tcPr>
          <w:p w14:paraId="73976F77"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0.58±0.01</w:t>
            </w:r>
            <w:r>
              <w:rPr>
                <w:rFonts w:ascii="Times New Roman" w:hAnsi="Times New Roman" w:cs="Times New Roman"/>
                <w:sz w:val="24"/>
                <w:szCs w:val="24"/>
                <w:vertAlign w:val="superscript"/>
              </w:rPr>
              <w:t>c</w:t>
            </w:r>
          </w:p>
        </w:tc>
      </w:tr>
      <w:tr w:rsidR="00406B68" w14:paraId="50697619" w14:textId="77777777">
        <w:tc>
          <w:tcPr>
            <w:tcW w:w="1558" w:type="dxa"/>
            <w:tcBorders>
              <w:top w:val="nil"/>
              <w:left w:val="nil"/>
              <w:right w:val="nil"/>
            </w:tcBorders>
          </w:tcPr>
          <w:p w14:paraId="65302574"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G</w:t>
            </w:r>
          </w:p>
        </w:tc>
        <w:tc>
          <w:tcPr>
            <w:tcW w:w="1558" w:type="dxa"/>
            <w:tcBorders>
              <w:top w:val="nil"/>
              <w:left w:val="nil"/>
              <w:right w:val="nil"/>
            </w:tcBorders>
          </w:tcPr>
          <w:p w14:paraId="0319C1E4"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3.01±0.01</w:t>
            </w:r>
            <w:r>
              <w:rPr>
                <w:rFonts w:ascii="Times New Roman" w:hAnsi="Times New Roman" w:cs="Times New Roman"/>
                <w:sz w:val="24"/>
                <w:szCs w:val="24"/>
                <w:vertAlign w:val="superscript"/>
              </w:rPr>
              <w:t>b</w:t>
            </w:r>
          </w:p>
        </w:tc>
        <w:tc>
          <w:tcPr>
            <w:tcW w:w="1558" w:type="dxa"/>
            <w:tcBorders>
              <w:top w:val="nil"/>
              <w:left w:val="nil"/>
              <w:right w:val="nil"/>
            </w:tcBorders>
          </w:tcPr>
          <w:p w14:paraId="0E2FE6C7"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2.04±0.01</w:t>
            </w:r>
            <w:r>
              <w:rPr>
                <w:rFonts w:ascii="Times New Roman" w:hAnsi="Times New Roman" w:cs="Times New Roman"/>
                <w:sz w:val="24"/>
                <w:szCs w:val="24"/>
                <w:vertAlign w:val="superscript"/>
              </w:rPr>
              <w:t>b</w:t>
            </w:r>
          </w:p>
        </w:tc>
        <w:tc>
          <w:tcPr>
            <w:tcW w:w="1558" w:type="dxa"/>
            <w:tcBorders>
              <w:top w:val="nil"/>
              <w:left w:val="nil"/>
              <w:right w:val="nil"/>
            </w:tcBorders>
          </w:tcPr>
          <w:p w14:paraId="5EB51472"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1.83±0.01</w:t>
            </w:r>
            <w:r>
              <w:rPr>
                <w:rFonts w:ascii="Times New Roman" w:hAnsi="Times New Roman" w:cs="Times New Roman"/>
                <w:sz w:val="24"/>
                <w:szCs w:val="24"/>
                <w:vertAlign w:val="superscript"/>
              </w:rPr>
              <w:t>b</w:t>
            </w:r>
          </w:p>
        </w:tc>
        <w:tc>
          <w:tcPr>
            <w:tcW w:w="1558" w:type="dxa"/>
            <w:tcBorders>
              <w:top w:val="nil"/>
              <w:left w:val="nil"/>
              <w:right w:val="nil"/>
            </w:tcBorders>
          </w:tcPr>
          <w:p w14:paraId="63DE3413"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1.07±0.02</w:t>
            </w:r>
            <w:r>
              <w:rPr>
                <w:rFonts w:ascii="Times New Roman" w:hAnsi="Times New Roman" w:cs="Times New Roman"/>
                <w:sz w:val="24"/>
                <w:szCs w:val="24"/>
                <w:vertAlign w:val="superscript"/>
              </w:rPr>
              <w:t>cd</w:t>
            </w:r>
          </w:p>
        </w:tc>
        <w:tc>
          <w:tcPr>
            <w:tcW w:w="1559" w:type="dxa"/>
            <w:tcBorders>
              <w:top w:val="nil"/>
              <w:left w:val="nil"/>
              <w:right w:val="nil"/>
            </w:tcBorders>
          </w:tcPr>
          <w:p w14:paraId="5E80B4DC"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0.11±0.00</w:t>
            </w:r>
            <w:r>
              <w:rPr>
                <w:rFonts w:ascii="Times New Roman" w:hAnsi="Times New Roman" w:cs="Times New Roman"/>
                <w:sz w:val="24"/>
                <w:szCs w:val="24"/>
                <w:vertAlign w:val="superscript"/>
              </w:rPr>
              <w:t>a</w:t>
            </w:r>
          </w:p>
        </w:tc>
        <w:tc>
          <w:tcPr>
            <w:tcW w:w="1559" w:type="dxa"/>
            <w:tcBorders>
              <w:top w:val="nil"/>
              <w:left w:val="nil"/>
              <w:right w:val="nil"/>
            </w:tcBorders>
          </w:tcPr>
          <w:p w14:paraId="0AA754B6"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0.66±0.01</w:t>
            </w:r>
            <w:r>
              <w:rPr>
                <w:rFonts w:ascii="Times New Roman" w:hAnsi="Times New Roman" w:cs="Times New Roman"/>
                <w:sz w:val="24"/>
                <w:szCs w:val="24"/>
                <w:vertAlign w:val="superscript"/>
              </w:rPr>
              <w:t>b</w:t>
            </w:r>
          </w:p>
        </w:tc>
      </w:tr>
    </w:tbl>
    <w:p w14:paraId="78E48ED2" w14:textId="77777777" w:rsidR="00406B68" w:rsidRDefault="001162EA">
      <w:pPr>
        <w:tabs>
          <w:tab w:val="left" w:pos="4770"/>
        </w:tabs>
        <w:autoSpaceDE w:val="0"/>
        <w:autoSpaceDN w:val="0"/>
        <w:adjustRightInd w:val="0"/>
        <w:spacing w:line="480" w:lineRule="auto"/>
        <w:jc w:val="both"/>
        <w:rPr>
          <w:rFonts w:ascii="Times New Roman" w:eastAsiaTheme="minorEastAsia" w:hAnsi="Times New Roman" w:cs="Times New Roman"/>
          <w:sz w:val="20"/>
          <w:szCs w:val="24"/>
        </w:rPr>
      </w:pPr>
      <w:r>
        <w:rPr>
          <w:rFonts w:ascii="Times New Roman" w:eastAsiaTheme="minorEastAsia" w:hAnsi="Times New Roman" w:cs="Times New Roman"/>
          <w:sz w:val="20"/>
          <w:szCs w:val="24"/>
        </w:rPr>
        <w:t>Values in the same column with different superscript are significantly different (P˂0.05).</w:t>
      </w:r>
    </w:p>
    <w:p w14:paraId="73480426" w14:textId="77777777" w:rsidR="00406B68" w:rsidRDefault="001162EA">
      <w:pPr>
        <w:tabs>
          <w:tab w:val="left" w:pos="4770"/>
        </w:tabs>
        <w:autoSpaceDE w:val="0"/>
        <w:autoSpaceDN w:val="0"/>
        <w:adjustRightInd w:val="0"/>
        <w:spacing w:line="480" w:lineRule="auto"/>
        <w:jc w:val="both"/>
        <w:rPr>
          <w:rFonts w:ascii="Times New Roman" w:eastAsiaTheme="minorEastAsia" w:hAnsi="Times New Roman" w:cs="Times New Roman"/>
          <w:sz w:val="20"/>
          <w:szCs w:val="24"/>
        </w:rPr>
      </w:pPr>
      <w:r>
        <w:rPr>
          <w:rFonts w:ascii="Times New Roman" w:eastAsiaTheme="minorEastAsia" w:hAnsi="Times New Roman" w:cs="Times New Roman"/>
          <w:sz w:val="20"/>
          <w:szCs w:val="24"/>
        </w:rPr>
        <w:t xml:space="preserve">A= 100%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pap paste; B= 95%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5% Tamarind pap paste; C= 90%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10% Tamarind pap paste; D= 85%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15% Tamarind pap paste; E= 80%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20% Tamarind pap paste; F=75% </w:t>
      </w:r>
      <w:proofErr w:type="spellStart"/>
      <w:r>
        <w:rPr>
          <w:rFonts w:ascii="Times New Roman" w:eastAsiaTheme="minorEastAsia" w:hAnsi="Times New Roman" w:cs="Times New Roman"/>
          <w:sz w:val="20"/>
          <w:szCs w:val="24"/>
        </w:rPr>
        <w:t>Biofortifies</w:t>
      </w:r>
      <w:proofErr w:type="spellEnd"/>
      <w:r>
        <w:rPr>
          <w:rFonts w:ascii="Times New Roman" w:eastAsiaTheme="minorEastAsia" w:hAnsi="Times New Roman" w:cs="Times New Roman"/>
          <w:sz w:val="20"/>
          <w:szCs w:val="24"/>
        </w:rPr>
        <w:t xml:space="preserve"> maize, 25%Tamarind pap paste; G=70%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30% Tamarind pap paste.</w:t>
      </w:r>
    </w:p>
    <w:p w14:paraId="2CD41B5E" w14:textId="77777777" w:rsidR="00406B68" w:rsidRDefault="001162EA">
      <w:pPr>
        <w:spacing w:line="480" w:lineRule="auto"/>
        <w:jc w:val="both"/>
        <w:rPr>
          <w:rFonts w:ascii="Times New Roman" w:hAnsi="Times New Roman" w:cs="Times New Roman"/>
          <w:sz w:val="24"/>
          <w:szCs w:val="24"/>
        </w:rPr>
      </w:pPr>
      <w:r>
        <w:rPr>
          <w:rFonts w:ascii="Times New Roman" w:hAnsi="Times New Roman" w:cs="Times New Roman"/>
          <w:b/>
          <w:i/>
          <w:sz w:val="24"/>
          <w:szCs w:val="24"/>
        </w:rPr>
        <w:t>Anti-nutrients Contents of Pap Paste Samples</w:t>
      </w:r>
      <w:r>
        <w:rPr>
          <w:rFonts w:ascii="Times New Roman" w:hAnsi="Times New Roman" w:cs="Times New Roman"/>
          <w:sz w:val="24"/>
          <w:szCs w:val="24"/>
        </w:rPr>
        <w:t>:</w:t>
      </w:r>
      <w:r>
        <w:rPr>
          <w:rFonts w:ascii="Times New Roman" w:hAnsi="Times New Roman" w:cs="Times New Roman"/>
          <w:i/>
          <w:sz w:val="24"/>
          <w:szCs w:val="24"/>
        </w:rPr>
        <w:t xml:space="preserve"> </w:t>
      </w:r>
      <w:r>
        <w:rPr>
          <w:rFonts w:ascii="Times New Roman" w:hAnsi="Times New Roman" w:cs="Times New Roman"/>
          <w:sz w:val="24"/>
          <w:szCs w:val="24"/>
        </w:rPr>
        <w:t xml:space="preserve">Anti-nutrients decreased digestibility and palatability of nutrients by forming insoluble complexes. The Tannin, Oxalate, </w:t>
      </w:r>
      <w:proofErr w:type="spellStart"/>
      <w:r>
        <w:rPr>
          <w:rFonts w:ascii="Times New Roman" w:hAnsi="Times New Roman" w:cs="Times New Roman"/>
          <w:sz w:val="24"/>
          <w:szCs w:val="24"/>
        </w:rPr>
        <w:t>Phytate</w:t>
      </w:r>
      <w:proofErr w:type="spellEnd"/>
      <w:r>
        <w:rPr>
          <w:rFonts w:ascii="Times New Roman" w:hAnsi="Times New Roman" w:cs="Times New Roman"/>
          <w:sz w:val="24"/>
          <w:szCs w:val="24"/>
        </w:rPr>
        <w:t xml:space="preserve"> were </w:t>
      </w:r>
      <w:proofErr w:type="spellStart"/>
      <w:r>
        <w:rPr>
          <w:rFonts w:ascii="Times New Roman" w:hAnsi="Times New Roman" w:cs="Times New Roman"/>
          <w:sz w:val="24"/>
          <w:szCs w:val="24"/>
        </w:rPr>
        <w:t>analysed</w:t>
      </w:r>
      <w:proofErr w:type="spellEnd"/>
      <w:r>
        <w:rPr>
          <w:rFonts w:ascii="Times New Roman" w:hAnsi="Times New Roman" w:cs="Times New Roman"/>
          <w:sz w:val="24"/>
          <w:szCs w:val="24"/>
        </w:rPr>
        <w:t>. Oxalate contents were significant (p&lt;0.05), as samples E and C had highest and lowest values respectively, with all within safe limits. Tannin contents were significant (p&lt;.05), but with no particular order. Tannin contents of all samples except samples B, C and E were slightly high, compared to the lethal dose of 0.7–0.9 mg/100g (</w:t>
      </w:r>
      <w:hyperlink w:anchor="_ENREF_30" w:tooltip="Ilelaboye, 2013 #163" w:history="1">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AuthorYear="1"&gt;&lt;Author&gt;Ilelaboye&lt;/Author&gt;&lt;Year&gt;2013&lt;/Year&gt;&lt;RecNum&gt;163&lt;/RecNum&gt;&lt;DisplayText&gt;Ilelaboye&lt;style face="italic"&gt; et al.&lt;/style&gt; (2013)&lt;/DisplayText&gt;&lt;record&gt;&lt;rec-number&gt;163&lt;/rec-number&gt;&lt;foreign-keys&gt;&lt;key app="EN" db-id="tz9rpzspgx2teie0pzs5w5a7v2exvttzvvdr"&gt;163&lt;/key&gt;&lt;/foreign-keys&gt;&lt;ref-type name="Journal Article"&gt;17&lt;/ref-type&gt;&lt;contributors&gt;&lt;authors&gt;&lt;author&gt;Ilelaboye, NOA&lt;/author&gt;&lt;author&gt;Amoo, IA&lt;/author&gt;&lt;author&gt;Pikuda, OO&lt;/author&gt;&lt;/authors&gt;&lt;/contributors&gt;&lt;titles&gt;&lt;title&gt;Effect of cooking methods on mineral and anti nutrient composition of some green leafy vegetables&lt;/title&gt;&lt;secondary-title&gt;Archives of Applied science research&lt;/secondary-title&gt;&lt;/titles&gt;&lt;periodical&gt;&lt;full-title&gt;Archives of Applied science research&lt;/full-title&gt;&lt;/periodical&gt;&lt;pages&gt;254-260&lt;/pages&gt;&lt;volume&gt;5&lt;/volume&gt;&lt;number&gt;3&lt;/number&gt;&lt;dates&gt;&lt;year&gt;2013&lt;/year&gt;&lt;/dates&gt;&lt;isbn&gt;0975-508X&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Ilelaboye</w:t>
        </w:r>
        <w:r>
          <w:rPr>
            <w:rFonts w:ascii="Times New Roman" w:hAnsi="Times New Roman" w:cs="Times New Roman"/>
            <w:i/>
            <w:sz w:val="24"/>
            <w:szCs w:val="24"/>
          </w:rPr>
          <w:t xml:space="preserve"> et al.,</w:t>
        </w:r>
        <w:r>
          <w:rPr>
            <w:rFonts w:ascii="Times New Roman" w:hAnsi="Times New Roman" w:cs="Times New Roman"/>
            <w:sz w:val="24"/>
            <w:szCs w:val="24"/>
          </w:rPr>
          <w:t xml:space="preserve"> 2013)</w:t>
        </w:r>
        <w:r>
          <w:rPr>
            <w:rFonts w:ascii="Times New Roman" w:hAnsi="Times New Roman" w:cs="Times New Roman"/>
            <w:sz w:val="24"/>
            <w:szCs w:val="24"/>
          </w:rPr>
          <w:fldChar w:fldCharType="end"/>
        </w:r>
      </w:hyperlink>
      <w:r>
        <w:rPr>
          <w:rFonts w:ascii="Times New Roman" w:hAnsi="Times New Roman" w:cs="Times New Roman"/>
          <w:sz w:val="24"/>
          <w:szCs w:val="24"/>
        </w:rPr>
        <w:t xml:space="preserve">. </w:t>
      </w:r>
      <w:proofErr w:type="spellStart"/>
      <w:r>
        <w:rPr>
          <w:rFonts w:ascii="Times New Roman" w:hAnsi="Times New Roman" w:cs="Times New Roman"/>
          <w:sz w:val="24"/>
          <w:szCs w:val="24"/>
        </w:rPr>
        <w:t>Phytate</w:t>
      </w:r>
      <w:proofErr w:type="spellEnd"/>
      <w:r>
        <w:rPr>
          <w:rFonts w:ascii="Times New Roman" w:hAnsi="Times New Roman" w:cs="Times New Roman"/>
          <w:sz w:val="24"/>
          <w:szCs w:val="24"/>
        </w:rPr>
        <w:t xml:space="preserve"> content except for samples B and E, were significant. It forms complexes with Fe, Zn, </w:t>
      </w:r>
      <w:proofErr w:type="spellStart"/>
      <w:r>
        <w:rPr>
          <w:rFonts w:ascii="Times New Roman" w:hAnsi="Times New Roman" w:cs="Times New Roman"/>
          <w:sz w:val="24"/>
          <w:szCs w:val="24"/>
        </w:rPr>
        <w:t>Ca</w:t>
      </w:r>
      <w:proofErr w:type="spellEnd"/>
      <w:r>
        <w:rPr>
          <w:rFonts w:ascii="Times New Roman" w:hAnsi="Times New Roman" w:cs="Times New Roman"/>
          <w:sz w:val="24"/>
          <w:szCs w:val="24"/>
        </w:rPr>
        <w:t>, and Mg, making them less available and inadequate in food, mostly for children. Values of 10–50 mg/100g may not affect negatively on Zn and Fe absorption (</w:t>
      </w:r>
      <w:proofErr w:type="spellStart"/>
      <w:r>
        <w:rPr>
          <w:rFonts w:ascii="Times New Roman" w:hAnsi="Times New Roman" w:cs="Times New Roman"/>
          <w:sz w:val="24"/>
          <w:szCs w:val="24"/>
        </w:rPr>
        <w:t>Ilelaboye</w:t>
      </w:r>
      <w:proofErr w:type="spellEnd"/>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xml:space="preserve">., 2013), as different fermentation products values were from 0.60 to 0.93 mg/100g, and within safe consumption range. </w:t>
      </w:r>
    </w:p>
    <w:p w14:paraId="602ABED6" w14:textId="77777777" w:rsidR="00406B68" w:rsidRDefault="001162EA">
      <w:pPr>
        <w:spacing w:line="480" w:lineRule="auto"/>
        <w:jc w:val="both"/>
        <w:rPr>
          <w:rFonts w:ascii="Times New Roman" w:hAnsi="Times New Roman" w:cs="Times New Roman"/>
          <w:b/>
          <w:sz w:val="24"/>
          <w:szCs w:val="24"/>
        </w:rPr>
      </w:pPr>
      <w:r>
        <w:rPr>
          <w:rFonts w:ascii="Times New Roman" w:hAnsi="Times New Roman" w:cs="Times New Roman"/>
          <w:b/>
          <w:sz w:val="24"/>
          <w:szCs w:val="24"/>
        </w:rPr>
        <w:t>Table 7: Anti-nutrient contents of pap paste samples</w:t>
      </w:r>
    </w:p>
    <w:tbl>
      <w:tblPr>
        <w:tblStyle w:val="TableGrid"/>
        <w:tblpPr w:leftFromText="180" w:rightFromText="180" w:vertAnchor="text" w:horzAnchor="margin" w:tblpY="553"/>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710"/>
        <w:gridCol w:w="1516"/>
        <w:gridCol w:w="2167"/>
        <w:gridCol w:w="2167"/>
      </w:tblGrid>
      <w:tr w:rsidR="00406B68" w14:paraId="455FCB28" w14:textId="77777777">
        <w:tc>
          <w:tcPr>
            <w:tcW w:w="1710" w:type="dxa"/>
            <w:tcBorders>
              <w:bottom w:val="single" w:sz="4" w:space="0" w:color="auto"/>
            </w:tcBorders>
          </w:tcPr>
          <w:p w14:paraId="62E801D7"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Samples</w:t>
            </w:r>
          </w:p>
        </w:tc>
        <w:tc>
          <w:tcPr>
            <w:tcW w:w="1516" w:type="dxa"/>
            <w:tcBorders>
              <w:bottom w:val="single" w:sz="4" w:space="0" w:color="auto"/>
            </w:tcBorders>
          </w:tcPr>
          <w:p w14:paraId="799B76BC"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Oxalate (mg/100g)</w:t>
            </w:r>
          </w:p>
        </w:tc>
        <w:tc>
          <w:tcPr>
            <w:tcW w:w="2167" w:type="dxa"/>
            <w:tcBorders>
              <w:bottom w:val="single" w:sz="4" w:space="0" w:color="auto"/>
            </w:tcBorders>
          </w:tcPr>
          <w:p w14:paraId="5C26FE22"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Tannin (mg/100g)</w:t>
            </w:r>
          </w:p>
        </w:tc>
        <w:tc>
          <w:tcPr>
            <w:tcW w:w="2167" w:type="dxa"/>
            <w:tcBorders>
              <w:bottom w:val="single" w:sz="4" w:space="0" w:color="auto"/>
            </w:tcBorders>
          </w:tcPr>
          <w:p w14:paraId="5EF057A9" w14:textId="77777777" w:rsidR="00406B68" w:rsidRDefault="001162EA">
            <w:pPr>
              <w:spacing w:after="0"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Phytate</w:t>
            </w:r>
            <w:proofErr w:type="spellEnd"/>
            <w:r>
              <w:rPr>
                <w:rFonts w:ascii="Times New Roman" w:hAnsi="Times New Roman" w:cs="Times New Roman"/>
                <w:sz w:val="24"/>
                <w:szCs w:val="24"/>
              </w:rPr>
              <w:t xml:space="preserve"> (mg/100g)</w:t>
            </w:r>
          </w:p>
        </w:tc>
      </w:tr>
      <w:tr w:rsidR="00406B68" w14:paraId="4A7095E7" w14:textId="77777777">
        <w:tc>
          <w:tcPr>
            <w:tcW w:w="1710" w:type="dxa"/>
            <w:tcBorders>
              <w:bottom w:val="nil"/>
            </w:tcBorders>
          </w:tcPr>
          <w:p w14:paraId="0701926E"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w:t>
            </w:r>
          </w:p>
        </w:tc>
        <w:tc>
          <w:tcPr>
            <w:tcW w:w="1516" w:type="dxa"/>
            <w:tcBorders>
              <w:bottom w:val="nil"/>
            </w:tcBorders>
          </w:tcPr>
          <w:p w14:paraId="625B31B8"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13.13±0.74</w:t>
            </w:r>
            <w:r>
              <w:rPr>
                <w:rFonts w:ascii="Times New Roman" w:hAnsi="Times New Roman" w:cs="Times New Roman"/>
                <w:sz w:val="24"/>
                <w:szCs w:val="24"/>
                <w:vertAlign w:val="superscript"/>
              </w:rPr>
              <w:t>b</w:t>
            </w:r>
          </w:p>
        </w:tc>
        <w:tc>
          <w:tcPr>
            <w:tcW w:w="2167" w:type="dxa"/>
            <w:tcBorders>
              <w:bottom w:val="nil"/>
            </w:tcBorders>
          </w:tcPr>
          <w:p w14:paraId="5F8F3CAE"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0.78 ±0.01</w:t>
            </w:r>
            <w:r>
              <w:rPr>
                <w:rFonts w:ascii="Times New Roman" w:hAnsi="Times New Roman" w:cs="Times New Roman"/>
                <w:sz w:val="24"/>
                <w:szCs w:val="24"/>
                <w:vertAlign w:val="superscript"/>
              </w:rPr>
              <w:t>c</w:t>
            </w:r>
          </w:p>
        </w:tc>
        <w:tc>
          <w:tcPr>
            <w:tcW w:w="2167" w:type="dxa"/>
            <w:tcBorders>
              <w:bottom w:val="nil"/>
            </w:tcBorders>
          </w:tcPr>
          <w:p w14:paraId="1517BB13"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0.60±0.03</w:t>
            </w:r>
            <w:r>
              <w:rPr>
                <w:rFonts w:ascii="Times New Roman" w:hAnsi="Times New Roman" w:cs="Times New Roman"/>
                <w:sz w:val="24"/>
                <w:szCs w:val="24"/>
                <w:vertAlign w:val="superscript"/>
              </w:rPr>
              <w:t>c</w:t>
            </w:r>
          </w:p>
        </w:tc>
      </w:tr>
      <w:tr w:rsidR="00406B68" w14:paraId="7C6FEEC2" w14:textId="77777777">
        <w:tc>
          <w:tcPr>
            <w:tcW w:w="1710" w:type="dxa"/>
            <w:tcBorders>
              <w:top w:val="nil"/>
              <w:bottom w:val="nil"/>
            </w:tcBorders>
          </w:tcPr>
          <w:p w14:paraId="5C339C21"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B</w:t>
            </w:r>
          </w:p>
        </w:tc>
        <w:tc>
          <w:tcPr>
            <w:tcW w:w="1516" w:type="dxa"/>
            <w:tcBorders>
              <w:top w:val="nil"/>
              <w:bottom w:val="nil"/>
            </w:tcBorders>
          </w:tcPr>
          <w:p w14:paraId="42F97654"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12.81±0.30</w:t>
            </w:r>
            <w:r>
              <w:rPr>
                <w:rFonts w:ascii="Times New Roman" w:hAnsi="Times New Roman" w:cs="Times New Roman"/>
                <w:sz w:val="24"/>
                <w:szCs w:val="24"/>
                <w:vertAlign w:val="superscript"/>
              </w:rPr>
              <w:t>b</w:t>
            </w:r>
          </w:p>
        </w:tc>
        <w:tc>
          <w:tcPr>
            <w:tcW w:w="2167" w:type="dxa"/>
            <w:tcBorders>
              <w:top w:val="nil"/>
              <w:bottom w:val="nil"/>
            </w:tcBorders>
          </w:tcPr>
          <w:p w14:paraId="773D5445"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0.96±0.01</w:t>
            </w:r>
            <w:r>
              <w:rPr>
                <w:rFonts w:ascii="Times New Roman" w:hAnsi="Times New Roman" w:cs="Times New Roman"/>
                <w:sz w:val="24"/>
                <w:szCs w:val="24"/>
                <w:vertAlign w:val="superscript"/>
              </w:rPr>
              <w:t>b</w:t>
            </w:r>
          </w:p>
        </w:tc>
        <w:tc>
          <w:tcPr>
            <w:tcW w:w="2167" w:type="dxa"/>
            <w:tcBorders>
              <w:top w:val="nil"/>
              <w:bottom w:val="nil"/>
            </w:tcBorders>
          </w:tcPr>
          <w:p w14:paraId="06D6E084"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0.87±0.00</w:t>
            </w:r>
            <w:r>
              <w:rPr>
                <w:rFonts w:ascii="Times New Roman" w:hAnsi="Times New Roman" w:cs="Times New Roman"/>
                <w:sz w:val="24"/>
                <w:szCs w:val="24"/>
                <w:vertAlign w:val="superscript"/>
              </w:rPr>
              <w:t>a</w:t>
            </w:r>
          </w:p>
        </w:tc>
      </w:tr>
      <w:tr w:rsidR="00406B68" w14:paraId="2E28B9BF" w14:textId="77777777">
        <w:tc>
          <w:tcPr>
            <w:tcW w:w="1710" w:type="dxa"/>
            <w:tcBorders>
              <w:top w:val="nil"/>
              <w:bottom w:val="nil"/>
            </w:tcBorders>
          </w:tcPr>
          <w:p w14:paraId="6D277B44"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C</w:t>
            </w:r>
          </w:p>
        </w:tc>
        <w:tc>
          <w:tcPr>
            <w:tcW w:w="1516" w:type="dxa"/>
            <w:tcBorders>
              <w:top w:val="nil"/>
              <w:bottom w:val="nil"/>
            </w:tcBorders>
          </w:tcPr>
          <w:p w14:paraId="1EB0C409"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4.73±0.74</w:t>
            </w:r>
            <w:r>
              <w:rPr>
                <w:rFonts w:ascii="Times New Roman" w:hAnsi="Times New Roman" w:cs="Times New Roman"/>
                <w:sz w:val="24"/>
                <w:szCs w:val="24"/>
                <w:vertAlign w:val="superscript"/>
              </w:rPr>
              <w:t>e</w:t>
            </w:r>
          </w:p>
        </w:tc>
        <w:tc>
          <w:tcPr>
            <w:tcW w:w="2167" w:type="dxa"/>
            <w:tcBorders>
              <w:top w:val="nil"/>
              <w:bottom w:val="nil"/>
            </w:tcBorders>
          </w:tcPr>
          <w:p w14:paraId="7E5D4922"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0.93±0.01</w:t>
            </w:r>
            <w:r>
              <w:rPr>
                <w:rFonts w:ascii="Times New Roman" w:hAnsi="Times New Roman" w:cs="Times New Roman"/>
                <w:sz w:val="24"/>
                <w:szCs w:val="24"/>
                <w:vertAlign w:val="superscript"/>
              </w:rPr>
              <w:t>b</w:t>
            </w:r>
          </w:p>
        </w:tc>
        <w:tc>
          <w:tcPr>
            <w:tcW w:w="2167" w:type="dxa"/>
            <w:tcBorders>
              <w:top w:val="nil"/>
              <w:bottom w:val="nil"/>
            </w:tcBorders>
          </w:tcPr>
          <w:p w14:paraId="5BCBA293"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0.79±0.00</w:t>
            </w:r>
            <w:r>
              <w:rPr>
                <w:rFonts w:ascii="Times New Roman" w:hAnsi="Times New Roman" w:cs="Times New Roman"/>
                <w:sz w:val="24"/>
                <w:szCs w:val="24"/>
                <w:vertAlign w:val="superscript"/>
              </w:rPr>
              <w:t>b</w:t>
            </w:r>
          </w:p>
        </w:tc>
      </w:tr>
      <w:tr w:rsidR="00406B68" w14:paraId="4B02E509" w14:textId="77777777">
        <w:tc>
          <w:tcPr>
            <w:tcW w:w="1710" w:type="dxa"/>
            <w:tcBorders>
              <w:top w:val="nil"/>
              <w:bottom w:val="nil"/>
            </w:tcBorders>
          </w:tcPr>
          <w:p w14:paraId="6B6A8DC8"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w:t>
            </w:r>
          </w:p>
        </w:tc>
        <w:tc>
          <w:tcPr>
            <w:tcW w:w="1516" w:type="dxa"/>
            <w:tcBorders>
              <w:top w:val="nil"/>
              <w:bottom w:val="nil"/>
            </w:tcBorders>
          </w:tcPr>
          <w:p w14:paraId="71CE10BD"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14.18±0.74</w:t>
            </w:r>
            <w:r>
              <w:rPr>
                <w:rFonts w:ascii="Times New Roman" w:hAnsi="Times New Roman" w:cs="Times New Roman"/>
                <w:sz w:val="24"/>
                <w:szCs w:val="24"/>
                <w:vertAlign w:val="superscript"/>
              </w:rPr>
              <w:t>a</w:t>
            </w:r>
          </w:p>
        </w:tc>
        <w:tc>
          <w:tcPr>
            <w:tcW w:w="2167" w:type="dxa"/>
            <w:tcBorders>
              <w:top w:val="nil"/>
              <w:bottom w:val="nil"/>
            </w:tcBorders>
          </w:tcPr>
          <w:p w14:paraId="09650FD6"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0.78±0.03</w:t>
            </w:r>
            <w:r>
              <w:rPr>
                <w:rFonts w:ascii="Times New Roman" w:hAnsi="Times New Roman" w:cs="Times New Roman"/>
                <w:sz w:val="24"/>
                <w:szCs w:val="24"/>
                <w:vertAlign w:val="superscript"/>
              </w:rPr>
              <w:t>c</w:t>
            </w:r>
          </w:p>
        </w:tc>
        <w:tc>
          <w:tcPr>
            <w:tcW w:w="2167" w:type="dxa"/>
            <w:tcBorders>
              <w:top w:val="nil"/>
              <w:bottom w:val="nil"/>
            </w:tcBorders>
          </w:tcPr>
          <w:p w14:paraId="051D2AE2"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0.86±0.02</w:t>
            </w:r>
            <w:r>
              <w:rPr>
                <w:rFonts w:ascii="Times New Roman" w:hAnsi="Times New Roman" w:cs="Times New Roman"/>
                <w:sz w:val="24"/>
                <w:szCs w:val="24"/>
                <w:vertAlign w:val="superscript"/>
              </w:rPr>
              <w:t>a</w:t>
            </w:r>
          </w:p>
        </w:tc>
      </w:tr>
      <w:tr w:rsidR="00406B68" w14:paraId="2A084A18" w14:textId="77777777">
        <w:tc>
          <w:tcPr>
            <w:tcW w:w="1710" w:type="dxa"/>
            <w:tcBorders>
              <w:top w:val="nil"/>
              <w:bottom w:val="nil"/>
            </w:tcBorders>
          </w:tcPr>
          <w:p w14:paraId="4919684E"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E</w:t>
            </w:r>
          </w:p>
        </w:tc>
        <w:tc>
          <w:tcPr>
            <w:tcW w:w="1516" w:type="dxa"/>
            <w:tcBorders>
              <w:top w:val="nil"/>
              <w:bottom w:val="nil"/>
            </w:tcBorders>
          </w:tcPr>
          <w:p w14:paraId="6EC35099"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14.91 ±0.30</w:t>
            </w:r>
            <w:r>
              <w:rPr>
                <w:rFonts w:ascii="Times New Roman" w:hAnsi="Times New Roman" w:cs="Times New Roman"/>
                <w:sz w:val="24"/>
                <w:szCs w:val="24"/>
                <w:vertAlign w:val="superscript"/>
              </w:rPr>
              <w:t>a</w:t>
            </w:r>
          </w:p>
        </w:tc>
        <w:tc>
          <w:tcPr>
            <w:tcW w:w="2167" w:type="dxa"/>
            <w:tcBorders>
              <w:top w:val="nil"/>
              <w:bottom w:val="nil"/>
            </w:tcBorders>
          </w:tcPr>
          <w:p w14:paraId="55F7FCBC"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1.16±0.01</w:t>
            </w:r>
            <w:r>
              <w:rPr>
                <w:rFonts w:ascii="Times New Roman" w:hAnsi="Times New Roman" w:cs="Times New Roman"/>
                <w:sz w:val="24"/>
                <w:szCs w:val="24"/>
                <w:vertAlign w:val="superscript"/>
              </w:rPr>
              <w:t>a</w:t>
            </w:r>
          </w:p>
        </w:tc>
        <w:tc>
          <w:tcPr>
            <w:tcW w:w="2167" w:type="dxa"/>
            <w:tcBorders>
              <w:top w:val="nil"/>
              <w:bottom w:val="nil"/>
            </w:tcBorders>
          </w:tcPr>
          <w:p w14:paraId="25A79B94"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0.71±0.03</w:t>
            </w:r>
            <w:r>
              <w:rPr>
                <w:rFonts w:ascii="Times New Roman" w:hAnsi="Times New Roman" w:cs="Times New Roman"/>
                <w:sz w:val="24"/>
                <w:szCs w:val="24"/>
                <w:vertAlign w:val="superscript"/>
              </w:rPr>
              <w:t>b</w:t>
            </w:r>
          </w:p>
        </w:tc>
      </w:tr>
      <w:tr w:rsidR="00406B68" w14:paraId="64525120" w14:textId="77777777">
        <w:tc>
          <w:tcPr>
            <w:tcW w:w="1710" w:type="dxa"/>
            <w:tcBorders>
              <w:top w:val="nil"/>
              <w:bottom w:val="nil"/>
            </w:tcBorders>
          </w:tcPr>
          <w:p w14:paraId="1B0F3F95"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w:t>
            </w:r>
          </w:p>
        </w:tc>
        <w:tc>
          <w:tcPr>
            <w:tcW w:w="1516" w:type="dxa"/>
            <w:tcBorders>
              <w:top w:val="nil"/>
              <w:bottom w:val="nil"/>
            </w:tcBorders>
          </w:tcPr>
          <w:p w14:paraId="3306E7D5"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8.40±0.00</w:t>
            </w:r>
            <w:r>
              <w:rPr>
                <w:rFonts w:ascii="Times New Roman" w:hAnsi="Times New Roman" w:cs="Times New Roman"/>
                <w:sz w:val="24"/>
                <w:szCs w:val="24"/>
                <w:vertAlign w:val="superscript"/>
              </w:rPr>
              <w:t>d</w:t>
            </w:r>
          </w:p>
        </w:tc>
        <w:tc>
          <w:tcPr>
            <w:tcW w:w="2167" w:type="dxa"/>
            <w:tcBorders>
              <w:top w:val="nil"/>
              <w:bottom w:val="nil"/>
            </w:tcBorders>
          </w:tcPr>
          <w:p w14:paraId="2AF8B2C4"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0.68±0.02</w:t>
            </w:r>
            <w:r>
              <w:rPr>
                <w:rFonts w:ascii="Times New Roman" w:hAnsi="Times New Roman" w:cs="Times New Roman"/>
                <w:sz w:val="24"/>
                <w:szCs w:val="24"/>
                <w:vertAlign w:val="superscript"/>
              </w:rPr>
              <w:t>d</w:t>
            </w:r>
          </w:p>
        </w:tc>
        <w:tc>
          <w:tcPr>
            <w:tcW w:w="2167" w:type="dxa"/>
            <w:tcBorders>
              <w:top w:val="nil"/>
              <w:bottom w:val="nil"/>
            </w:tcBorders>
          </w:tcPr>
          <w:p w14:paraId="21EEE19F"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0.65±0.00</w:t>
            </w:r>
            <w:r>
              <w:rPr>
                <w:rFonts w:ascii="Times New Roman" w:hAnsi="Times New Roman" w:cs="Times New Roman"/>
                <w:sz w:val="24"/>
                <w:szCs w:val="24"/>
                <w:vertAlign w:val="superscript"/>
              </w:rPr>
              <w:t>c</w:t>
            </w:r>
          </w:p>
        </w:tc>
      </w:tr>
      <w:tr w:rsidR="00406B68" w14:paraId="2ACCE163" w14:textId="77777777">
        <w:tc>
          <w:tcPr>
            <w:tcW w:w="1710" w:type="dxa"/>
            <w:tcBorders>
              <w:top w:val="nil"/>
            </w:tcBorders>
          </w:tcPr>
          <w:p w14:paraId="44FF1397"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G</w:t>
            </w:r>
          </w:p>
        </w:tc>
        <w:tc>
          <w:tcPr>
            <w:tcW w:w="1516" w:type="dxa"/>
            <w:tcBorders>
              <w:top w:val="nil"/>
            </w:tcBorders>
          </w:tcPr>
          <w:p w14:paraId="089F4EF7"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11.03±0.74</w:t>
            </w:r>
            <w:r>
              <w:rPr>
                <w:rFonts w:ascii="Times New Roman" w:hAnsi="Times New Roman" w:cs="Times New Roman"/>
                <w:sz w:val="24"/>
                <w:szCs w:val="24"/>
                <w:vertAlign w:val="superscript"/>
              </w:rPr>
              <w:t>c</w:t>
            </w:r>
          </w:p>
        </w:tc>
        <w:tc>
          <w:tcPr>
            <w:tcW w:w="2167" w:type="dxa"/>
            <w:tcBorders>
              <w:top w:val="nil"/>
            </w:tcBorders>
          </w:tcPr>
          <w:p w14:paraId="62A51BAA"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0.83±0.01</w:t>
            </w:r>
            <w:r>
              <w:rPr>
                <w:rFonts w:ascii="Times New Roman" w:hAnsi="Times New Roman" w:cs="Times New Roman"/>
                <w:sz w:val="24"/>
                <w:szCs w:val="24"/>
                <w:vertAlign w:val="superscript"/>
              </w:rPr>
              <w:t>c</w:t>
            </w:r>
          </w:p>
        </w:tc>
        <w:tc>
          <w:tcPr>
            <w:tcW w:w="2167" w:type="dxa"/>
            <w:tcBorders>
              <w:top w:val="nil"/>
            </w:tcBorders>
          </w:tcPr>
          <w:p w14:paraId="732342F7"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0.93±0.03</w:t>
            </w:r>
            <w:r>
              <w:rPr>
                <w:rFonts w:ascii="Times New Roman" w:hAnsi="Times New Roman" w:cs="Times New Roman"/>
                <w:sz w:val="24"/>
                <w:szCs w:val="24"/>
                <w:vertAlign w:val="superscript"/>
              </w:rPr>
              <w:t>a</w:t>
            </w:r>
          </w:p>
        </w:tc>
      </w:tr>
    </w:tbl>
    <w:p w14:paraId="10EF5CEC" w14:textId="77777777" w:rsidR="00406B68" w:rsidRDefault="001162EA">
      <w:pPr>
        <w:tabs>
          <w:tab w:val="left" w:pos="4770"/>
        </w:tabs>
        <w:autoSpaceDE w:val="0"/>
        <w:autoSpaceDN w:val="0"/>
        <w:adjustRightInd w:val="0"/>
        <w:spacing w:line="48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p>
    <w:p w14:paraId="49CC87ED" w14:textId="77777777" w:rsidR="00406B68" w:rsidRDefault="00406B68">
      <w:pPr>
        <w:tabs>
          <w:tab w:val="left" w:pos="4770"/>
        </w:tabs>
        <w:autoSpaceDE w:val="0"/>
        <w:autoSpaceDN w:val="0"/>
        <w:adjustRightInd w:val="0"/>
        <w:spacing w:line="480" w:lineRule="auto"/>
        <w:jc w:val="both"/>
        <w:rPr>
          <w:rFonts w:ascii="Times New Roman" w:eastAsiaTheme="minorEastAsia" w:hAnsi="Times New Roman" w:cs="Times New Roman"/>
          <w:sz w:val="24"/>
          <w:szCs w:val="24"/>
        </w:rPr>
      </w:pPr>
    </w:p>
    <w:p w14:paraId="46875FCC" w14:textId="77777777" w:rsidR="00406B68" w:rsidRDefault="00406B68">
      <w:pPr>
        <w:tabs>
          <w:tab w:val="left" w:pos="4770"/>
        </w:tabs>
        <w:autoSpaceDE w:val="0"/>
        <w:autoSpaceDN w:val="0"/>
        <w:adjustRightInd w:val="0"/>
        <w:spacing w:line="480" w:lineRule="auto"/>
        <w:jc w:val="both"/>
        <w:rPr>
          <w:rFonts w:ascii="Times New Roman" w:eastAsiaTheme="minorEastAsia" w:hAnsi="Times New Roman" w:cs="Times New Roman"/>
          <w:sz w:val="24"/>
          <w:szCs w:val="24"/>
        </w:rPr>
      </w:pPr>
    </w:p>
    <w:p w14:paraId="5272E0A3" w14:textId="77777777" w:rsidR="00406B68" w:rsidRDefault="00406B68">
      <w:pPr>
        <w:tabs>
          <w:tab w:val="left" w:pos="4770"/>
        </w:tabs>
        <w:autoSpaceDE w:val="0"/>
        <w:autoSpaceDN w:val="0"/>
        <w:adjustRightInd w:val="0"/>
        <w:spacing w:line="480" w:lineRule="auto"/>
        <w:jc w:val="both"/>
        <w:rPr>
          <w:rFonts w:ascii="Times New Roman" w:eastAsiaTheme="minorEastAsia" w:hAnsi="Times New Roman" w:cs="Times New Roman"/>
          <w:sz w:val="24"/>
          <w:szCs w:val="24"/>
        </w:rPr>
      </w:pPr>
    </w:p>
    <w:p w14:paraId="1C20AAA7" w14:textId="77777777" w:rsidR="00406B68" w:rsidRDefault="00406B68">
      <w:pPr>
        <w:tabs>
          <w:tab w:val="left" w:pos="4770"/>
        </w:tabs>
        <w:autoSpaceDE w:val="0"/>
        <w:autoSpaceDN w:val="0"/>
        <w:adjustRightInd w:val="0"/>
        <w:spacing w:line="480" w:lineRule="auto"/>
        <w:jc w:val="both"/>
        <w:rPr>
          <w:rFonts w:ascii="Times New Roman" w:eastAsiaTheme="minorEastAsia" w:hAnsi="Times New Roman" w:cs="Times New Roman"/>
          <w:sz w:val="24"/>
          <w:szCs w:val="24"/>
        </w:rPr>
      </w:pPr>
    </w:p>
    <w:p w14:paraId="2C3F8F8D" w14:textId="77777777" w:rsidR="00406B68" w:rsidRDefault="00406B68">
      <w:pPr>
        <w:tabs>
          <w:tab w:val="left" w:pos="4770"/>
        </w:tabs>
        <w:autoSpaceDE w:val="0"/>
        <w:autoSpaceDN w:val="0"/>
        <w:adjustRightInd w:val="0"/>
        <w:spacing w:line="480" w:lineRule="auto"/>
        <w:jc w:val="both"/>
        <w:rPr>
          <w:rFonts w:ascii="Times New Roman" w:eastAsiaTheme="minorEastAsia" w:hAnsi="Times New Roman" w:cs="Times New Roman"/>
          <w:sz w:val="24"/>
          <w:szCs w:val="24"/>
        </w:rPr>
      </w:pPr>
    </w:p>
    <w:p w14:paraId="1D72E79F" w14:textId="77777777" w:rsidR="00406B68" w:rsidRDefault="00406B68">
      <w:pPr>
        <w:tabs>
          <w:tab w:val="left" w:pos="4770"/>
        </w:tabs>
        <w:autoSpaceDE w:val="0"/>
        <w:autoSpaceDN w:val="0"/>
        <w:adjustRightInd w:val="0"/>
        <w:spacing w:line="480" w:lineRule="auto"/>
        <w:jc w:val="both"/>
        <w:rPr>
          <w:rFonts w:ascii="Times New Roman" w:eastAsiaTheme="minorEastAsia" w:hAnsi="Times New Roman" w:cs="Times New Roman"/>
          <w:sz w:val="24"/>
          <w:szCs w:val="24"/>
        </w:rPr>
      </w:pPr>
    </w:p>
    <w:p w14:paraId="5C2C789B" w14:textId="77777777" w:rsidR="00406B68" w:rsidRDefault="00406B68">
      <w:pPr>
        <w:tabs>
          <w:tab w:val="left" w:pos="4770"/>
        </w:tabs>
        <w:autoSpaceDE w:val="0"/>
        <w:autoSpaceDN w:val="0"/>
        <w:adjustRightInd w:val="0"/>
        <w:spacing w:line="480" w:lineRule="auto"/>
        <w:jc w:val="both"/>
        <w:rPr>
          <w:rFonts w:ascii="Times New Roman" w:eastAsiaTheme="minorEastAsia" w:hAnsi="Times New Roman" w:cs="Times New Roman"/>
          <w:sz w:val="24"/>
          <w:szCs w:val="24"/>
        </w:rPr>
      </w:pPr>
    </w:p>
    <w:p w14:paraId="311BB4D7" w14:textId="77777777" w:rsidR="00406B68" w:rsidRDefault="001162EA">
      <w:pPr>
        <w:tabs>
          <w:tab w:val="left" w:pos="4770"/>
        </w:tabs>
        <w:autoSpaceDE w:val="0"/>
        <w:autoSpaceDN w:val="0"/>
        <w:adjustRightInd w:val="0"/>
        <w:spacing w:line="480" w:lineRule="auto"/>
        <w:jc w:val="both"/>
        <w:rPr>
          <w:rFonts w:ascii="Times New Roman" w:eastAsiaTheme="minorEastAsia" w:hAnsi="Times New Roman" w:cs="Times New Roman"/>
          <w:sz w:val="20"/>
          <w:szCs w:val="24"/>
        </w:rPr>
      </w:pPr>
      <w:r>
        <w:rPr>
          <w:rFonts w:ascii="Times New Roman" w:eastAsiaTheme="minorEastAsia" w:hAnsi="Times New Roman" w:cs="Times New Roman"/>
          <w:sz w:val="20"/>
          <w:szCs w:val="24"/>
        </w:rPr>
        <w:t>Values in the same column with different superscript are significantly different (P˂0.05).</w:t>
      </w:r>
    </w:p>
    <w:p w14:paraId="0EF5707A" w14:textId="77777777" w:rsidR="00406B68" w:rsidRDefault="001162EA">
      <w:pPr>
        <w:tabs>
          <w:tab w:val="left" w:pos="4770"/>
        </w:tabs>
        <w:autoSpaceDE w:val="0"/>
        <w:autoSpaceDN w:val="0"/>
        <w:adjustRightInd w:val="0"/>
        <w:spacing w:line="480" w:lineRule="auto"/>
        <w:jc w:val="both"/>
        <w:rPr>
          <w:rFonts w:ascii="Times New Roman" w:eastAsiaTheme="minorEastAsia" w:hAnsi="Times New Roman" w:cs="Times New Roman"/>
          <w:sz w:val="20"/>
          <w:szCs w:val="24"/>
        </w:rPr>
      </w:pPr>
      <w:r>
        <w:rPr>
          <w:rFonts w:ascii="Times New Roman" w:eastAsiaTheme="minorEastAsia" w:hAnsi="Times New Roman" w:cs="Times New Roman"/>
          <w:sz w:val="20"/>
          <w:szCs w:val="24"/>
        </w:rPr>
        <w:t>A=100%Biofortifiedmaize pap paste; B= 95% Bio-fortified maize, 5% Tamarind pap paste; C= 90% Bio-fortified maize, 10% Tamarind pap paste; D= 85% Bio-fortified maize, 15% Tamarind pap paste; E= 80% Bio-fortified maize, 20% Tamarind pap paste; F=75% Bio-fortified maize, 25%Tamarind pap paste; G=70% Bio-fortified maize, 30% Tamarind pap paste.</w:t>
      </w:r>
    </w:p>
    <w:p w14:paraId="78E8C006" w14:textId="77777777" w:rsidR="00406B68" w:rsidRDefault="001162EA">
      <w:pPr>
        <w:spacing w:line="480" w:lineRule="auto"/>
        <w:jc w:val="both"/>
        <w:rPr>
          <w:rFonts w:ascii="Times New Roman" w:hAnsi="Times New Roman" w:cs="Times New Roman"/>
          <w:sz w:val="24"/>
          <w:szCs w:val="24"/>
        </w:rPr>
      </w:pPr>
      <w:r>
        <w:rPr>
          <w:rFonts w:ascii="Times New Roman" w:hAnsi="Times New Roman" w:cs="Times New Roman"/>
          <w:b/>
          <w:i/>
          <w:sz w:val="24"/>
          <w:szCs w:val="24"/>
        </w:rPr>
        <w:t>Swelling power of the Samples</w:t>
      </w:r>
      <w:r>
        <w:rPr>
          <w:rFonts w:ascii="Times New Roman" w:hAnsi="Times New Roman" w:cs="Times New Roman"/>
          <w:sz w:val="24"/>
          <w:szCs w:val="24"/>
        </w:rPr>
        <w:t>:</w:t>
      </w:r>
      <w:r>
        <w:rPr>
          <w:rFonts w:ascii="Times New Roman" w:hAnsi="Times New Roman" w:cs="Times New Roman"/>
          <w:i/>
          <w:sz w:val="24"/>
          <w:szCs w:val="24"/>
        </w:rPr>
        <w:t xml:space="preserve"> </w:t>
      </w:r>
      <w:r>
        <w:rPr>
          <w:rFonts w:ascii="Times New Roman" w:hAnsi="Times New Roman" w:cs="Times New Roman"/>
          <w:sz w:val="24"/>
          <w:szCs w:val="24"/>
        </w:rPr>
        <w:t xml:space="preserve">Swelling is a function of the ratio of amylose and amylopectin. Swelling power was significant; the control and sample B were similar, but with highest value, while sample G, the least. This inferred that swelling power decreased with increasing quantities of tamarind pulp. </w:t>
      </w:r>
    </w:p>
    <w:p w14:paraId="141B9FDE" w14:textId="77777777" w:rsidR="00406B68" w:rsidRDefault="001162EA">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Table 8: Swelling power of Pap Paste Samples </w:t>
      </w:r>
    </w:p>
    <w:tbl>
      <w:tblPr>
        <w:tblStyle w:val="TableGrid"/>
        <w:tblW w:w="7012" w:type="dxa"/>
        <w:tblBorders>
          <w:left w:val="none" w:sz="0" w:space="0" w:color="auto"/>
          <w:right w:val="none" w:sz="0" w:space="0" w:color="auto"/>
          <w:insideV w:val="none" w:sz="0" w:space="0" w:color="auto"/>
        </w:tblBorders>
        <w:tblLook w:val="04A0" w:firstRow="1" w:lastRow="0" w:firstColumn="1" w:lastColumn="0" w:noHBand="0" w:noVBand="1"/>
      </w:tblPr>
      <w:tblGrid>
        <w:gridCol w:w="2337"/>
        <w:gridCol w:w="2337"/>
        <w:gridCol w:w="2338"/>
      </w:tblGrid>
      <w:tr w:rsidR="00406B68" w14:paraId="176F789C" w14:textId="77777777">
        <w:tc>
          <w:tcPr>
            <w:tcW w:w="2337" w:type="dxa"/>
          </w:tcPr>
          <w:p w14:paraId="02D0BA87"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Samples </w:t>
            </w:r>
          </w:p>
        </w:tc>
        <w:tc>
          <w:tcPr>
            <w:tcW w:w="2337" w:type="dxa"/>
          </w:tcPr>
          <w:p w14:paraId="1C908D55"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Swelling power (%)</w:t>
            </w:r>
          </w:p>
        </w:tc>
        <w:tc>
          <w:tcPr>
            <w:tcW w:w="2338" w:type="dxa"/>
          </w:tcPr>
          <w:p w14:paraId="708AC9E0"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Swelling power (g/ml)</w:t>
            </w:r>
          </w:p>
        </w:tc>
      </w:tr>
      <w:tr w:rsidR="00406B68" w14:paraId="4C7F9621" w14:textId="77777777">
        <w:tc>
          <w:tcPr>
            <w:tcW w:w="2337" w:type="dxa"/>
            <w:tcBorders>
              <w:bottom w:val="nil"/>
            </w:tcBorders>
          </w:tcPr>
          <w:p w14:paraId="2A72B13F"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w:t>
            </w:r>
          </w:p>
        </w:tc>
        <w:tc>
          <w:tcPr>
            <w:tcW w:w="2337" w:type="dxa"/>
            <w:tcBorders>
              <w:bottom w:val="nil"/>
            </w:tcBorders>
          </w:tcPr>
          <w:p w14:paraId="0D0676B0"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3.07±0.00</w:t>
            </w:r>
            <w:r>
              <w:rPr>
                <w:rFonts w:ascii="Times New Roman" w:hAnsi="Times New Roman" w:cs="Times New Roman"/>
                <w:sz w:val="24"/>
                <w:szCs w:val="24"/>
                <w:vertAlign w:val="superscript"/>
              </w:rPr>
              <w:t>a</w:t>
            </w:r>
          </w:p>
        </w:tc>
        <w:tc>
          <w:tcPr>
            <w:tcW w:w="2338" w:type="dxa"/>
            <w:tcBorders>
              <w:bottom w:val="nil"/>
            </w:tcBorders>
          </w:tcPr>
          <w:p w14:paraId="4C03E546"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307.39±0.03</w:t>
            </w:r>
            <w:r>
              <w:rPr>
                <w:rFonts w:ascii="Times New Roman" w:hAnsi="Times New Roman" w:cs="Times New Roman"/>
                <w:sz w:val="24"/>
                <w:szCs w:val="24"/>
                <w:vertAlign w:val="superscript"/>
              </w:rPr>
              <w:t>a</w:t>
            </w:r>
          </w:p>
        </w:tc>
      </w:tr>
      <w:tr w:rsidR="00406B68" w14:paraId="51A1F54B" w14:textId="77777777">
        <w:tc>
          <w:tcPr>
            <w:tcW w:w="2337" w:type="dxa"/>
            <w:tcBorders>
              <w:top w:val="nil"/>
              <w:bottom w:val="nil"/>
            </w:tcBorders>
          </w:tcPr>
          <w:p w14:paraId="55AF58D0"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B</w:t>
            </w:r>
          </w:p>
        </w:tc>
        <w:tc>
          <w:tcPr>
            <w:tcW w:w="2337" w:type="dxa"/>
            <w:tcBorders>
              <w:top w:val="nil"/>
              <w:bottom w:val="nil"/>
            </w:tcBorders>
          </w:tcPr>
          <w:p w14:paraId="42EF01D3"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3.01±0.01</w:t>
            </w:r>
            <w:r>
              <w:rPr>
                <w:rFonts w:ascii="Times New Roman" w:hAnsi="Times New Roman" w:cs="Times New Roman"/>
                <w:sz w:val="24"/>
                <w:szCs w:val="24"/>
                <w:vertAlign w:val="superscript"/>
              </w:rPr>
              <w:t>a</w:t>
            </w:r>
          </w:p>
        </w:tc>
        <w:tc>
          <w:tcPr>
            <w:tcW w:w="2338" w:type="dxa"/>
            <w:tcBorders>
              <w:top w:val="nil"/>
              <w:bottom w:val="nil"/>
            </w:tcBorders>
          </w:tcPr>
          <w:p w14:paraId="6625C275"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301.40±0.09</w:t>
            </w:r>
            <w:r>
              <w:rPr>
                <w:rFonts w:ascii="Times New Roman" w:hAnsi="Times New Roman" w:cs="Times New Roman"/>
                <w:sz w:val="24"/>
                <w:szCs w:val="24"/>
                <w:vertAlign w:val="superscript"/>
              </w:rPr>
              <w:t>a</w:t>
            </w:r>
          </w:p>
        </w:tc>
      </w:tr>
      <w:tr w:rsidR="00406B68" w14:paraId="7B58C07D" w14:textId="77777777">
        <w:tc>
          <w:tcPr>
            <w:tcW w:w="2337" w:type="dxa"/>
            <w:tcBorders>
              <w:top w:val="nil"/>
              <w:bottom w:val="nil"/>
            </w:tcBorders>
          </w:tcPr>
          <w:p w14:paraId="4D4C2293"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w:t>
            </w:r>
          </w:p>
        </w:tc>
        <w:tc>
          <w:tcPr>
            <w:tcW w:w="2337" w:type="dxa"/>
            <w:tcBorders>
              <w:top w:val="nil"/>
              <w:bottom w:val="nil"/>
            </w:tcBorders>
          </w:tcPr>
          <w:p w14:paraId="7CD7438E"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2.75±0.00</w:t>
            </w:r>
            <w:r>
              <w:rPr>
                <w:rFonts w:ascii="Times New Roman" w:hAnsi="Times New Roman" w:cs="Times New Roman"/>
                <w:sz w:val="24"/>
                <w:szCs w:val="24"/>
                <w:vertAlign w:val="superscript"/>
              </w:rPr>
              <w:t>b</w:t>
            </w:r>
          </w:p>
        </w:tc>
        <w:tc>
          <w:tcPr>
            <w:tcW w:w="2338" w:type="dxa"/>
            <w:tcBorders>
              <w:top w:val="nil"/>
              <w:bottom w:val="nil"/>
            </w:tcBorders>
          </w:tcPr>
          <w:p w14:paraId="69479CD7"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275.17±0.03</w:t>
            </w:r>
            <w:r>
              <w:rPr>
                <w:rFonts w:ascii="Times New Roman" w:hAnsi="Times New Roman" w:cs="Times New Roman"/>
                <w:sz w:val="24"/>
                <w:szCs w:val="24"/>
                <w:vertAlign w:val="superscript"/>
              </w:rPr>
              <w:t>b</w:t>
            </w:r>
          </w:p>
        </w:tc>
      </w:tr>
      <w:tr w:rsidR="00406B68" w14:paraId="50D059D0" w14:textId="77777777">
        <w:tc>
          <w:tcPr>
            <w:tcW w:w="2337" w:type="dxa"/>
            <w:tcBorders>
              <w:top w:val="nil"/>
              <w:bottom w:val="nil"/>
            </w:tcBorders>
          </w:tcPr>
          <w:p w14:paraId="16DD7A31"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w:t>
            </w:r>
          </w:p>
        </w:tc>
        <w:tc>
          <w:tcPr>
            <w:tcW w:w="2337" w:type="dxa"/>
            <w:tcBorders>
              <w:top w:val="nil"/>
              <w:bottom w:val="nil"/>
            </w:tcBorders>
          </w:tcPr>
          <w:p w14:paraId="49A56A2A"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2.68±0.00</w:t>
            </w:r>
            <w:r>
              <w:rPr>
                <w:rFonts w:ascii="Times New Roman" w:hAnsi="Times New Roman" w:cs="Times New Roman"/>
                <w:sz w:val="24"/>
                <w:szCs w:val="24"/>
                <w:vertAlign w:val="superscript"/>
              </w:rPr>
              <w:t>b</w:t>
            </w:r>
          </w:p>
        </w:tc>
        <w:tc>
          <w:tcPr>
            <w:tcW w:w="2338" w:type="dxa"/>
            <w:tcBorders>
              <w:top w:val="nil"/>
              <w:bottom w:val="nil"/>
            </w:tcBorders>
          </w:tcPr>
          <w:p w14:paraId="69E6A838"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267.84±0.01</w:t>
            </w:r>
            <w:r>
              <w:rPr>
                <w:rFonts w:ascii="Times New Roman" w:hAnsi="Times New Roman" w:cs="Times New Roman"/>
                <w:sz w:val="24"/>
                <w:szCs w:val="24"/>
                <w:vertAlign w:val="superscript"/>
              </w:rPr>
              <w:t>b</w:t>
            </w:r>
          </w:p>
        </w:tc>
      </w:tr>
      <w:tr w:rsidR="00406B68" w14:paraId="7496EEBE" w14:textId="77777777">
        <w:tc>
          <w:tcPr>
            <w:tcW w:w="2337" w:type="dxa"/>
            <w:tcBorders>
              <w:top w:val="nil"/>
              <w:bottom w:val="nil"/>
            </w:tcBorders>
          </w:tcPr>
          <w:p w14:paraId="641268DC"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E</w:t>
            </w:r>
          </w:p>
        </w:tc>
        <w:tc>
          <w:tcPr>
            <w:tcW w:w="2337" w:type="dxa"/>
            <w:tcBorders>
              <w:top w:val="nil"/>
              <w:bottom w:val="nil"/>
            </w:tcBorders>
          </w:tcPr>
          <w:p w14:paraId="314DBA22"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2.65±0.00</w:t>
            </w:r>
            <w:r>
              <w:rPr>
                <w:rFonts w:ascii="Times New Roman" w:hAnsi="Times New Roman" w:cs="Times New Roman"/>
                <w:sz w:val="24"/>
                <w:szCs w:val="24"/>
                <w:vertAlign w:val="superscript"/>
              </w:rPr>
              <w:t>c</w:t>
            </w:r>
          </w:p>
        </w:tc>
        <w:tc>
          <w:tcPr>
            <w:tcW w:w="2338" w:type="dxa"/>
            <w:tcBorders>
              <w:top w:val="nil"/>
              <w:bottom w:val="nil"/>
            </w:tcBorders>
          </w:tcPr>
          <w:p w14:paraId="0DEA67A5"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265.05±0.03</w:t>
            </w:r>
            <w:r>
              <w:rPr>
                <w:rFonts w:ascii="Times New Roman" w:hAnsi="Times New Roman" w:cs="Times New Roman"/>
                <w:sz w:val="24"/>
                <w:szCs w:val="24"/>
                <w:vertAlign w:val="superscript"/>
              </w:rPr>
              <w:t>c</w:t>
            </w:r>
          </w:p>
        </w:tc>
      </w:tr>
      <w:tr w:rsidR="00406B68" w14:paraId="02A8BF05" w14:textId="77777777">
        <w:tc>
          <w:tcPr>
            <w:tcW w:w="2337" w:type="dxa"/>
            <w:tcBorders>
              <w:top w:val="nil"/>
              <w:bottom w:val="nil"/>
            </w:tcBorders>
          </w:tcPr>
          <w:p w14:paraId="5D51EC01"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w:t>
            </w:r>
          </w:p>
        </w:tc>
        <w:tc>
          <w:tcPr>
            <w:tcW w:w="2337" w:type="dxa"/>
            <w:tcBorders>
              <w:top w:val="nil"/>
              <w:bottom w:val="nil"/>
            </w:tcBorders>
          </w:tcPr>
          <w:p w14:paraId="2AD7BB4E"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2.42±0.00</w:t>
            </w:r>
            <w:r>
              <w:rPr>
                <w:rFonts w:ascii="Times New Roman" w:hAnsi="Times New Roman" w:cs="Times New Roman"/>
                <w:sz w:val="24"/>
                <w:szCs w:val="24"/>
                <w:vertAlign w:val="superscript"/>
              </w:rPr>
              <w:t>d</w:t>
            </w:r>
          </w:p>
        </w:tc>
        <w:tc>
          <w:tcPr>
            <w:tcW w:w="2338" w:type="dxa"/>
            <w:tcBorders>
              <w:top w:val="nil"/>
              <w:bottom w:val="nil"/>
            </w:tcBorders>
          </w:tcPr>
          <w:p w14:paraId="31396A1E"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241.50±0.01</w:t>
            </w:r>
            <w:r>
              <w:rPr>
                <w:rFonts w:ascii="Times New Roman" w:hAnsi="Times New Roman" w:cs="Times New Roman"/>
                <w:sz w:val="24"/>
                <w:szCs w:val="24"/>
                <w:vertAlign w:val="superscript"/>
              </w:rPr>
              <w:t>d</w:t>
            </w:r>
          </w:p>
        </w:tc>
      </w:tr>
      <w:tr w:rsidR="00406B68" w14:paraId="194C1FC5" w14:textId="77777777">
        <w:tc>
          <w:tcPr>
            <w:tcW w:w="2337" w:type="dxa"/>
            <w:tcBorders>
              <w:top w:val="nil"/>
            </w:tcBorders>
          </w:tcPr>
          <w:p w14:paraId="1EB4C62F"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G</w:t>
            </w:r>
          </w:p>
        </w:tc>
        <w:tc>
          <w:tcPr>
            <w:tcW w:w="2337" w:type="dxa"/>
            <w:tcBorders>
              <w:top w:val="nil"/>
            </w:tcBorders>
          </w:tcPr>
          <w:p w14:paraId="1823C8BA"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2.17±0.00</w:t>
            </w:r>
            <w:r>
              <w:rPr>
                <w:rFonts w:ascii="Times New Roman" w:hAnsi="Times New Roman" w:cs="Times New Roman"/>
                <w:sz w:val="24"/>
                <w:szCs w:val="24"/>
                <w:vertAlign w:val="superscript"/>
              </w:rPr>
              <w:t>e</w:t>
            </w:r>
          </w:p>
        </w:tc>
        <w:tc>
          <w:tcPr>
            <w:tcW w:w="2338" w:type="dxa"/>
            <w:tcBorders>
              <w:top w:val="nil"/>
            </w:tcBorders>
          </w:tcPr>
          <w:p w14:paraId="2FD85546"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217.38±0.02</w:t>
            </w:r>
            <w:r>
              <w:rPr>
                <w:rFonts w:ascii="Times New Roman" w:hAnsi="Times New Roman" w:cs="Times New Roman"/>
                <w:sz w:val="24"/>
                <w:szCs w:val="24"/>
                <w:vertAlign w:val="superscript"/>
              </w:rPr>
              <w:t>e</w:t>
            </w:r>
          </w:p>
        </w:tc>
      </w:tr>
    </w:tbl>
    <w:p w14:paraId="186B8B08" w14:textId="77777777" w:rsidR="00406B68" w:rsidRDefault="001162EA">
      <w:pPr>
        <w:tabs>
          <w:tab w:val="left" w:pos="4770"/>
        </w:tabs>
        <w:autoSpaceDE w:val="0"/>
        <w:autoSpaceDN w:val="0"/>
        <w:adjustRightInd w:val="0"/>
        <w:spacing w:line="480" w:lineRule="auto"/>
        <w:jc w:val="both"/>
        <w:rPr>
          <w:rFonts w:ascii="Times New Roman" w:eastAsiaTheme="minorEastAsia" w:hAnsi="Times New Roman" w:cs="Times New Roman"/>
          <w:sz w:val="20"/>
          <w:szCs w:val="24"/>
        </w:rPr>
      </w:pPr>
      <w:r>
        <w:rPr>
          <w:rFonts w:ascii="Times New Roman" w:eastAsiaTheme="minorEastAsia" w:hAnsi="Times New Roman" w:cs="Times New Roman"/>
          <w:sz w:val="20"/>
          <w:szCs w:val="24"/>
        </w:rPr>
        <w:t>Values in the same column with different superscript are significantly different (P˂0.05).</w:t>
      </w:r>
    </w:p>
    <w:p w14:paraId="70C169CD" w14:textId="77777777" w:rsidR="00406B68" w:rsidRDefault="001162EA">
      <w:pPr>
        <w:tabs>
          <w:tab w:val="left" w:pos="4770"/>
        </w:tabs>
        <w:autoSpaceDE w:val="0"/>
        <w:autoSpaceDN w:val="0"/>
        <w:adjustRightInd w:val="0"/>
        <w:spacing w:line="480" w:lineRule="auto"/>
        <w:jc w:val="both"/>
        <w:rPr>
          <w:rFonts w:ascii="Times New Roman" w:eastAsiaTheme="minorEastAsia" w:hAnsi="Times New Roman" w:cs="Times New Roman"/>
          <w:sz w:val="20"/>
          <w:szCs w:val="24"/>
        </w:rPr>
      </w:pPr>
      <w:r>
        <w:rPr>
          <w:rFonts w:ascii="Times New Roman" w:eastAsiaTheme="minorEastAsia" w:hAnsi="Times New Roman" w:cs="Times New Roman"/>
          <w:sz w:val="20"/>
          <w:szCs w:val="24"/>
        </w:rPr>
        <w:t xml:space="preserve">A= 100%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pap paste; B= 95%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5% Tamarind pap paste; C= 90%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10% Tamarind pap paste; D= 85%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15% Tamarind pap paste; E= 80%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20% Tamarind pap paste; F=75%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25%Tamarind pap paste; G=70%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30% Tamarind pap paste.</w:t>
      </w:r>
    </w:p>
    <w:p w14:paraId="4704CAA5" w14:textId="20C208EC" w:rsidR="00406B68" w:rsidRDefault="001162EA">
      <w:pPr>
        <w:spacing w:line="480" w:lineRule="auto"/>
        <w:jc w:val="both"/>
        <w:rPr>
          <w:rFonts w:ascii="Times New Roman" w:hAnsi="Times New Roman" w:cs="Times New Roman"/>
          <w:sz w:val="24"/>
          <w:szCs w:val="24"/>
        </w:rPr>
      </w:pPr>
      <w:r>
        <w:rPr>
          <w:rFonts w:ascii="Times New Roman" w:hAnsi="Times New Roman" w:cs="Times New Roman"/>
          <w:b/>
          <w:i/>
          <w:sz w:val="24"/>
          <w:szCs w:val="24"/>
        </w:rPr>
        <w:t>Sensory Attributes of the Samples</w:t>
      </w:r>
      <w:r>
        <w:rPr>
          <w:rFonts w:ascii="Times New Roman" w:hAnsi="Times New Roman" w:cs="Times New Roman"/>
          <w:i/>
          <w:sz w:val="24"/>
          <w:szCs w:val="24"/>
        </w:rPr>
        <w:t xml:space="preserve">: </w:t>
      </w:r>
      <w:r>
        <w:rPr>
          <w:rFonts w:ascii="Times New Roman" w:hAnsi="Times New Roman" w:cs="Times New Roman"/>
          <w:sz w:val="24"/>
          <w:szCs w:val="24"/>
        </w:rPr>
        <w:t xml:space="preserve">Sensory scores are shown in Table 9, and were significant. Although all samples were accepted, sample G was however, most preferred. For appearance, sample G was better preferred, perhaps due to combined </w:t>
      </w:r>
      <w:proofErr w:type="spellStart"/>
      <w:r>
        <w:rPr>
          <w:rFonts w:ascii="Times New Roman" w:hAnsi="Times New Roman" w:cs="Times New Roman"/>
          <w:sz w:val="24"/>
          <w:szCs w:val="24"/>
        </w:rPr>
        <w:t>colour</w:t>
      </w:r>
      <w:proofErr w:type="spellEnd"/>
      <w:r>
        <w:rPr>
          <w:rFonts w:ascii="Times New Roman" w:hAnsi="Times New Roman" w:cs="Times New Roman"/>
          <w:sz w:val="24"/>
          <w:szCs w:val="24"/>
        </w:rPr>
        <w:t xml:space="preserve"> of reddish brown (tamarind) and yellow (maize) giving a slightly deep yet bright appearance. The taste was due to the </w:t>
      </w:r>
      <w:proofErr w:type="spellStart"/>
      <w:r>
        <w:rPr>
          <w:rFonts w:ascii="Times New Roman" w:hAnsi="Times New Roman" w:cs="Times New Roman"/>
          <w:sz w:val="24"/>
          <w:szCs w:val="24"/>
        </w:rPr>
        <w:t>titratable</w:t>
      </w:r>
      <w:proofErr w:type="spellEnd"/>
      <w:r>
        <w:rPr>
          <w:rFonts w:ascii="Times New Roman" w:hAnsi="Times New Roman" w:cs="Times New Roman"/>
          <w:sz w:val="24"/>
          <w:szCs w:val="24"/>
        </w:rPr>
        <w:t xml:space="preserve"> acidity</w:t>
      </w:r>
      <w:r w:rsidR="0047635F">
        <w:rPr>
          <w:rFonts w:ascii="Times New Roman" w:hAnsi="Times New Roman" w:cs="Times New Roman"/>
          <w:sz w:val="24"/>
          <w:szCs w:val="24"/>
        </w:rPr>
        <w:t xml:space="preserve"> 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&lt;EndNote&gt;&lt;Cite&gt;&lt;Author&gt;Banigo&lt;/Author&gt;&lt;Year&gt;1972&lt;/Year&gt;&lt;RecNum&gt;108&lt;/RecNum&gt;&lt;DisplayText&gt;(Banigo and Muller, 1972)&lt;/DisplayText&gt;&lt;record&gt;&lt;rec-number&gt;108&lt;/rec-number&gt;&lt;foreign-keys&gt;&lt;key app="EN" db-id="tz9rpzspgx2teie0pzs5w5a7v2exvttzvvdr"&gt;108&lt;/key&gt;&lt;/foreign-keys&gt;&lt;ref-type name="Journal Article"&gt;17&lt;/ref-type&gt;&lt;contributors&gt;&lt;authors&gt;&lt;author&gt;Banigo, EOI&lt;/author&gt;&lt;author&gt;Muller, HG&lt;/author&gt;&lt;/authors&gt;&lt;/contributors&gt;&lt;titles&gt;&lt;title&gt;Carboxylic acid patterns in ogi fermentation&lt;/title&gt;&lt;secondary-title&gt;Journal of the Science of Food and Agriculture&lt;/secondary-title&gt;&lt;/titles&gt;&lt;periodical&gt;&lt;full-title&gt;Journal of the Science of Food and Agriculture&lt;/full-title&gt;&lt;/periodical&gt;&lt;pages&gt;101-111&lt;/pages&gt;&lt;volume&gt;23&lt;/volume&gt;&lt;number&gt;1&lt;/number&gt;&lt;dates&gt;&lt;year&gt;1972&lt;/year&gt;&lt;/dates&gt;&lt;isbn&gt;0022-5142&lt;/isbn&gt;&lt;urls&gt;&lt;/urls&gt;&lt;/record&gt;&lt;/Cite&gt;&lt;/EndNote&gt;</w:instrText>
      </w:r>
      <w:r>
        <w:rPr>
          <w:rFonts w:ascii="Times New Roman" w:hAnsi="Times New Roman" w:cs="Times New Roman"/>
          <w:sz w:val="24"/>
          <w:szCs w:val="24"/>
        </w:rPr>
        <w:fldChar w:fldCharType="separate"/>
      </w:r>
      <w:hyperlink w:anchor="_ENREF_42" w:tooltip="Odugbemi, 1991 #105" w:history="1">
        <w:r w:rsidR="0047635F">
          <w:rPr>
            <w:rFonts w:ascii="Times New Roman" w:hAnsi="Times New Roman" w:cs="Times New Roman"/>
            <w:sz w:val="24"/>
            <w:szCs w:val="24"/>
          </w:rPr>
          <w:fldChar w:fldCharType="begin"/>
        </w:r>
        <w:r w:rsidR="0047635F">
          <w:rPr>
            <w:rFonts w:ascii="Times New Roman" w:hAnsi="Times New Roman" w:cs="Times New Roman"/>
            <w:sz w:val="24"/>
            <w:szCs w:val="24"/>
          </w:rPr>
          <w:instrText xml:space="preserve"> ADDIN EN.CITE &lt;EndNote&gt;&lt;Cite AuthorYear="1"&gt;&lt;Author&gt;Odugbemi&lt;/Author&gt;&lt;Year&gt;1991&lt;/Year&gt;&lt;RecNum&gt;105&lt;/RecNum&gt;&lt;DisplayText&gt;Odugbemi&lt;style face="italic"&gt; et al.&lt;/style&gt; (1991)&lt;/DisplayText&gt;&lt;record&gt;&lt;rec-number&gt;105&lt;/rec-number&gt;&lt;foreign-keys&gt;&lt;key app="EN" db-id="tz9rpzspgx2teie0pzs5w5a7v2exvttzvvdr"&gt;105&lt;/key&gt;&lt;/foreign-keys&gt;&lt;ref-type name="Journal Article"&gt;17&lt;/ref-type&gt;&lt;contributors&gt;&lt;authors&gt;&lt;author&gt;Odugbemi, T&lt;/author&gt;&lt;author&gt;Odujinrin, OM&lt;/author&gt;&lt;author&gt;Akitoye, CO&lt;/author&gt;&lt;author&gt;Oyerinde, JP&lt;/author&gt;&lt;author&gt;Esumeh, FI&lt;/author&gt;&lt;/authors&gt;&lt;/contributors&gt;&lt;titles&gt;&lt;title&gt;Study on the pH of ogi, Nigerian fermented weaning food, and its effect on enteropathogenic Escherichia coli, Salmonella typhi and Salmonella paratyphi&lt;/title&gt;&lt;secondary-title&gt;The Journal of tropical medicine and hygiene&lt;/secondary-title&gt;&lt;/titles&gt;&lt;periodical&gt;&lt;full-title&gt;The Journal of tropical medicine and hygiene&lt;/full-title&gt;&lt;/periodical&gt;&lt;pages&gt;219-223&lt;/pages&gt;&lt;volume&gt;94&lt;/volume&gt;&lt;number&gt;4&lt;/number&gt;&lt;dates&gt;&lt;year&gt;1991&lt;/year&gt;&lt;/dates&gt;&lt;isbn&gt;0022-5304&lt;/isbn&gt;&lt;urls&gt;&lt;/urls&gt;&lt;/record&gt;&lt;/Cite&gt;&lt;/EndNote&gt;</w:instrText>
        </w:r>
        <w:r w:rsidR="0047635F">
          <w:rPr>
            <w:rFonts w:ascii="Times New Roman" w:hAnsi="Times New Roman" w:cs="Times New Roman"/>
            <w:sz w:val="24"/>
            <w:szCs w:val="24"/>
          </w:rPr>
          <w:fldChar w:fldCharType="separate"/>
        </w:r>
        <w:r w:rsidR="0047635F">
          <w:rPr>
            <w:rFonts w:ascii="Times New Roman" w:hAnsi="Times New Roman" w:cs="Times New Roman"/>
            <w:sz w:val="24"/>
            <w:szCs w:val="24"/>
          </w:rPr>
          <w:t>Odugbemi</w:t>
        </w:r>
        <w:r w:rsidR="0047635F">
          <w:rPr>
            <w:rFonts w:ascii="Times New Roman" w:hAnsi="Times New Roman" w:cs="Times New Roman"/>
            <w:i/>
            <w:sz w:val="24"/>
            <w:szCs w:val="24"/>
          </w:rPr>
          <w:t xml:space="preserve"> et al.,</w:t>
        </w:r>
        <w:r w:rsidR="0047635F">
          <w:rPr>
            <w:rFonts w:ascii="Times New Roman" w:hAnsi="Times New Roman" w:cs="Times New Roman"/>
            <w:sz w:val="24"/>
            <w:szCs w:val="24"/>
          </w:rPr>
          <w:t xml:space="preserve"> (1991)</w:t>
        </w:r>
        <w:r w:rsidR="0047635F">
          <w:rPr>
            <w:rFonts w:ascii="Times New Roman" w:hAnsi="Times New Roman" w:cs="Times New Roman"/>
            <w:sz w:val="24"/>
            <w:szCs w:val="24"/>
          </w:rPr>
          <w:fldChar w:fldCharType="end"/>
        </w:r>
      </w:hyperlink>
      <w:r>
        <w:rPr>
          <w:rFonts w:ascii="Times New Roman" w:hAnsi="Times New Roman" w:cs="Times New Roman"/>
          <w:sz w:val="24"/>
          <w:szCs w:val="24"/>
        </w:rPr>
        <w:fldChar w:fldCharType="end"/>
      </w:r>
      <w:r>
        <w:rPr>
          <w:rFonts w:ascii="Times New Roman" w:hAnsi="Times New Roman" w:cs="Times New Roman"/>
          <w:sz w:val="24"/>
          <w:szCs w:val="24"/>
        </w:rPr>
        <w:t xml:space="preserve"> and added tamarind. Sample G and F were most preferred, likely due to high tamarind content. </w:t>
      </w:r>
    </w:p>
    <w:p w14:paraId="0B88225A" w14:textId="77777777" w:rsidR="00406B68" w:rsidRDefault="001162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Sample G was most preferred for aroma, due likely </w:t>
      </w:r>
      <w:proofErr w:type="spellStart"/>
      <w:r>
        <w:rPr>
          <w:rFonts w:ascii="Times New Roman" w:hAnsi="Times New Roman" w:cs="Times New Roman"/>
          <w:sz w:val="24"/>
          <w:szCs w:val="24"/>
        </w:rPr>
        <w:t>flavour</w:t>
      </w:r>
      <w:proofErr w:type="spellEnd"/>
      <w:r>
        <w:rPr>
          <w:rFonts w:ascii="Times New Roman" w:hAnsi="Times New Roman" w:cs="Times New Roman"/>
          <w:sz w:val="24"/>
          <w:szCs w:val="24"/>
        </w:rPr>
        <w:t xml:space="preserve"> release by lactic acid bacteria during fermentation with tamarind presence. The </w:t>
      </w:r>
      <w:proofErr w:type="spellStart"/>
      <w:r>
        <w:rPr>
          <w:rFonts w:ascii="Times New Roman" w:hAnsi="Times New Roman" w:cs="Times New Roman"/>
          <w:sz w:val="24"/>
          <w:szCs w:val="24"/>
        </w:rPr>
        <w:t>flavour</w:t>
      </w:r>
      <w:proofErr w:type="spellEnd"/>
      <w:r>
        <w:rPr>
          <w:rFonts w:ascii="Times New Roman" w:hAnsi="Times New Roman" w:cs="Times New Roman"/>
          <w:sz w:val="24"/>
          <w:szCs w:val="24"/>
        </w:rPr>
        <w:t xml:space="preserve"> and viscosity were significant. The viscosity increased with added tamarind, confirming the report of </w:t>
      </w:r>
      <w:proofErr w:type="spellStart"/>
      <w:r>
        <w:rPr>
          <w:rFonts w:ascii="Times New Roman" w:hAnsi="Times New Roman" w:cs="Times New Roman"/>
          <w:sz w:val="24"/>
          <w:szCs w:val="24"/>
        </w:rPr>
        <w:t>Ukom</w:t>
      </w:r>
      <w:proofErr w:type="spellEnd"/>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xml:space="preserve">., 2019 that viscosity increased with decreasing maize content. The general acceptability of the samples was influenced by individual preferences in appearance, taste, </w:t>
      </w:r>
      <w:proofErr w:type="spellStart"/>
      <w:r>
        <w:rPr>
          <w:rFonts w:ascii="Times New Roman" w:hAnsi="Times New Roman" w:cs="Times New Roman"/>
          <w:sz w:val="24"/>
          <w:szCs w:val="24"/>
        </w:rPr>
        <w:t>flavour</w:t>
      </w:r>
      <w:proofErr w:type="spellEnd"/>
      <w:r>
        <w:rPr>
          <w:rFonts w:ascii="Times New Roman" w:hAnsi="Times New Roman" w:cs="Times New Roman"/>
          <w:sz w:val="24"/>
          <w:szCs w:val="24"/>
        </w:rPr>
        <w:t>, and viscosity. The panelists generally preferred sample G. Tamarind addition influenced the appearance, taste and general acceptability of the pap.</w:t>
      </w:r>
    </w:p>
    <w:p w14:paraId="009A8E5F" w14:textId="77777777" w:rsidR="00406B68" w:rsidRDefault="001162EA">
      <w:pPr>
        <w:spacing w:line="480" w:lineRule="auto"/>
        <w:jc w:val="both"/>
        <w:rPr>
          <w:rFonts w:ascii="Times New Roman" w:hAnsi="Times New Roman" w:cs="Times New Roman"/>
          <w:sz w:val="24"/>
          <w:szCs w:val="24"/>
        </w:rPr>
      </w:pPr>
      <w:r>
        <w:rPr>
          <w:rFonts w:ascii="Times New Roman" w:hAnsi="Times New Roman" w:cs="Times New Roman"/>
          <w:b/>
          <w:sz w:val="24"/>
          <w:szCs w:val="24"/>
        </w:rPr>
        <w:t>Table 9: Mean Sensory Scores of Pap Paste Samples.</w:t>
      </w:r>
      <w:r>
        <w:rPr>
          <w:rFonts w:ascii="Times New Roman" w:hAnsi="Times New Roman" w:cs="Times New Roman"/>
          <w:sz w:val="24"/>
          <w:szCs w:val="24"/>
        </w:rPr>
        <w:t xml:space="preserve"> </w:t>
      </w:r>
    </w:p>
    <w:tbl>
      <w:tblPr>
        <w:tblStyle w:val="TableGrid"/>
        <w:tblW w:w="9349" w:type="dxa"/>
        <w:tblLook w:val="04A0" w:firstRow="1" w:lastRow="0" w:firstColumn="1" w:lastColumn="0" w:noHBand="0" w:noVBand="1"/>
      </w:tblPr>
      <w:tblGrid>
        <w:gridCol w:w="1558"/>
        <w:gridCol w:w="1558"/>
        <w:gridCol w:w="1558"/>
        <w:gridCol w:w="1558"/>
        <w:gridCol w:w="1558"/>
        <w:gridCol w:w="1559"/>
      </w:tblGrid>
      <w:tr w:rsidR="00406B68" w14:paraId="1E1BF25F" w14:textId="77777777">
        <w:tc>
          <w:tcPr>
            <w:tcW w:w="1558" w:type="dxa"/>
            <w:tcBorders>
              <w:left w:val="nil"/>
              <w:bottom w:val="single" w:sz="4" w:space="0" w:color="auto"/>
              <w:right w:val="nil"/>
            </w:tcBorders>
          </w:tcPr>
          <w:p w14:paraId="4454846A"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Samples</w:t>
            </w:r>
          </w:p>
        </w:tc>
        <w:tc>
          <w:tcPr>
            <w:tcW w:w="1558" w:type="dxa"/>
            <w:tcBorders>
              <w:left w:val="nil"/>
              <w:bottom w:val="single" w:sz="4" w:space="0" w:color="auto"/>
              <w:right w:val="nil"/>
            </w:tcBorders>
          </w:tcPr>
          <w:p w14:paraId="7968AF4C"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Appearance</w:t>
            </w:r>
          </w:p>
        </w:tc>
        <w:tc>
          <w:tcPr>
            <w:tcW w:w="1558" w:type="dxa"/>
            <w:tcBorders>
              <w:left w:val="nil"/>
              <w:bottom w:val="single" w:sz="4" w:space="0" w:color="auto"/>
              <w:right w:val="nil"/>
            </w:tcBorders>
          </w:tcPr>
          <w:p w14:paraId="4019E547"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Taste</w:t>
            </w:r>
          </w:p>
        </w:tc>
        <w:tc>
          <w:tcPr>
            <w:tcW w:w="1558" w:type="dxa"/>
            <w:tcBorders>
              <w:left w:val="nil"/>
              <w:bottom w:val="single" w:sz="4" w:space="0" w:color="auto"/>
              <w:right w:val="nil"/>
            </w:tcBorders>
          </w:tcPr>
          <w:p w14:paraId="3C7DB992" w14:textId="77777777" w:rsidR="00406B68" w:rsidRDefault="001162EA">
            <w:pPr>
              <w:spacing w:after="0"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Flavour</w:t>
            </w:r>
            <w:proofErr w:type="spellEnd"/>
          </w:p>
        </w:tc>
        <w:tc>
          <w:tcPr>
            <w:tcW w:w="1558" w:type="dxa"/>
            <w:tcBorders>
              <w:left w:val="nil"/>
              <w:bottom w:val="single" w:sz="4" w:space="0" w:color="auto"/>
              <w:right w:val="nil"/>
            </w:tcBorders>
          </w:tcPr>
          <w:p w14:paraId="3E44FBA4"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Viscosity</w:t>
            </w:r>
          </w:p>
        </w:tc>
        <w:tc>
          <w:tcPr>
            <w:tcW w:w="1559" w:type="dxa"/>
            <w:tcBorders>
              <w:left w:val="nil"/>
              <w:bottom w:val="single" w:sz="4" w:space="0" w:color="auto"/>
              <w:right w:val="nil"/>
            </w:tcBorders>
          </w:tcPr>
          <w:p w14:paraId="7776A81A"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General acceptability</w:t>
            </w:r>
          </w:p>
        </w:tc>
      </w:tr>
      <w:tr w:rsidR="00406B68" w14:paraId="4895F47D" w14:textId="77777777">
        <w:tc>
          <w:tcPr>
            <w:tcW w:w="1558" w:type="dxa"/>
            <w:tcBorders>
              <w:top w:val="single" w:sz="4" w:space="0" w:color="auto"/>
              <w:left w:val="nil"/>
              <w:bottom w:val="nil"/>
              <w:right w:val="nil"/>
            </w:tcBorders>
          </w:tcPr>
          <w:p w14:paraId="312DE2FB"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w:t>
            </w:r>
          </w:p>
        </w:tc>
        <w:tc>
          <w:tcPr>
            <w:tcW w:w="1558" w:type="dxa"/>
            <w:tcBorders>
              <w:top w:val="single" w:sz="4" w:space="0" w:color="auto"/>
              <w:left w:val="nil"/>
              <w:bottom w:val="nil"/>
              <w:right w:val="nil"/>
            </w:tcBorders>
          </w:tcPr>
          <w:p w14:paraId="48698110"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5.75±1.21</w:t>
            </w:r>
            <w:r>
              <w:rPr>
                <w:rFonts w:ascii="Times New Roman" w:hAnsi="Times New Roman" w:cs="Times New Roman"/>
                <w:sz w:val="24"/>
                <w:szCs w:val="24"/>
                <w:vertAlign w:val="superscript"/>
              </w:rPr>
              <w:t>d</w:t>
            </w:r>
          </w:p>
        </w:tc>
        <w:tc>
          <w:tcPr>
            <w:tcW w:w="1558" w:type="dxa"/>
            <w:tcBorders>
              <w:top w:val="single" w:sz="4" w:space="0" w:color="auto"/>
              <w:left w:val="nil"/>
              <w:bottom w:val="nil"/>
              <w:right w:val="nil"/>
            </w:tcBorders>
          </w:tcPr>
          <w:p w14:paraId="12892067"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5.90±1.02</w:t>
            </w:r>
            <w:r>
              <w:rPr>
                <w:rFonts w:ascii="Times New Roman" w:hAnsi="Times New Roman" w:cs="Times New Roman"/>
                <w:sz w:val="24"/>
                <w:szCs w:val="24"/>
                <w:vertAlign w:val="superscript"/>
              </w:rPr>
              <w:t>b</w:t>
            </w:r>
          </w:p>
        </w:tc>
        <w:tc>
          <w:tcPr>
            <w:tcW w:w="1558" w:type="dxa"/>
            <w:tcBorders>
              <w:top w:val="single" w:sz="4" w:space="0" w:color="auto"/>
              <w:left w:val="nil"/>
              <w:bottom w:val="nil"/>
              <w:right w:val="nil"/>
            </w:tcBorders>
          </w:tcPr>
          <w:p w14:paraId="31ACBDE0"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5.90±1.07</w:t>
            </w:r>
            <w:r>
              <w:rPr>
                <w:rFonts w:ascii="Times New Roman" w:hAnsi="Times New Roman" w:cs="Times New Roman"/>
                <w:sz w:val="24"/>
                <w:szCs w:val="24"/>
                <w:vertAlign w:val="superscript"/>
              </w:rPr>
              <w:t>c</w:t>
            </w:r>
          </w:p>
        </w:tc>
        <w:tc>
          <w:tcPr>
            <w:tcW w:w="1558" w:type="dxa"/>
            <w:tcBorders>
              <w:top w:val="single" w:sz="4" w:space="0" w:color="auto"/>
              <w:left w:val="nil"/>
              <w:bottom w:val="nil"/>
              <w:right w:val="nil"/>
            </w:tcBorders>
          </w:tcPr>
          <w:p w14:paraId="4AFD0587"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5.60±0.82</w:t>
            </w:r>
            <w:r>
              <w:rPr>
                <w:rFonts w:ascii="Times New Roman" w:hAnsi="Times New Roman" w:cs="Times New Roman"/>
                <w:sz w:val="24"/>
                <w:szCs w:val="24"/>
                <w:vertAlign w:val="superscript"/>
              </w:rPr>
              <w:t>d</w:t>
            </w:r>
          </w:p>
        </w:tc>
        <w:tc>
          <w:tcPr>
            <w:tcW w:w="1559" w:type="dxa"/>
            <w:tcBorders>
              <w:top w:val="single" w:sz="4" w:space="0" w:color="auto"/>
              <w:left w:val="nil"/>
              <w:bottom w:val="nil"/>
              <w:right w:val="nil"/>
            </w:tcBorders>
          </w:tcPr>
          <w:p w14:paraId="67C9ED00"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6.00±1.08</w:t>
            </w:r>
            <w:r>
              <w:rPr>
                <w:rFonts w:ascii="Times New Roman" w:hAnsi="Times New Roman" w:cs="Times New Roman"/>
                <w:sz w:val="24"/>
                <w:szCs w:val="24"/>
                <w:vertAlign w:val="superscript"/>
              </w:rPr>
              <w:t>c</w:t>
            </w:r>
          </w:p>
        </w:tc>
      </w:tr>
      <w:tr w:rsidR="00406B68" w14:paraId="62064E59" w14:textId="77777777">
        <w:tc>
          <w:tcPr>
            <w:tcW w:w="1558" w:type="dxa"/>
            <w:tcBorders>
              <w:top w:val="nil"/>
              <w:left w:val="nil"/>
              <w:bottom w:val="nil"/>
              <w:right w:val="nil"/>
            </w:tcBorders>
          </w:tcPr>
          <w:p w14:paraId="3BD130EF"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B</w:t>
            </w:r>
          </w:p>
        </w:tc>
        <w:tc>
          <w:tcPr>
            <w:tcW w:w="1558" w:type="dxa"/>
            <w:tcBorders>
              <w:top w:val="nil"/>
              <w:left w:val="nil"/>
              <w:bottom w:val="nil"/>
              <w:right w:val="nil"/>
            </w:tcBorders>
          </w:tcPr>
          <w:p w14:paraId="634F0C46"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6.00±1.08</w:t>
            </w:r>
            <w:r>
              <w:rPr>
                <w:rFonts w:ascii="Times New Roman" w:hAnsi="Times New Roman" w:cs="Times New Roman"/>
                <w:sz w:val="24"/>
                <w:szCs w:val="24"/>
                <w:vertAlign w:val="superscript"/>
              </w:rPr>
              <w:t>c</w:t>
            </w:r>
          </w:p>
        </w:tc>
        <w:tc>
          <w:tcPr>
            <w:tcW w:w="1558" w:type="dxa"/>
            <w:tcBorders>
              <w:top w:val="nil"/>
              <w:left w:val="nil"/>
              <w:bottom w:val="nil"/>
              <w:right w:val="nil"/>
            </w:tcBorders>
          </w:tcPr>
          <w:p w14:paraId="6A96D642"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5.90±0.72</w:t>
            </w:r>
            <w:r>
              <w:rPr>
                <w:rFonts w:ascii="Times New Roman" w:hAnsi="Times New Roman" w:cs="Times New Roman"/>
                <w:sz w:val="24"/>
                <w:szCs w:val="24"/>
                <w:vertAlign w:val="superscript"/>
              </w:rPr>
              <w:t>b</w:t>
            </w:r>
          </w:p>
        </w:tc>
        <w:tc>
          <w:tcPr>
            <w:tcW w:w="1558" w:type="dxa"/>
            <w:tcBorders>
              <w:top w:val="nil"/>
              <w:left w:val="nil"/>
              <w:bottom w:val="nil"/>
              <w:right w:val="nil"/>
            </w:tcBorders>
          </w:tcPr>
          <w:p w14:paraId="37A69358"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5.60±0.75</w:t>
            </w:r>
            <w:r>
              <w:rPr>
                <w:rFonts w:ascii="Times New Roman" w:hAnsi="Times New Roman" w:cs="Times New Roman"/>
                <w:sz w:val="24"/>
                <w:szCs w:val="24"/>
                <w:vertAlign w:val="superscript"/>
              </w:rPr>
              <w:t>d</w:t>
            </w:r>
          </w:p>
        </w:tc>
        <w:tc>
          <w:tcPr>
            <w:tcW w:w="1558" w:type="dxa"/>
            <w:tcBorders>
              <w:top w:val="nil"/>
              <w:left w:val="nil"/>
              <w:bottom w:val="nil"/>
              <w:right w:val="nil"/>
            </w:tcBorders>
          </w:tcPr>
          <w:p w14:paraId="0C6F69FE"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6.05±0.99</w:t>
            </w:r>
            <w:r>
              <w:rPr>
                <w:rFonts w:ascii="Times New Roman" w:hAnsi="Times New Roman" w:cs="Times New Roman"/>
                <w:sz w:val="24"/>
                <w:szCs w:val="24"/>
                <w:vertAlign w:val="superscript"/>
              </w:rPr>
              <w:t>c</w:t>
            </w:r>
          </w:p>
        </w:tc>
        <w:tc>
          <w:tcPr>
            <w:tcW w:w="1559" w:type="dxa"/>
            <w:tcBorders>
              <w:top w:val="nil"/>
              <w:left w:val="nil"/>
              <w:bottom w:val="nil"/>
              <w:right w:val="nil"/>
            </w:tcBorders>
          </w:tcPr>
          <w:p w14:paraId="2941F2A4"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6.00±0.79</w:t>
            </w:r>
            <w:r>
              <w:rPr>
                <w:rFonts w:ascii="Times New Roman" w:hAnsi="Times New Roman" w:cs="Times New Roman"/>
                <w:sz w:val="24"/>
                <w:szCs w:val="24"/>
                <w:vertAlign w:val="superscript"/>
              </w:rPr>
              <w:t>c</w:t>
            </w:r>
          </w:p>
        </w:tc>
      </w:tr>
      <w:tr w:rsidR="00406B68" w14:paraId="4314692E" w14:textId="77777777">
        <w:trPr>
          <w:trHeight w:val="432"/>
        </w:trPr>
        <w:tc>
          <w:tcPr>
            <w:tcW w:w="1558" w:type="dxa"/>
            <w:tcBorders>
              <w:top w:val="nil"/>
              <w:left w:val="nil"/>
              <w:bottom w:val="nil"/>
              <w:right w:val="nil"/>
            </w:tcBorders>
          </w:tcPr>
          <w:p w14:paraId="26F8A531"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w:t>
            </w:r>
          </w:p>
        </w:tc>
        <w:tc>
          <w:tcPr>
            <w:tcW w:w="1558" w:type="dxa"/>
            <w:tcBorders>
              <w:top w:val="nil"/>
              <w:left w:val="nil"/>
              <w:bottom w:val="nil"/>
              <w:right w:val="nil"/>
            </w:tcBorders>
          </w:tcPr>
          <w:p w14:paraId="2BE6221E"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5.65±0.93</w:t>
            </w:r>
            <w:r>
              <w:rPr>
                <w:rFonts w:ascii="Times New Roman" w:hAnsi="Times New Roman" w:cs="Times New Roman"/>
                <w:sz w:val="24"/>
                <w:szCs w:val="24"/>
                <w:vertAlign w:val="superscript"/>
              </w:rPr>
              <w:t>d</w:t>
            </w:r>
          </w:p>
        </w:tc>
        <w:tc>
          <w:tcPr>
            <w:tcW w:w="1558" w:type="dxa"/>
            <w:tcBorders>
              <w:top w:val="nil"/>
              <w:left w:val="nil"/>
              <w:bottom w:val="nil"/>
              <w:right w:val="nil"/>
            </w:tcBorders>
          </w:tcPr>
          <w:p w14:paraId="36B7A028"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5.95±0.95</w:t>
            </w:r>
            <w:r>
              <w:rPr>
                <w:rFonts w:ascii="Times New Roman" w:hAnsi="Times New Roman" w:cs="Times New Roman"/>
                <w:sz w:val="24"/>
                <w:szCs w:val="24"/>
                <w:vertAlign w:val="superscript"/>
              </w:rPr>
              <w:t>b</w:t>
            </w:r>
          </w:p>
        </w:tc>
        <w:tc>
          <w:tcPr>
            <w:tcW w:w="1558" w:type="dxa"/>
            <w:tcBorders>
              <w:top w:val="nil"/>
              <w:left w:val="nil"/>
              <w:bottom w:val="nil"/>
              <w:right w:val="nil"/>
            </w:tcBorders>
          </w:tcPr>
          <w:p w14:paraId="3D87EE68"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5.65±0.75</w:t>
            </w:r>
            <w:r>
              <w:rPr>
                <w:rFonts w:ascii="Times New Roman" w:hAnsi="Times New Roman" w:cs="Times New Roman"/>
                <w:sz w:val="24"/>
                <w:szCs w:val="24"/>
                <w:vertAlign w:val="superscript"/>
              </w:rPr>
              <w:t>d</w:t>
            </w:r>
          </w:p>
        </w:tc>
        <w:tc>
          <w:tcPr>
            <w:tcW w:w="1558" w:type="dxa"/>
            <w:tcBorders>
              <w:top w:val="nil"/>
              <w:left w:val="nil"/>
              <w:bottom w:val="nil"/>
              <w:right w:val="nil"/>
            </w:tcBorders>
          </w:tcPr>
          <w:p w14:paraId="22D1D763"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6.15±0.67</w:t>
            </w:r>
            <w:r>
              <w:rPr>
                <w:rFonts w:ascii="Times New Roman" w:hAnsi="Times New Roman" w:cs="Times New Roman"/>
                <w:sz w:val="24"/>
                <w:szCs w:val="24"/>
                <w:vertAlign w:val="superscript"/>
              </w:rPr>
              <w:t>c</w:t>
            </w:r>
          </w:p>
        </w:tc>
        <w:tc>
          <w:tcPr>
            <w:tcW w:w="1559" w:type="dxa"/>
            <w:tcBorders>
              <w:top w:val="nil"/>
              <w:left w:val="nil"/>
              <w:bottom w:val="nil"/>
              <w:right w:val="nil"/>
            </w:tcBorders>
          </w:tcPr>
          <w:p w14:paraId="6740AF01" w14:textId="754B1D2B" w:rsidR="00406B68" w:rsidRDefault="008C0FBB" w:rsidP="008C0FBB">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5</w:t>
            </w:r>
            <w:r>
              <w:rPr>
                <w:rFonts w:ascii="Times New Roman" w:hAnsi="Times New Roman" w:cs="Times New Roman"/>
                <w:sz w:val="24"/>
                <w:szCs w:val="24"/>
              </w:rPr>
              <w:t>.</w:t>
            </w:r>
            <w:r>
              <w:rPr>
                <w:rFonts w:ascii="Times New Roman" w:hAnsi="Times New Roman" w:cs="Times New Roman"/>
                <w:sz w:val="24"/>
                <w:szCs w:val="24"/>
              </w:rPr>
              <w:t>95</w:t>
            </w:r>
            <w:r>
              <w:rPr>
                <w:rFonts w:ascii="Times New Roman" w:hAnsi="Times New Roman" w:cs="Times New Roman"/>
                <w:sz w:val="24"/>
                <w:szCs w:val="24"/>
              </w:rPr>
              <w:t>±0.</w:t>
            </w:r>
            <w:r>
              <w:rPr>
                <w:rFonts w:ascii="Times New Roman" w:hAnsi="Times New Roman" w:cs="Times New Roman"/>
                <w:sz w:val="24"/>
                <w:szCs w:val="24"/>
              </w:rPr>
              <w:t>51</w:t>
            </w:r>
            <w:r>
              <w:rPr>
                <w:rFonts w:ascii="Times New Roman" w:hAnsi="Times New Roman" w:cs="Times New Roman"/>
                <w:sz w:val="24"/>
                <w:szCs w:val="24"/>
                <w:vertAlign w:val="superscript"/>
              </w:rPr>
              <w:t>c</w:t>
            </w:r>
            <w:r>
              <w:rPr>
                <w:rFonts w:ascii="Times New Roman" w:hAnsi="Times New Roman" w:cs="Times New Roman"/>
                <w:sz w:val="34"/>
                <w:szCs w:val="24"/>
                <w:vertAlign w:val="superscript"/>
              </w:rPr>
              <w:t xml:space="preserve"> </w:t>
            </w:r>
          </w:p>
        </w:tc>
      </w:tr>
      <w:tr w:rsidR="00406B68" w14:paraId="4830E663" w14:textId="77777777">
        <w:tc>
          <w:tcPr>
            <w:tcW w:w="1558" w:type="dxa"/>
            <w:tcBorders>
              <w:top w:val="nil"/>
              <w:left w:val="nil"/>
              <w:bottom w:val="nil"/>
              <w:right w:val="nil"/>
            </w:tcBorders>
          </w:tcPr>
          <w:p w14:paraId="0113E667"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D</w:t>
            </w:r>
          </w:p>
        </w:tc>
        <w:tc>
          <w:tcPr>
            <w:tcW w:w="1558" w:type="dxa"/>
            <w:tcBorders>
              <w:top w:val="nil"/>
              <w:left w:val="nil"/>
              <w:bottom w:val="nil"/>
              <w:right w:val="nil"/>
            </w:tcBorders>
          </w:tcPr>
          <w:p w14:paraId="737AA4FA"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5.95±0.89</w:t>
            </w:r>
            <w:r>
              <w:rPr>
                <w:rFonts w:ascii="Times New Roman" w:hAnsi="Times New Roman" w:cs="Times New Roman"/>
                <w:sz w:val="24"/>
                <w:szCs w:val="24"/>
                <w:vertAlign w:val="superscript"/>
              </w:rPr>
              <w:t>c</w:t>
            </w:r>
          </w:p>
        </w:tc>
        <w:tc>
          <w:tcPr>
            <w:tcW w:w="1558" w:type="dxa"/>
            <w:tcBorders>
              <w:top w:val="nil"/>
              <w:left w:val="nil"/>
              <w:bottom w:val="nil"/>
              <w:right w:val="nil"/>
            </w:tcBorders>
          </w:tcPr>
          <w:p w14:paraId="4318076D"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5.90±0.85</w:t>
            </w:r>
            <w:r>
              <w:rPr>
                <w:rFonts w:ascii="Times New Roman" w:hAnsi="Times New Roman" w:cs="Times New Roman"/>
                <w:sz w:val="24"/>
                <w:szCs w:val="24"/>
                <w:vertAlign w:val="superscript"/>
              </w:rPr>
              <w:t>b</w:t>
            </w:r>
          </w:p>
        </w:tc>
        <w:tc>
          <w:tcPr>
            <w:tcW w:w="1558" w:type="dxa"/>
            <w:tcBorders>
              <w:top w:val="nil"/>
              <w:left w:val="nil"/>
              <w:bottom w:val="nil"/>
              <w:right w:val="nil"/>
            </w:tcBorders>
          </w:tcPr>
          <w:p w14:paraId="0BE1C8AD"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6.05±0.61</w:t>
            </w:r>
            <w:r>
              <w:rPr>
                <w:rFonts w:ascii="Times New Roman" w:hAnsi="Times New Roman" w:cs="Times New Roman"/>
                <w:sz w:val="24"/>
                <w:szCs w:val="24"/>
                <w:vertAlign w:val="superscript"/>
              </w:rPr>
              <w:t>c</w:t>
            </w:r>
          </w:p>
        </w:tc>
        <w:tc>
          <w:tcPr>
            <w:tcW w:w="1558" w:type="dxa"/>
            <w:tcBorders>
              <w:top w:val="nil"/>
              <w:left w:val="nil"/>
              <w:bottom w:val="nil"/>
              <w:right w:val="nil"/>
            </w:tcBorders>
          </w:tcPr>
          <w:p w14:paraId="6FDC53C9"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6.50±0.83</w:t>
            </w:r>
            <w:r>
              <w:rPr>
                <w:rFonts w:ascii="Times New Roman" w:hAnsi="Times New Roman" w:cs="Times New Roman"/>
                <w:sz w:val="24"/>
                <w:szCs w:val="24"/>
                <w:vertAlign w:val="superscript"/>
              </w:rPr>
              <w:t>b</w:t>
            </w:r>
          </w:p>
        </w:tc>
        <w:tc>
          <w:tcPr>
            <w:tcW w:w="1559" w:type="dxa"/>
            <w:tcBorders>
              <w:top w:val="nil"/>
              <w:left w:val="nil"/>
              <w:bottom w:val="nil"/>
              <w:right w:val="nil"/>
            </w:tcBorders>
          </w:tcPr>
          <w:p w14:paraId="72873609"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6.35±0.67</w:t>
            </w:r>
            <w:r>
              <w:rPr>
                <w:rFonts w:ascii="Times New Roman" w:hAnsi="Times New Roman" w:cs="Times New Roman"/>
                <w:sz w:val="24"/>
                <w:szCs w:val="24"/>
                <w:vertAlign w:val="superscript"/>
              </w:rPr>
              <w:t>c</w:t>
            </w:r>
          </w:p>
        </w:tc>
      </w:tr>
      <w:tr w:rsidR="00406B68" w14:paraId="243DDF39" w14:textId="77777777">
        <w:tc>
          <w:tcPr>
            <w:tcW w:w="1558" w:type="dxa"/>
            <w:tcBorders>
              <w:top w:val="nil"/>
              <w:left w:val="nil"/>
              <w:bottom w:val="nil"/>
              <w:right w:val="nil"/>
            </w:tcBorders>
          </w:tcPr>
          <w:p w14:paraId="17034C31"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E</w:t>
            </w:r>
          </w:p>
        </w:tc>
        <w:tc>
          <w:tcPr>
            <w:tcW w:w="1558" w:type="dxa"/>
            <w:tcBorders>
              <w:top w:val="nil"/>
              <w:left w:val="nil"/>
              <w:bottom w:val="nil"/>
              <w:right w:val="nil"/>
            </w:tcBorders>
          </w:tcPr>
          <w:p w14:paraId="748EC0AD"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6.60±1.14</w:t>
            </w:r>
            <w:r>
              <w:rPr>
                <w:rFonts w:ascii="Times New Roman" w:hAnsi="Times New Roman" w:cs="Times New Roman"/>
                <w:sz w:val="24"/>
                <w:szCs w:val="24"/>
                <w:vertAlign w:val="superscript"/>
              </w:rPr>
              <w:t>bc</w:t>
            </w:r>
          </w:p>
        </w:tc>
        <w:tc>
          <w:tcPr>
            <w:tcW w:w="1558" w:type="dxa"/>
            <w:tcBorders>
              <w:top w:val="nil"/>
              <w:left w:val="nil"/>
              <w:bottom w:val="nil"/>
              <w:right w:val="nil"/>
            </w:tcBorders>
          </w:tcPr>
          <w:p w14:paraId="238294A0"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6.75±0.97</w:t>
            </w:r>
            <w:r>
              <w:rPr>
                <w:rFonts w:ascii="Times New Roman" w:hAnsi="Times New Roman" w:cs="Times New Roman"/>
                <w:sz w:val="24"/>
                <w:szCs w:val="24"/>
                <w:vertAlign w:val="superscript"/>
              </w:rPr>
              <w:t>a</w:t>
            </w:r>
          </w:p>
        </w:tc>
        <w:tc>
          <w:tcPr>
            <w:tcW w:w="1558" w:type="dxa"/>
            <w:tcBorders>
              <w:top w:val="nil"/>
              <w:left w:val="nil"/>
              <w:bottom w:val="nil"/>
              <w:right w:val="nil"/>
            </w:tcBorders>
          </w:tcPr>
          <w:p w14:paraId="638C87A1"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6.60±0.82</w:t>
            </w:r>
            <w:r>
              <w:rPr>
                <w:rFonts w:ascii="Times New Roman" w:hAnsi="Times New Roman" w:cs="Times New Roman"/>
                <w:sz w:val="24"/>
                <w:szCs w:val="24"/>
                <w:vertAlign w:val="superscript"/>
              </w:rPr>
              <w:t>b</w:t>
            </w:r>
          </w:p>
        </w:tc>
        <w:tc>
          <w:tcPr>
            <w:tcW w:w="1558" w:type="dxa"/>
            <w:tcBorders>
              <w:top w:val="nil"/>
              <w:left w:val="nil"/>
              <w:bottom w:val="nil"/>
              <w:right w:val="nil"/>
            </w:tcBorders>
          </w:tcPr>
          <w:p w14:paraId="213C0C99"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6.95±0.89</w:t>
            </w:r>
            <w:r>
              <w:rPr>
                <w:rFonts w:ascii="Times New Roman" w:hAnsi="Times New Roman" w:cs="Times New Roman"/>
                <w:sz w:val="24"/>
                <w:szCs w:val="24"/>
                <w:vertAlign w:val="superscript"/>
              </w:rPr>
              <w:t>ab</w:t>
            </w:r>
          </w:p>
        </w:tc>
        <w:tc>
          <w:tcPr>
            <w:tcW w:w="1559" w:type="dxa"/>
            <w:tcBorders>
              <w:top w:val="nil"/>
              <w:left w:val="nil"/>
              <w:bottom w:val="nil"/>
              <w:right w:val="nil"/>
            </w:tcBorders>
          </w:tcPr>
          <w:p w14:paraId="17BC0CA5"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6.85±0.75</w:t>
            </w:r>
            <w:r>
              <w:rPr>
                <w:rFonts w:ascii="Times New Roman" w:hAnsi="Times New Roman" w:cs="Times New Roman"/>
                <w:sz w:val="24"/>
                <w:szCs w:val="24"/>
                <w:vertAlign w:val="superscript"/>
              </w:rPr>
              <w:t>b</w:t>
            </w:r>
          </w:p>
        </w:tc>
      </w:tr>
      <w:tr w:rsidR="00406B68" w14:paraId="0F7B48CF" w14:textId="77777777">
        <w:tc>
          <w:tcPr>
            <w:tcW w:w="1558" w:type="dxa"/>
            <w:tcBorders>
              <w:top w:val="nil"/>
              <w:left w:val="nil"/>
              <w:bottom w:val="nil"/>
              <w:right w:val="nil"/>
            </w:tcBorders>
          </w:tcPr>
          <w:p w14:paraId="74A959E8"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w:t>
            </w:r>
          </w:p>
        </w:tc>
        <w:tc>
          <w:tcPr>
            <w:tcW w:w="1558" w:type="dxa"/>
            <w:tcBorders>
              <w:top w:val="nil"/>
              <w:left w:val="nil"/>
              <w:bottom w:val="nil"/>
              <w:right w:val="nil"/>
            </w:tcBorders>
          </w:tcPr>
          <w:p w14:paraId="1FEB0F12"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7.05±0.95</w:t>
            </w:r>
            <w:r>
              <w:rPr>
                <w:rFonts w:ascii="Times New Roman" w:hAnsi="Times New Roman" w:cs="Times New Roman"/>
                <w:sz w:val="24"/>
                <w:szCs w:val="24"/>
                <w:vertAlign w:val="superscript"/>
              </w:rPr>
              <w:t>b</w:t>
            </w:r>
          </w:p>
        </w:tc>
        <w:tc>
          <w:tcPr>
            <w:tcW w:w="1558" w:type="dxa"/>
            <w:tcBorders>
              <w:top w:val="nil"/>
              <w:left w:val="nil"/>
              <w:bottom w:val="nil"/>
              <w:right w:val="nil"/>
            </w:tcBorders>
          </w:tcPr>
          <w:p w14:paraId="17ADEDB3"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6.65±1.18</w:t>
            </w:r>
            <w:r>
              <w:rPr>
                <w:rFonts w:ascii="Times New Roman" w:hAnsi="Times New Roman" w:cs="Times New Roman"/>
                <w:sz w:val="24"/>
                <w:szCs w:val="24"/>
                <w:vertAlign w:val="superscript"/>
              </w:rPr>
              <w:t>a</w:t>
            </w:r>
          </w:p>
        </w:tc>
        <w:tc>
          <w:tcPr>
            <w:tcW w:w="1558" w:type="dxa"/>
            <w:tcBorders>
              <w:top w:val="nil"/>
              <w:left w:val="nil"/>
              <w:bottom w:val="nil"/>
              <w:right w:val="nil"/>
            </w:tcBorders>
          </w:tcPr>
          <w:p w14:paraId="06849C6F"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6.55±1.47</w:t>
            </w:r>
            <w:r>
              <w:rPr>
                <w:rFonts w:ascii="Times New Roman" w:hAnsi="Times New Roman" w:cs="Times New Roman"/>
                <w:sz w:val="24"/>
                <w:szCs w:val="24"/>
                <w:vertAlign w:val="superscript"/>
              </w:rPr>
              <w:t>b</w:t>
            </w:r>
          </w:p>
        </w:tc>
        <w:tc>
          <w:tcPr>
            <w:tcW w:w="1558" w:type="dxa"/>
            <w:tcBorders>
              <w:top w:val="nil"/>
              <w:left w:val="nil"/>
              <w:bottom w:val="nil"/>
              <w:right w:val="nil"/>
            </w:tcBorders>
          </w:tcPr>
          <w:p w14:paraId="28720ED7"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7.20±1.32</w:t>
            </w:r>
            <w:r>
              <w:rPr>
                <w:rFonts w:ascii="Times New Roman" w:hAnsi="Times New Roman" w:cs="Times New Roman"/>
                <w:sz w:val="24"/>
                <w:szCs w:val="24"/>
                <w:vertAlign w:val="superscript"/>
              </w:rPr>
              <w:t xml:space="preserve">a  </w:t>
            </w:r>
          </w:p>
        </w:tc>
        <w:tc>
          <w:tcPr>
            <w:tcW w:w="1559" w:type="dxa"/>
            <w:tcBorders>
              <w:top w:val="nil"/>
              <w:left w:val="nil"/>
              <w:bottom w:val="nil"/>
              <w:right w:val="nil"/>
            </w:tcBorders>
          </w:tcPr>
          <w:p w14:paraId="3AB010A4"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7.00±0.79</w:t>
            </w:r>
            <w:r>
              <w:rPr>
                <w:rFonts w:ascii="Times New Roman" w:hAnsi="Times New Roman" w:cs="Times New Roman"/>
                <w:sz w:val="24"/>
                <w:szCs w:val="24"/>
                <w:vertAlign w:val="superscript"/>
              </w:rPr>
              <w:t>b</w:t>
            </w:r>
          </w:p>
        </w:tc>
      </w:tr>
      <w:tr w:rsidR="00406B68" w14:paraId="10CEE880" w14:textId="77777777">
        <w:tc>
          <w:tcPr>
            <w:tcW w:w="1558" w:type="dxa"/>
            <w:tcBorders>
              <w:top w:val="nil"/>
              <w:left w:val="nil"/>
              <w:bottom w:val="single" w:sz="4" w:space="0" w:color="auto"/>
              <w:right w:val="nil"/>
            </w:tcBorders>
          </w:tcPr>
          <w:p w14:paraId="07A4EFE4" w14:textId="77777777" w:rsidR="00406B68" w:rsidRDefault="001162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G</w:t>
            </w:r>
          </w:p>
        </w:tc>
        <w:tc>
          <w:tcPr>
            <w:tcW w:w="1558" w:type="dxa"/>
            <w:tcBorders>
              <w:top w:val="nil"/>
              <w:left w:val="nil"/>
              <w:bottom w:val="single" w:sz="4" w:space="0" w:color="auto"/>
              <w:right w:val="nil"/>
            </w:tcBorders>
          </w:tcPr>
          <w:p w14:paraId="5D93A444"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7.70±0.80</w:t>
            </w:r>
            <w:r>
              <w:rPr>
                <w:rFonts w:ascii="Times New Roman" w:hAnsi="Times New Roman" w:cs="Times New Roman"/>
                <w:sz w:val="24"/>
                <w:szCs w:val="24"/>
                <w:vertAlign w:val="superscript"/>
              </w:rPr>
              <w:t>a</w:t>
            </w:r>
          </w:p>
        </w:tc>
        <w:tc>
          <w:tcPr>
            <w:tcW w:w="1558" w:type="dxa"/>
            <w:tcBorders>
              <w:top w:val="nil"/>
              <w:left w:val="nil"/>
              <w:bottom w:val="single" w:sz="4" w:space="0" w:color="auto"/>
              <w:right w:val="nil"/>
            </w:tcBorders>
          </w:tcPr>
          <w:p w14:paraId="0411A584"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6.65±1.14</w:t>
            </w:r>
            <w:r>
              <w:rPr>
                <w:rFonts w:ascii="Times New Roman" w:hAnsi="Times New Roman" w:cs="Times New Roman"/>
                <w:sz w:val="24"/>
                <w:szCs w:val="24"/>
                <w:vertAlign w:val="superscript"/>
              </w:rPr>
              <w:t>a</w:t>
            </w:r>
          </w:p>
        </w:tc>
        <w:tc>
          <w:tcPr>
            <w:tcW w:w="1558" w:type="dxa"/>
            <w:tcBorders>
              <w:top w:val="nil"/>
              <w:left w:val="nil"/>
              <w:bottom w:val="single" w:sz="4" w:space="0" w:color="auto"/>
              <w:right w:val="nil"/>
            </w:tcBorders>
          </w:tcPr>
          <w:p w14:paraId="34076024"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7.20±1.20</w:t>
            </w:r>
            <w:r>
              <w:rPr>
                <w:rFonts w:ascii="Times New Roman" w:hAnsi="Times New Roman" w:cs="Times New Roman"/>
                <w:sz w:val="24"/>
                <w:szCs w:val="24"/>
                <w:vertAlign w:val="superscript"/>
              </w:rPr>
              <w:t>a</w:t>
            </w:r>
          </w:p>
        </w:tc>
        <w:tc>
          <w:tcPr>
            <w:tcW w:w="1558" w:type="dxa"/>
            <w:tcBorders>
              <w:top w:val="nil"/>
              <w:left w:val="nil"/>
              <w:bottom w:val="single" w:sz="4" w:space="0" w:color="auto"/>
              <w:right w:val="nil"/>
            </w:tcBorders>
          </w:tcPr>
          <w:p w14:paraId="1A001ED8" w14:textId="77777777" w:rsidR="00406B68" w:rsidRDefault="001162EA">
            <w:pPr>
              <w:spacing w:after="0"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7.50±0.83</w:t>
            </w:r>
            <w:r>
              <w:rPr>
                <w:rFonts w:ascii="Times New Roman" w:hAnsi="Times New Roman" w:cs="Times New Roman"/>
                <w:sz w:val="24"/>
                <w:szCs w:val="24"/>
                <w:vertAlign w:val="superscript"/>
              </w:rPr>
              <w:t>a</w:t>
            </w:r>
          </w:p>
        </w:tc>
        <w:tc>
          <w:tcPr>
            <w:tcW w:w="1559" w:type="dxa"/>
            <w:tcBorders>
              <w:top w:val="nil"/>
              <w:left w:val="nil"/>
              <w:bottom w:val="single" w:sz="4" w:space="0" w:color="auto"/>
              <w:right w:val="nil"/>
            </w:tcBorders>
          </w:tcPr>
          <w:p w14:paraId="11AC0F2D" w14:textId="77777777" w:rsidR="00406B68" w:rsidRDefault="001162EA">
            <w:pPr>
              <w:tabs>
                <w:tab w:val="left" w:pos="4770"/>
              </w:tabs>
              <w:autoSpaceDE w:val="0"/>
              <w:autoSpaceDN w:val="0"/>
              <w:adjustRightInd w:val="0"/>
              <w:spacing w:after="0" w:line="480" w:lineRule="auto"/>
              <w:jc w:val="both"/>
              <w:rPr>
                <w:rFonts w:ascii="Times New Roman" w:eastAsiaTheme="minorEastAsia" w:hAnsi="Times New Roman" w:cs="Times New Roman"/>
                <w:sz w:val="24"/>
                <w:szCs w:val="24"/>
              </w:rPr>
            </w:pPr>
            <w:r>
              <w:rPr>
                <w:rFonts w:ascii="Times New Roman" w:hAnsi="Times New Roman" w:cs="Times New Roman"/>
                <w:sz w:val="24"/>
                <w:szCs w:val="24"/>
              </w:rPr>
              <w:t>7.50±0.76</w:t>
            </w:r>
            <w:r>
              <w:rPr>
                <w:rFonts w:ascii="Times New Roman" w:hAnsi="Times New Roman" w:cs="Times New Roman"/>
                <w:sz w:val="24"/>
                <w:szCs w:val="24"/>
                <w:vertAlign w:val="superscript"/>
              </w:rPr>
              <w:t>a</w:t>
            </w:r>
          </w:p>
        </w:tc>
      </w:tr>
    </w:tbl>
    <w:p w14:paraId="6CBA1DFC" w14:textId="77777777" w:rsidR="00406B68" w:rsidRDefault="001162EA">
      <w:pPr>
        <w:tabs>
          <w:tab w:val="left" w:pos="4770"/>
        </w:tabs>
        <w:autoSpaceDE w:val="0"/>
        <w:autoSpaceDN w:val="0"/>
        <w:adjustRightInd w:val="0"/>
        <w:spacing w:line="480" w:lineRule="auto"/>
        <w:jc w:val="both"/>
        <w:rPr>
          <w:rFonts w:ascii="Times New Roman" w:eastAsiaTheme="minorEastAsia" w:hAnsi="Times New Roman" w:cs="Times New Roman"/>
          <w:sz w:val="20"/>
          <w:szCs w:val="24"/>
        </w:rPr>
      </w:pPr>
      <w:r>
        <w:rPr>
          <w:rFonts w:ascii="Times New Roman" w:eastAsiaTheme="minorEastAsia" w:hAnsi="Times New Roman" w:cs="Times New Roman"/>
          <w:sz w:val="20"/>
          <w:szCs w:val="24"/>
        </w:rPr>
        <w:t>Values in the same column with different superscript are significantly different (P˂0.05)</w:t>
      </w:r>
    </w:p>
    <w:p w14:paraId="3B1D422F" w14:textId="77777777" w:rsidR="00406B68" w:rsidRDefault="001162EA">
      <w:pPr>
        <w:tabs>
          <w:tab w:val="left" w:pos="4770"/>
        </w:tabs>
        <w:autoSpaceDE w:val="0"/>
        <w:autoSpaceDN w:val="0"/>
        <w:adjustRightInd w:val="0"/>
        <w:spacing w:line="480" w:lineRule="auto"/>
        <w:jc w:val="both"/>
        <w:rPr>
          <w:rFonts w:ascii="Times New Roman" w:eastAsiaTheme="minorEastAsia" w:hAnsi="Times New Roman" w:cs="Times New Roman"/>
          <w:sz w:val="20"/>
          <w:szCs w:val="24"/>
        </w:rPr>
      </w:pPr>
      <w:r>
        <w:rPr>
          <w:rFonts w:ascii="Times New Roman" w:eastAsiaTheme="minorEastAsia" w:hAnsi="Times New Roman" w:cs="Times New Roman"/>
          <w:sz w:val="20"/>
          <w:szCs w:val="24"/>
        </w:rPr>
        <w:t xml:space="preserve">A= 100%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pap paste; B= 95%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5% Tamarind pap paste; C= 90%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10% Tamarind pap paste; D= 85%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15% Tamarind pap paste; E= 80%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20% Tamarind pap paste; F=75% </w:t>
      </w:r>
      <w:proofErr w:type="spellStart"/>
      <w:r>
        <w:rPr>
          <w:rFonts w:ascii="Times New Roman" w:eastAsiaTheme="minorEastAsia" w:hAnsi="Times New Roman" w:cs="Times New Roman"/>
          <w:sz w:val="20"/>
          <w:szCs w:val="24"/>
        </w:rPr>
        <w:t>Biofortifies</w:t>
      </w:r>
      <w:proofErr w:type="spellEnd"/>
      <w:r>
        <w:rPr>
          <w:rFonts w:ascii="Times New Roman" w:eastAsiaTheme="minorEastAsia" w:hAnsi="Times New Roman" w:cs="Times New Roman"/>
          <w:sz w:val="20"/>
          <w:szCs w:val="24"/>
        </w:rPr>
        <w:t xml:space="preserve"> maize, 25%Tamarind pap paste; G=70% </w:t>
      </w:r>
      <w:proofErr w:type="spellStart"/>
      <w:r>
        <w:rPr>
          <w:rFonts w:ascii="Times New Roman" w:eastAsiaTheme="minorEastAsia" w:hAnsi="Times New Roman" w:cs="Times New Roman"/>
          <w:sz w:val="20"/>
          <w:szCs w:val="24"/>
        </w:rPr>
        <w:t>Biofortified</w:t>
      </w:r>
      <w:proofErr w:type="spellEnd"/>
      <w:r>
        <w:rPr>
          <w:rFonts w:ascii="Times New Roman" w:eastAsiaTheme="minorEastAsia" w:hAnsi="Times New Roman" w:cs="Times New Roman"/>
          <w:sz w:val="20"/>
          <w:szCs w:val="24"/>
        </w:rPr>
        <w:t xml:space="preserve"> maize, 30% Tamarind pap paste.</w:t>
      </w:r>
    </w:p>
    <w:p w14:paraId="6C80E5CE" w14:textId="77777777" w:rsidR="00406B68" w:rsidRDefault="001162EA">
      <w:pPr>
        <w:tabs>
          <w:tab w:val="left" w:pos="4770"/>
        </w:tabs>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b/>
          <w:sz w:val="24"/>
          <w:szCs w:val="24"/>
        </w:rPr>
        <w:t xml:space="preserve">Conclusion: </w:t>
      </w:r>
      <w:r>
        <w:rPr>
          <w:rFonts w:ascii="Times New Roman" w:hAnsi="Times New Roman" w:cs="Times New Roman"/>
          <w:sz w:val="24"/>
          <w:szCs w:val="24"/>
        </w:rPr>
        <w:t xml:space="preserve">The beta carotene content of samples decreased with tamarind addition, as tamarind addition positively influenced nutritional quality of samples. Tamarind reduced protein, but increased fat, ash and </w:t>
      </w:r>
      <w:proofErr w:type="spellStart"/>
      <w:r>
        <w:rPr>
          <w:rFonts w:ascii="Times New Roman" w:hAnsi="Times New Roman" w:cs="Times New Roman"/>
          <w:sz w:val="24"/>
          <w:szCs w:val="24"/>
        </w:rPr>
        <w:t>fibre</w:t>
      </w:r>
      <w:proofErr w:type="spellEnd"/>
      <w:r>
        <w:rPr>
          <w:rFonts w:ascii="Times New Roman" w:hAnsi="Times New Roman" w:cs="Times New Roman"/>
          <w:sz w:val="24"/>
          <w:szCs w:val="24"/>
        </w:rPr>
        <w:t xml:space="preserve"> contents, thus making it a good mineral source. The high tannin content recorded could have caused the reduced protein content. It is therefore recommended that fermentation time should be increased during production in order to properly breakdown anti-nutrients and increase bioavailability of nutrients.</w:t>
      </w:r>
    </w:p>
    <w:p w14:paraId="27FCFCC9" w14:textId="77777777" w:rsidR="00406B68" w:rsidRDefault="001162EA">
      <w:pPr>
        <w:spacing w:line="480" w:lineRule="auto"/>
        <w:jc w:val="both"/>
        <w:rPr>
          <w:rFonts w:ascii="Times New Roman" w:hAnsi="Times New Roman" w:cs="Times New Roman"/>
          <w:b/>
          <w:sz w:val="24"/>
          <w:szCs w:val="24"/>
        </w:rPr>
      </w:pPr>
      <w:r>
        <w:rPr>
          <w:rFonts w:ascii="Times New Roman" w:hAnsi="Times New Roman" w:cs="Times New Roman"/>
          <w:b/>
          <w:sz w:val="24"/>
          <w:szCs w:val="24"/>
        </w:rPr>
        <w:t>References</w:t>
      </w:r>
    </w:p>
    <w:p w14:paraId="2F7A62B1" w14:textId="54190F4C" w:rsidR="00406B68" w:rsidRDefault="001162EA">
      <w:pPr>
        <w:spacing w:line="480" w:lineRule="auto"/>
        <w:jc w:val="both"/>
        <w:rPr>
          <w:rFonts w:ascii="Times New Roman" w:hAnsi="Times New Roman" w:cs="Times New Roman"/>
          <w:b/>
          <w:sz w:val="24"/>
          <w:szCs w:val="24"/>
        </w:rPr>
      </w:pPr>
      <w:proofErr w:type="spellStart"/>
      <w:proofErr w:type="gramStart"/>
      <w:r>
        <w:rPr>
          <w:rFonts w:ascii="Times New Roman" w:hAnsi="Times New Roman" w:cs="Times New Roman"/>
          <w:color w:val="232323"/>
          <w:sz w:val="24"/>
          <w:szCs w:val="24"/>
          <w:shd w:val="clear" w:color="auto" w:fill="FFFFFF"/>
        </w:rPr>
        <w:t>Abioye</w:t>
      </w:r>
      <w:proofErr w:type="spellEnd"/>
      <w:r>
        <w:rPr>
          <w:rFonts w:ascii="Times New Roman" w:hAnsi="Times New Roman" w:cs="Times New Roman"/>
          <w:color w:val="232323"/>
          <w:sz w:val="24"/>
          <w:szCs w:val="24"/>
          <w:shd w:val="clear" w:color="auto" w:fill="FFFFFF"/>
        </w:rPr>
        <w:t>, V.F.</w:t>
      </w:r>
      <w:r w:rsidR="00573042">
        <w:rPr>
          <w:rFonts w:ascii="Times New Roman" w:hAnsi="Times New Roman" w:cs="Times New Roman"/>
          <w:color w:val="232323"/>
          <w:sz w:val="24"/>
          <w:szCs w:val="24"/>
          <w:shd w:val="clear" w:color="auto" w:fill="FFFFFF"/>
        </w:rPr>
        <w:t>,</w:t>
      </w:r>
      <w:r>
        <w:rPr>
          <w:rFonts w:ascii="Times New Roman" w:hAnsi="Times New Roman" w:cs="Times New Roman"/>
          <w:color w:val="232323"/>
          <w:sz w:val="24"/>
          <w:szCs w:val="24"/>
          <w:shd w:val="clear" w:color="auto" w:fill="FFFFFF"/>
        </w:rPr>
        <w:t xml:space="preserve"> &amp; Aka, M.O. (2015).</w:t>
      </w:r>
      <w:proofErr w:type="gramEnd"/>
      <w:r>
        <w:rPr>
          <w:rFonts w:ascii="Times New Roman" w:hAnsi="Times New Roman" w:cs="Times New Roman"/>
          <w:color w:val="232323"/>
          <w:sz w:val="24"/>
          <w:szCs w:val="24"/>
          <w:shd w:val="clear" w:color="auto" w:fill="FFFFFF"/>
        </w:rPr>
        <w:t xml:space="preserve"> Proximate Composition and Sensory Properties of </w:t>
      </w:r>
      <w:proofErr w:type="spellStart"/>
      <w:r>
        <w:rPr>
          <w:rFonts w:ascii="Times New Roman" w:hAnsi="Times New Roman" w:cs="Times New Roman"/>
          <w:color w:val="232323"/>
          <w:sz w:val="24"/>
          <w:szCs w:val="24"/>
          <w:shd w:val="clear" w:color="auto" w:fill="FFFFFF"/>
        </w:rPr>
        <w:t>Moringa</w:t>
      </w:r>
      <w:proofErr w:type="spellEnd"/>
      <w:r>
        <w:rPr>
          <w:rFonts w:ascii="Times New Roman" w:hAnsi="Times New Roman" w:cs="Times New Roman"/>
          <w:color w:val="232323"/>
          <w:sz w:val="24"/>
          <w:szCs w:val="24"/>
          <w:shd w:val="clear" w:color="auto" w:fill="FFFFFF"/>
        </w:rPr>
        <w:t xml:space="preserve"> Fortified Maize-</w:t>
      </w:r>
      <w:proofErr w:type="spellStart"/>
      <w:r>
        <w:rPr>
          <w:rFonts w:ascii="Times New Roman" w:hAnsi="Times New Roman" w:cs="Times New Roman"/>
          <w:color w:val="232323"/>
          <w:sz w:val="24"/>
          <w:szCs w:val="24"/>
          <w:shd w:val="clear" w:color="auto" w:fill="FFFFFF"/>
        </w:rPr>
        <w:t>Ogi</w:t>
      </w:r>
      <w:proofErr w:type="spellEnd"/>
      <w:r>
        <w:rPr>
          <w:rFonts w:ascii="Times New Roman" w:hAnsi="Times New Roman" w:cs="Times New Roman"/>
          <w:color w:val="232323"/>
          <w:sz w:val="24"/>
          <w:szCs w:val="24"/>
          <w:shd w:val="clear" w:color="auto" w:fill="FFFFFF"/>
        </w:rPr>
        <w:t xml:space="preserve">. </w:t>
      </w:r>
      <w:r>
        <w:rPr>
          <w:rFonts w:ascii="Times New Roman" w:hAnsi="Times New Roman" w:cs="Times New Roman"/>
          <w:i/>
          <w:color w:val="232323"/>
          <w:sz w:val="24"/>
          <w:szCs w:val="24"/>
          <w:shd w:val="clear" w:color="auto" w:fill="FFFFFF"/>
        </w:rPr>
        <w:t>Journal of Nutrition and Food Science</w:t>
      </w:r>
      <w:r>
        <w:rPr>
          <w:rFonts w:ascii="Times New Roman" w:hAnsi="Times New Roman" w:cs="Times New Roman"/>
          <w:color w:val="232323"/>
          <w:sz w:val="24"/>
          <w:szCs w:val="24"/>
          <w:shd w:val="clear" w:color="auto" w:fill="FFFFFF"/>
        </w:rPr>
        <w:t>, S12, 1-4</w:t>
      </w:r>
    </w:p>
    <w:p w14:paraId="0528F892" w14:textId="480FB70A" w:rsidR="00406B68" w:rsidRDefault="001162EA">
      <w:pPr>
        <w:pStyle w:val="EndNoteBibliography"/>
        <w:spacing w:after="0" w:line="480" w:lineRule="auto"/>
        <w:jc w:val="both"/>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EN.REFLIST </w:instrText>
      </w:r>
      <w:r>
        <w:rPr>
          <w:rFonts w:ascii="Times New Roman" w:hAnsi="Times New Roman" w:cs="Times New Roman"/>
          <w:sz w:val="24"/>
          <w:szCs w:val="24"/>
        </w:rPr>
        <w:fldChar w:fldCharType="separate"/>
      </w:r>
      <w:bookmarkStart w:id="4" w:name="_ENREF_2"/>
      <w:r>
        <w:rPr>
          <w:rFonts w:ascii="Times New Roman" w:hAnsi="Times New Roman" w:cs="Times New Roman"/>
          <w:sz w:val="24"/>
          <w:szCs w:val="24"/>
        </w:rPr>
        <w:t>Adeyemo, R. (1984). Maize-Consumption Expenditure of Rural and Urban Workers: Implications for Nigeria</w:t>
      </w:r>
      <w:r w:rsidR="00573042">
        <w:rPr>
          <w:rFonts w:ascii="Times New Roman" w:hAnsi="Times New Roman" w:cs="Times New Roman"/>
          <w:sz w:val="24"/>
          <w:szCs w:val="24"/>
        </w:rPr>
        <w:t>;</w:t>
      </w:r>
      <w:r>
        <w:rPr>
          <w:rFonts w:ascii="Times New Roman" w:hAnsi="Times New Roman" w:cs="Times New Roman"/>
          <w:sz w:val="24"/>
          <w:szCs w:val="24"/>
        </w:rPr>
        <w:t xml:space="preserve"> </w:t>
      </w:r>
      <w:proofErr w:type="gramStart"/>
      <w:r>
        <w:rPr>
          <w:rFonts w:ascii="Times New Roman" w:hAnsi="Times New Roman" w:cs="Times New Roman"/>
          <w:i/>
          <w:sz w:val="24"/>
          <w:szCs w:val="24"/>
        </w:rPr>
        <w:t>The</w:t>
      </w:r>
      <w:proofErr w:type="gramEnd"/>
      <w:r>
        <w:rPr>
          <w:rFonts w:ascii="Times New Roman" w:hAnsi="Times New Roman" w:cs="Times New Roman"/>
          <w:i/>
          <w:sz w:val="24"/>
          <w:szCs w:val="24"/>
        </w:rPr>
        <w:t xml:space="preserve"> Journal of Modern African Studies, 22</w:t>
      </w:r>
      <w:r>
        <w:rPr>
          <w:rFonts w:ascii="Times New Roman" w:hAnsi="Times New Roman" w:cs="Times New Roman"/>
          <w:sz w:val="24"/>
          <w:szCs w:val="24"/>
        </w:rPr>
        <w:t xml:space="preserve">(1), 163-166. </w:t>
      </w:r>
      <w:bookmarkEnd w:id="4"/>
    </w:p>
    <w:p w14:paraId="0FD4AB78" w14:textId="1DEDD7B2" w:rsidR="00406B68" w:rsidRDefault="001162EA">
      <w:pPr>
        <w:pStyle w:val="EndNoteBibliography"/>
        <w:spacing w:after="0" w:line="480" w:lineRule="auto"/>
        <w:jc w:val="both"/>
        <w:rPr>
          <w:rFonts w:ascii="Times New Roman" w:hAnsi="Times New Roman" w:cs="Times New Roman"/>
          <w:sz w:val="24"/>
          <w:szCs w:val="24"/>
        </w:rPr>
      </w:pPr>
      <w:bookmarkStart w:id="5" w:name="_ENREF_3"/>
      <w:proofErr w:type="gramStart"/>
      <w:r>
        <w:rPr>
          <w:rFonts w:ascii="Times New Roman" w:hAnsi="Times New Roman" w:cs="Times New Roman"/>
          <w:sz w:val="24"/>
          <w:szCs w:val="24"/>
        </w:rPr>
        <w:t>Adom, K. K., Sorrells, M. E.</w:t>
      </w:r>
      <w:r w:rsidR="00573042">
        <w:rPr>
          <w:rFonts w:ascii="Times New Roman" w:hAnsi="Times New Roman" w:cs="Times New Roman"/>
          <w:sz w:val="24"/>
          <w:szCs w:val="24"/>
        </w:rPr>
        <w:t>,</w:t>
      </w:r>
      <w:r>
        <w:rPr>
          <w:rFonts w:ascii="Times New Roman" w:hAnsi="Times New Roman" w:cs="Times New Roman"/>
          <w:sz w:val="24"/>
          <w:szCs w:val="24"/>
        </w:rPr>
        <w:t xml:space="preserve"> &amp; Liu, R. H. (2005).</w:t>
      </w:r>
      <w:proofErr w:type="gramEnd"/>
      <w:r>
        <w:rPr>
          <w:rFonts w:ascii="Times New Roman" w:hAnsi="Times New Roman" w:cs="Times New Roman"/>
          <w:sz w:val="24"/>
          <w:szCs w:val="24"/>
        </w:rPr>
        <w:t xml:space="preserve"> Phytochemicals and antioxidant activity of milled fractions of different wheat varieties. </w:t>
      </w:r>
      <w:r>
        <w:rPr>
          <w:rFonts w:ascii="Times New Roman" w:hAnsi="Times New Roman" w:cs="Times New Roman"/>
          <w:i/>
          <w:sz w:val="24"/>
          <w:szCs w:val="24"/>
        </w:rPr>
        <w:t>Journal of Agricultural and Food Chemistry, 53</w:t>
      </w:r>
      <w:r>
        <w:rPr>
          <w:rFonts w:ascii="Times New Roman" w:hAnsi="Times New Roman" w:cs="Times New Roman"/>
          <w:sz w:val="24"/>
          <w:szCs w:val="24"/>
        </w:rPr>
        <w:t xml:space="preserve">(6), 2297-2306. </w:t>
      </w:r>
      <w:bookmarkEnd w:id="5"/>
    </w:p>
    <w:p w14:paraId="6CC2D76F" w14:textId="48789211" w:rsidR="00406B68" w:rsidRDefault="001162EA">
      <w:pPr>
        <w:pStyle w:val="EndNoteBibliography"/>
        <w:spacing w:after="0" w:line="480" w:lineRule="auto"/>
        <w:jc w:val="both"/>
        <w:rPr>
          <w:rFonts w:ascii="Times New Roman" w:hAnsi="Times New Roman" w:cs="Times New Roman"/>
          <w:sz w:val="24"/>
          <w:szCs w:val="24"/>
        </w:rPr>
      </w:pPr>
      <w:bookmarkStart w:id="6" w:name="_ENREF_4"/>
      <w:r>
        <w:rPr>
          <w:rFonts w:ascii="Times New Roman" w:hAnsi="Times New Roman" w:cs="Times New Roman"/>
          <w:sz w:val="24"/>
          <w:szCs w:val="24"/>
        </w:rPr>
        <w:t>Afzal, M., Nazir, Z., Bashir, M. H.</w:t>
      </w:r>
      <w:r w:rsidR="00573042">
        <w:rPr>
          <w:rFonts w:ascii="Times New Roman" w:hAnsi="Times New Roman" w:cs="Times New Roman"/>
          <w:sz w:val="24"/>
          <w:szCs w:val="24"/>
        </w:rPr>
        <w:t>,</w:t>
      </w:r>
      <w:r>
        <w:rPr>
          <w:rFonts w:ascii="Times New Roman" w:hAnsi="Times New Roman" w:cs="Times New Roman"/>
          <w:sz w:val="24"/>
          <w:szCs w:val="24"/>
        </w:rPr>
        <w:t xml:space="preserve"> &amp; Khan, B. S. (2009). Analysis of host plant resistance in some genotypes of maize against Chilo partellus (Swinhoe)(Pyralidae: Lepidoptera). </w:t>
      </w:r>
      <w:r>
        <w:rPr>
          <w:rFonts w:ascii="Times New Roman" w:hAnsi="Times New Roman" w:cs="Times New Roman"/>
          <w:i/>
          <w:sz w:val="24"/>
          <w:szCs w:val="24"/>
        </w:rPr>
        <w:t>Pak. J. Bot, 41</w:t>
      </w:r>
      <w:r>
        <w:rPr>
          <w:rFonts w:ascii="Times New Roman" w:hAnsi="Times New Roman" w:cs="Times New Roman"/>
          <w:sz w:val="24"/>
          <w:szCs w:val="24"/>
        </w:rPr>
        <w:t xml:space="preserve">(1), 421-428. </w:t>
      </w:r>
      <w:bookmarkEnd w:id="6"/>
    </w:p>
    <w:p w14:paraId="09CFAA0C" w14:textId="54887E2D" w:rsidR="00406B68" w:rsidRDefault="001162EA">
      <w:pPr>
        <w:pStyle w:val="EndNoteBibliography"/>
        <w:spacing w:after="0" w:line="480" w:lineRule="auto"/>
        <w:jc w:val="both"/>
        <w:rPr>
          <w:rFonts w:ascii="Times New Roman" w:hAnsi="Times New Roman" w:cs="Times New Roman"/>
          <w:sz w:val="24"/>
          <w:szCs w:val="24"/>
        </w:rPr>
      </w:pPr>
      <w:bookmarkStart w:id="7" w:name="_ENREF_5"/>
      <w:proofErr w:type="gramStart"/>
      <w:r>
        <w:rPr>
          <w:rFonts w:ascii="Times New Roman" w:hAnsi="Times New Roman" w:cs="Times New Roman"/>
          <w:sz w:val="24"/>
          <w:szCs w:val="24"/>
        </w:rPr>
        <w:t>Akingbala, J., Akinwande, B.</w:t>
      </w:r>
      <w:r w:rsidR="00573042">
        <w:rPr>
          <w:rFonts w:ascii="Times New Roman" w:hAnsi="Times New Roman" w:cs="Times New Roman"/>
          <w:sz w:val="24"/>
          <w:szCs w:val="24"/>
        </w:rPr>
        <w:t>,</w:t>
      </w:r>
      <w:r>
        <w:rPr>
          <w:rFonts w:ascii="Times New Roman" w:hAnsi="Times New Roman" w:cs="Times New Roman"/>
          <w:sz w:val="24"/>
          <w:szCs w:val="24"/>
        </w:rPr>
        <w:t xml:space="preserve"> &amp; Uzo-Peters, P. (2003).</w:t>
      </w:r>
      <w:proofErr w:type="gramEnd"/>
      <w:r>
        <w:rPr>
          <w:rFonts w:ascii="Times New Roman" w:hAnsi="Times New Roman" w:cs="Times New Roman"/>
          <w:sz w:val="24"/>
          <w:szCs w:val="24"/>
        </w:rPr>
        <w:t xml:space="preserve"> Effects of colour and flavour changes on acceptability of ogi supplemented with okra seed meals. </w:t>
      </w:r>
      <w:r>
        <w:rPr>
          <w:rFonts w:ascii="Times New Roman" w:hAnsi="Times New Roman" w:cs="Times New Roman"/>
          <w:i/>
          <w:sz w:val="24"/>
          <w:szCs w:val="24"/>
        </w:rPr>
        <w:t>Plant Foods for Human Nutrition, 58</w:t>
      </w:r>
      <w:r>
        <w:rPr>
          <w:rFonts w:ascii="Times New Roman" w:hAnsi="Times New Roman" w:cs="Times New Roman"/>
          <w:sz w:val="24"/>
          <w:szCs w:val="24"/>
        </w:rPr>
        <w:t xml:space="preserve">(3), 1-9. </w:t>
      </w:r>
      <w:bookmarkEnd w:id="7"/>
    </w:p>
    <w:p w14:paraId="7EBB5769" w14:textId="77777777" w:rsidR="00406B68" w:rsidRDefault="001162EA">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AOAC. (2010). Official methods of Analysis of Association of Official Analytical</w:t>
      </w:r>
      <w:r>
        <w:rPr>
          <w:rFonts w:ascii="Times New Roman" w:hAnsi="Times New Roman" w:cs="Times New Roman"/>
          <w:color w:val="000000"/>
          <w:sz w:val="24"/>
          <w:szCs w:val="24"/>
        </w:rPr>
        <w:tab/>
        <w:t xml:space="preserve">Chemists 18th ed., Published by AOAC International, Gaithersburg, Maryland &amp; USA. </w:t>
      </w:r>
    </w:p>
    <w:p w14:paraId="74155B2A" w14:textId="5F8D6ACF" w:rsidR="00406B68" w:rsidRDefault="001162EA">
      <w:pPr>
        <w:pStyle w:val="EndNoteBibliography"/>
        <w:spacing w:after="0" w:line="480" w:lineRule="auto"/>
        <w:jc w:val="both"/>
        <w:rPr>
          <w:rFonts w:ascii="Times New Roman" w:hAnsi="Times New Roman" w:cs="Times New Roman"/>
          <w:sz w:val="24"/>
          <w:szCs w:val="24"/>
        </w:rPr>
      </w:pPr>
      <w:bookmarkStart w:id="8" w:name="_ENREF_8"/>
      <w:r>
        <w:rPr>
          <w:rFonts w:ascii="Times New Roman" w:hAnsi="Times New Roman" w:cs="Times New Roman"/>
          <w:sz w:val="24"/>
          <w:szCs w:val="24"/>
        </w:rPr>
        <w:t xml:space="preserve">Ashaye, O., Akingbala, J., </w:t>
      </w:r>
      <w:proofErr w:type="spellStart"/>
      <w:proofErr w:type="gramStart"/>
      <w:r>
        <w:rPr>
          <w:rFonts w:ascii="Times New Roman" w:hAnsi="Times New Roman" w:cs="Times New Roman"/>
          <w:sz w:val="24"/>
          <w:szCs w:val="24"/>
        </w:rPr>
        <w:t>Obatolu</w:t>
      </w:r>
      <w:proofErr w:type="spellEnd"/>
      <w:r w:rsidR="004D1E05">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 xml:space="preserve"> V.</w:t>
      </w:r>
      <w:r w:rsidR="004D1E05">
        <w:rPr>
          <w:rFonts w:ascii="Times New Roman" w:hAnsi="Times New Roman" w:cs="Times New Roman"/>
          <w:sz w:val="24"/>
          <w:szCs w:val="24"/>
        </w:rPr>
        <w:t>,</w:t>
      </w:r>
      <w:r>
        <w:rPr>
          <w:rFonts w:ascii="Times New Roman" w:hAnsi="Times New Roman" w:cs="Times New Roman"/>
          <w:sz w:val="24"/>
          <w:szCs w:val="24"/>
        </w:rPr>
        <w:t xml:space="preserve"> &amp; Fasoyiro, S. (2004). Improving processing technology and nutritional composition of Nigerian traditional breakfast gruel from corn and Okra. </w:t>
      </w:r>
      <w:r>
        <w:rPr>
          <w:rFonts w:ascii="Times New Roman" w:hAnsi="Times New Roman" w:cs="Times New Roman"/>
          <w:i/>
          <w:sz w:val="24"/>
          <w:szCs w:val="24"/>
        </w:rPr>
        <w:t>Journal of agricultural &amp; food information, 6</w:t>
      </w:r>
      <w:r>
        <w:rPr>
          <w:rFonts w:ascii="Times New Roman" w:hAnsi="Times New Roman" w:cs="Times New Roman"/>
          <w:sz w:val="24"/>
          <w:szCs w:val="24"/>
        </w:rPr>
        <w:t xml:space="preserve">(1), 77-87. </w:t>
      </w:r>
      <w:bookmarkEnd w:id="8"/>
    </w:p>
    <w:p w14:paraId="72575C8E" w14:textId="4F476F33" w:rsidR="00406B68" w:rsidRDefault="001162EA">
      <w:pPr>
        <w:pStyle w:val="EndNoteBibliography"/>
        <w:spacing w:after="0" w:line="480" w:lineRule="auto"/>
        <w:jc w:val="both"/>
        <w:rPr>
          <w:rFonts w:ascii="Times New Roman" w:hAnsi="Times New Roman" w:cs="Times New Roman"/>
          <w:sz w:val="24"/>
          <w:szCs w:val="24"/>
        </w:rPr>
      </w:pPr>
      <w:bookmarkStart w:id="9" w:name="_ENREF_9"/>
      <w:proofErr w:type="gramStart"/>
      <w:r>
        <w:rPr>
          <w:rFonts w:ascii="Times New Roman" w:hAnsi="Times New Roman" w:cs="Times New Roman"/>
          <w:sz w:val="24"/>
          <w:szCs w:val="24"/>
        </w:rPr>
        <w:t>Asouzu, A.</w:t>
      </w:r>
      <w:r w:rsidR="004D1E05">
        <w:rPr>
          <w:rFonts w:ascii="Times New Roman" w:hAnsi="Times New Roman" w:cs="Times New Roman"/>
          <w:sz w:val="24"/>
          <w:szCs w:val="24"/>
        </w:rPr>
        <w:t>,</w:t>
      </w:r>
      <w:r>
        <w:rPr>
          <w:rFonts w:ascii="Times New Roman" w:hAnsi="Times New Roman" w:cs="Times New Roman"/>
          <w:sz w:val="24"/>
          <w:szCs w:val="24"/>
        </w:rPr>
        <w:t xml:space="preserve"> &amp; Umerah, N. (2020).</w:t>
      </w:r>
      <w:proofErr w:type="gramEnd"/>
      <w:r>
        <w:rPr>
          <w:rFonts w:ascii="Times New Roman" w:hAnsi="Times New Roman" w:cs="Times New Roman"/>
          <w:sz w:val="24"/>
          <w:szCs w:val="24"/>
        </w:rPr>
        <w:t xml:space="preserve"> Rheology and acceptance of pap (Zea mays) enriched with Jatropha carcus Leaves to improve iron status in children. </w:t>
      </w:r>
      <w:r>
        <w:rPr>
          <w:rFonts w:ascii="Times New Roman" w:hAnsi="Times New Roman" w:cs="Times New Roman"/>
          <w:i/>
          <w:sz w:val="24"/>
          <w:szCs w:val="24"/>
        </w:rPr>
        <w:t>Asian Journal of Biochemistry, Genetics and Molecular Biology</w:t>
      </w:r>
      <w:r>
        <w:rPr>
          <w:rFonts w:ascii="Times New Roman" w:hAnsi="Times New Roman" w:cs="Times New Roman"/>
          <w:sz w:val="24"/>
          <w:szCs w:val="24"/>
        </w:rPr>
        <w:t xml:space="preserve">, 22-34. </w:t>
      </w:r>
      <w:bookmarkEnd w:id="9"/>
    </w:p>
    <w:p w14:paraId="75F42667" w14:textId="77777777" w:rsidR="00406B68" w:rsidRDefault="001162EA">
      <w:pPr>
        <w:pStyle w:val="EndNoteBibliography"/>
        <w:spacing w:after="0" w:line="480" w:lineRule="auto"/>
        <w:jc w:val="both"/>
        <w:rPr>
          <w:rFonts w:ascii="Times New Roman" w:hAnsi="Times New Roman" w:cs="Times New Roman"/>
          <w:sz w:val="24"/>
          <w:szCs w:val="24"/>
        </w:rPr>
      </w:pPr>
      <w:bookmarkStart w:id="10" w:name="_ENREF_11"/>
      <w:proofErr w:type="spellStart"/>
      <w:r>
        <w:rPr>
          <w:rFonts w:ascii="Times New Roman" w:hAnsi="Times New Roman" w:cs="Times New Roman"/>
          <w:sz w:val="24"/>
          <w:szCs w:val="24"/>
        </w:rPr>
        <w:t>Bettermann</w:t>
      </w:r>
      <w:proofErr w:type="spellEnd"/>
      <w:r>
        <w:rPr>
          <w:rFonts w:ascii="Times New Roman" w:hAnsi="Times New Roman" w:cs="Times New Roman"/>
          <w:sz w:val="24"/>
          <w:szCs w:val="24"/>
        </w:rPr>
        <w:t xml:space="preserve">, E. (2019). What Are the Health Benefits of Tamarind? </w:t>
      </w:r>
      <w:bookmarkEnd w:id="10"/>
    </w:p>
    <w:p w14:paraId="32723F58" w14:textId="0281D5DE" w:rsidR="00406B68" w:rsidRDefault="001162EA">
      <w:pPr>
        <w:pStyle w:val="EndNoteBibliography"/>
        <w:spacing w:after="0" w:line="480" w:lineRule="auto"/>
        <w:jc w:val="both"/>
        <w:rPr>
          <w:rFonts w:ascii="Times New Roman" w:hAnsi="Times New Roman" w:cs="Times New Roman"/>
          <w:sz w:val="24"/>
          <w:szCs w:val="24"/>
        </w:rPr>
      </w:pPr>
      <w:bookmarkStart w:id="11" w:name="_ENREF_16"/>
      <w:proofErr w:type="gramStart"/>
      <w:r>
        <w:rPr>
          <w:rFonts w:ascii="Times New Roman" w:hAnsi="Times New Roman" w:cs="Times New Roman"/>
          <w:sz w:val="24"/>
          <w:szCs w:val="24"/>
        </w:rPr>
        <w:t>Dahdouh, S., Grande, F., Espinosa, S. N., Vincent, A., Gibson, R., Bailey, K., King, J., Rittenschober, D.</w:t>
      </w:r>
      <w:r w:rsidR="004D1E05">
        <w:rPr>
          <w:rFonts w:ascii="Times New Roman" w:hAnsi="Times New Roman" w:cs="Times New Roman"/>
          <w:sz w:val="24"/>
          <w:szCs w:val="24"/>
        </w:rPr>
        <w:t>,</w:t>
      </w:r>
      <w:r>
        <w:rPr>
          <w:rFonts w:ascii="Times New Roman" w:hAnsi="Times New Roman" w:cs="Times New Roman"/>
          <w:sz w:val="24"/>
          <w:szCs w:val="24"/>
        </w:rPr>
        <w:t xml:space="preserve"> &amp; Charrondière, U. R. (2019).</w:t>
      </w:r>
      <w:proofErr w:type="gramEnd"/>
      <w:r>
        <w:rPr>
          <w:rFonts w:ascii="Times New Roman" w:hAnsi="Times New Roman" w:cs="Times New Roman"/>
          <w:sz w:val="24"/>
          <w:szCs w:val="24"/>
        </w:rPr>
        <w:t xml:space="preserve"> Development of the FAO/INFOODS/IZINCG global food composition database for phytate. </w:t>
      </w:r>
      <w:r>
        <w:rPr>
          <w:rFonts w:ascii="Times New Roman" w:hAnsi="Times New Roman" w:cs="Times New Roman"/>
          <w:i/>
          <w:sz w:val="24"/>
          <w:szCs w:val="24"/>
        </w:rPr>
        <w:t>Journal of Food Composition and Analysis, 78</w:t>
      </w:r>
      <w:r>
        <w:rPr>
          <w:rFonts w:ascii="Times New Roman" w:hAnsi="Times New Roman" w:cs="Times New Roman"/>
          <w:sz w:val="24"/>
          <w:szCs w:val="24"/>
        </w:rPr>
        <w:t xml:space="preserve">, 42-48. </w:t>
      </w:r>
      <w:bookmarkEnd w:id="11"/>
    </w:p>
    <w:p w14:paraId="63F4EB9B" w14:textId="49F64D0F" w:rsidR="00406B68" w:rsidRDefault="001162EA">
      <w:pPr>
        <w:pStyle w:val="EndNoteBibliography"/>
        <w:spacing w:after="0" w:line="480" w:lineRule="auto"/>
        <w:jc w:val="both"/>
        <w:rPr>
          <w:rFonts w:ascii="Times New Roman" w:hAnsi="Times New Roman" w:cs="Times New Roman"/>
          <w:sz w:val="24"/>
          <w:szCs w:val="24"/>
        </w:rPr>
      </w:pPr>
      <w:bookmarkStart w:id="12" w:name="_ENREF_18"/>
      <w:proofErr w:type="gramStart"/>
      <w:r>
        <w:rPr>
          <w:rFonts w:ascii="Times New Roman" w:hAnsi="Times New Roman" w:cs="Times New Roman"/>
          <w:sz w:val="24"/>
          <w:szCs w:val="24"/>
        </w:rPr>
        <w:t>Duncan, R. S.</w:t>
      </w:r>
      <w:r w:rsidR="004D1E05">
        <w:rPr>
          <w:rFonts w:ascii="Times New Roman" w:hAnsi="Times New Roman" w:cs="Times New Roman"/>
          <w:sz w:val="24"/>
          <w:szCs w:val="24"/>
        </w:rPr>
        <w:t>,</w:t>
      </w:r>
      <w:r>
        <w:rPr>
          <w:rFonts w:ascii="Times New Roman" w:hAnsi="Times New Roman" w:cs="Times New Roman"/>
          <w:sz w:val="24"/>
          <w:szCs w:val="24"/>
        </w:rPr>
        <w:t xml:space="preserve"> &amp; Chapman, C. A. (1999).</w:t>
      </w:r>
      <w:proofErr w:type="gramEnd"/>
      <w:r>
        <w:rPr>
          <w:rFonts w:ascii="Times New Roman" w:hAnsi="Times New Roman" w:cs="Times New Roman"/>
          <w:sz w:val="24"/>
          <w:szCs w:val="24"/>
        </w:rPr>
        <w:t xml:space="preserve"> Seed dispersal and potential forest succession in abandoned agriculture in tropical Africa. </w:t>
      </w:r>
      <w:r>
        <w:rPr>
          <w:rFonts w:ascii="Times New Roman" w:hAnsi="Times New Roman" w:cs="Times New Roman"/>
          <w:i/>
          <w:sz w:val="24"/>
          <w:szCs w:val="24"/>
        </w:rPr>
        <w:t>Ecological applications, 9</w:t>
      </w:r>
      <w:r>
        <w:rPr>
          <w:rFonts w:ascii="Times New Roman" w:hAnsi="Times New Roman" w:cs="Times New Roman"/>
          <w:sz w:val="24"/>
          <w:szCs w:val="24"/>
        </w:rPr>
        <w:t xml:space="preserve">(3), 998-1008. </w:t>
      </w:r>
      <w:bookmarkEnd w:id="12"/>
    </w:p>
    <w:p w14:paraId="45FF94F1" w14:textId="77777777" w:rsidR="00406B68" w:rsidRDefault="001162EA">
      <w:pPr>
        <w:pStyle w:val="EndNoteBibliography"/>
        <w:spacing w:after="0" w:line="480" w:lineRule="auto"/>
        <w:jc w:val="both"/>
        <w:rPr>
          <w:rFonts w:ascii="Times New Roman" w:hAnsi="Times New Roman" w:cs="Times New Roman"/>
          <w:sz w:val="24"/>
          <w:szCs w:val="24"/>
        </w:rPr>
      </w:pPr>
      <w:bookmarkStart w:id="13" w:name="_ENREF_20"/>
      <w:r>
        <w:rPr>
          <w:rFonts w:ascii="Times New Roman" w:hAnsi="Times New Roman" w:cs="Times New Roman"/>
          <w:sz w:val="24"/>
          <w:szCs w:val="24"/>
        </w:rPr>
        <w:t xml:space="preserve">El-Siddig, K. (2006). </w:t>
      </w:r>
      <w:r>
        <w:rPr>
          <w:rFonts w:ascii="Times New Roman" w:hAnsi="Times New Roman" w:cs="Times New Roman"/>
          <w:i/>
          <w:sz w:val="24"/>
          <w:szCs w:val="24"/>
        </w:rPr>
        <w:t>Tamarind: Tamarindus Indica L</w:t>
      </w:r>
      <w:r>
        <w:rPr>
          <w:rFonts w:ascii="Times New Roman" w:hAnsi="Times New Roman" w:cs="Times New Roman"/>
          <w:sz w:val="24"/>
          <w:szCs w:val="24"/>
        </w:rPr>
        <w:t xml:space="preserve"> (Vol. 1): Crops for the Future.</w:t>
      </w:r>
      <w:bookmarkEnd w:id="13"/>
    </w:p>
    <w:p w14:paraId="7901B026" w14:textId="0CA4A59C" w:rsidR="00406B68" w:rsidRDefault="001162EA">
      <w:pPr>
        <w:pStyle w:val="EndNoteBibliography"/>
        <w:spacing w:after="0" w:line="480" w:lineRule="auto"/>
        <w:jc w:val="both"/>
        <w:rPr>
          <w:rFonts w:ascii="Times New Roman" w:hAnsi="Times New Roman" w:cs="Times New Roman"/>
          <w:sz w:val="24"/>
          <w:szCs w:val="24"/>
        </w:rPr>
      </w:pPr>
      <w:bookmarkStart w:id="14" w:name="_ENREF_21"/>
      <w:r>
        <w:rPr>
          <w:rFonts w:ascii="Times New Roman" w:hAnsi="Times New Roman" w:cs="Times New Roman"/>
          <w:sz w:val="24"/>
          <w:szCs w:val="24"/>
        </w:rPr>
        <w:t>Farinde, E. O. (2015)</w:t>
      </w:r>
      <w:r w:rsidR="004D1E05">
        <w:rPr>
          <w:rFonts w:ascii="Times New Roman" w:hAnsi="Times New Roman" w:cs="Times New Roman"/>
          <w:sz w:val="24"/>
          <w:szCs w:val="24"/>
        </w:rPr>
        <w:t>.</w:t>
      </w:r>
      <w:r>
        <w:rPr>
          <w:rFonts w:ascii="Times New Roman" w:hAnsi="Times New Roman" w:cs="Times New Roman"/>
          <w:sz w:val="24"/>
          <w:szCs w:val="24"/>
        </w:rPr>
        <w:t xml:space="preserve"> Chemical and sensory properties of sieved and unsieved fortified „ogi‟. </w:t>
      </w:r>
      <w:r>
        <w:rPr>
          <w:rFonts w:ascii="Times New Roman" w:hAnsi="Times New Roman" w:cs="Times New Roman"/>
          <w:i/>
          <w:sz w:val="24"/>
          <w:szCs w:val="24"/>
        </w:rPr>
        <w:t>Nat Sci, 13</w:t>
      </w:r>
      <w:r>
        <w:rPr>
          <w:rFonts w:ascii="Times New Roman" w:hAnsi="Times New Roman" w:cs="Times New Roman"/>
          <w:sz w:val="24"/>
          <w:szCs w:val="24"/>
        </w:rPr>
        <w:t xml:space="preserve">(1), 49-53. </w:t>
      </w:r>
      <w:bookmarkEnd w:id="14"/>
    </w:p>
    <w:p w14:paraId="50CF9066" w14:textId="77777777" w:rsidR="00406B68" w:rsidRDefault="001162EA">
      <w:pPr>
        <w:pStyle w:val="EndNoteBibliography"/>
        <w:spacing w:after="0" w:line="480" w:lineRule="auto"/>
        <w:jc w:val="both"/>
        <w:rPr>
          <w:rFonts w:ascii="Times New Roman" w:hAnsi="Times New Roman" w:cs="Times New Roman"/>
          <w:sz w:val="24"/>
          <w:szCs w:val="24"/>
        </w:rPr>
      </w:pPr>
      <w:bookmarkStart w:id="15" w:name="_ENREF_27"/>
      <w:r>
        <w:rPr>
          <w:rFonts w:ascii="Times New Roman" w:hAnsi="Times New Roman" w:cs="Times New Roman"/>
          <w:sz w:val="24"/>
          <w:szCs w:val="24"/>
        </w:rPr>
        <w:t xml:space="preserve">Hochberg-Garrett, H. F. (2008). </w:t>
      </w:r>
      <w:r>
        <w:rPr>
          <w:rFonts w:ascii="Times New Roman" w:hAnsi="Times New Roman" w:cs="Times New Roman"/>
          <w:i/>
          <w:sz w:val="24"/>
          <w:szCs w:val="24"/>
        </w:rPr>
        <w:t>The Skip To Breakfast project: Development, implementation, and feasibility evaluation of an intervention to increase healthful breakfast consumption among fifth grade students and their families.</w:t>
      </w:r>
      <w:r>
        <w:rPr>
          <w:rFonts w:ascii="Times New Roman" w:hAnsi="Times New Roman" w:cs="Times New Roman"/>
          <w:sz w:val="24"/>
          <w:szCs w:val="24"/>
        </w:rPr>
        <w:t xml:space="preserve"> The University of Texas School of Public Health.   </w:t>
      </w:r>
      <w:bookmarkEnd w:id="15"/>
    </w:p>
    <w:p w14:paraId="45E376CA" w14:textId="237200E1" w:rsidR="00406B68" w:rsidRDefault="001162EA">
      <w:pPr>
        <w:pStyle w:val="EndNoteBibliography"/>
        <w:spacing w:after="0" w:line="480" w:lineRule="auto"/>
        <w:jc w:val="both"/>
        <w:rPr>
          <w:rFonts w:ascii="Times New Roman" w:hAnsi="Times New Roman" w:cs="Times New Roman"/>
          <w:sz w:val="24"/>
          <w:szCs w:val="24"/>
        </w:rPr>
      </w:pPr>
      <w:bookmarkStart w:id="16" w:name="_ENREF_28"/>
      <w:proofErr w:type="gramStart"/>
      <w:r>
        <w:rPr>
          <w:rFonts w:ascii="Times New Roman" w:hAnsi="Times New Roman" w:cs="Times New Roman"/>
          <w:sz w:val="24"/>
          <w:szCs w:val="24"/>
        </w:rPr>
        <w:t>Howe, J. A.</w:t>
      </w:r>
      <w:r w:rsidR="004D1E05">
        <w:rPr>
          <w:rFonts w:ascii="Times New Roman" w:hAnsi="Times New Roman" w:cs="Times New Roman"/>
          <w:sz w:val="24"/>
          <w:szCs w:val="24"/>
        </w:rPr>
        <w:t>,</w:t>
      </w:r>
      <w:r>
        <w:rPr>
          <w:rFonts w:ascii="Times New Roman" w:hAnsi="Times New Roman" w:cs="Times New Roman"/>
          <w:sz w:val="24"/>
          <w:szCs w:val="24"/>
        </w:rPr>
        <w:t xml:space="preserve"> &amp; Tanumihardjo, S. A. (2006).</w:t>
      </w:r>
      <w:proofErr w:type="gramEnd"/>
      <w:r>
        <w:rPr>
          <w:rFonts w:ascii="Times New Roman" w:hAnsi="Times New Roman" w:cs="Times New Roman"/>
          <w:sz w:val="24"/>
          <w:szCs w:val="24"/>
        </w:rPr>
        <w:t xml:space="preserve"> Evaluation of analytical methods for carotenoid extraction from biofortified maize (Zea mays sp.). </w:t>
      </w:r>
      <w:r>
        <w:rPr>
          <w:rFonts w:ascii="Times New Roman" w:hAnsi="Times New Roman" w:cs="Times New Roman"/>
          <w:i/>
          <w:sz w:val="24"/>
          <w:szCs w:val="24"/>
        </w:rPr>
        <w:t>Journal of Agricultural and Food Chemistry, 54</w:t>
      </w:r>
      <w:r>
        <w:rPr>
          <w:rFonts w:ascii="Times New Roman" w:hAnsi="Times New Roman" w:cs="Times New Roman"/>
          <w:sz w:val="24"/>
          <w:szCs w:val="24"/>
        </w:rPr>
        <w:t xml:space="preserve">(21), 7992-7997. </w:t>
      </w:r>
      <w:bookmarkEnd w:id="16"/>
    </w:p>
    <w:p w14:paraId="42510623" w14:textId="67987BD9" w:rsidR="00406B68" w:rsidRDefault="001162EA">
      <w:pPr>
        <w:pStyle w:val="EndNoteBibliography"/>
        <w:spacing w:after="0" w:line="480" w:lineRule="auto"/>
        <w:jc w:val="both"/>
        <w:rPr>
          <w:rFonts w:ascii="Times New Roman" w:hAnsi="Times New Roman" w:cs="Times New Roman"/>
          <w:sz w:val="24"/>
          <w:szCs w:val="24"/>
        </w:rPr>
      </w:pPr>
      <w:bookmarkStart w:id="17" w:name="_ENREF_30"/>
      <w:proofErr w:type="gramStart"/>
      <w:r>
        <w:rPr>
          <w:rFonts w:ascii="Times New Roman" w:hAnsi="Times New Roman" w:cs="Times New Roman"/>
          <w:sz w:val="24"/>
          <w:szCs w:val="24"/>
        </w:rPr>
        <w:t>Ilelaboye, N., Amoo, I.</w:t>
      </w:r>
      <w:r w:rsidR="004D1E05">
        <w:rPr>
          <w:rFonts w:ascii="Times New Roman" w:hAnsi="Times New Roman" w:cs="Times New Roman"/>
          <w:sz w:val="24"/>
          <w:szCs w:val="24"/>
        </w:rPr>
        <w:t>,</w:t>
      </w:r>
      <w:r>
        <w:rPr>
          <w:rFonts w:ascii="Times New Roman" w:hAnsi="Times New Roman" w:cs="Times New Roman"/>
          <w:sz w:val="24"/>
          <w:szCs w:val="24"/>
        </w:rPr>
        <w:t xml:space="preserve"> &amp; Pikuda, O. (2013).</w:t>
      </w:r>
      <w:proofErr w:type="gramEnd"/>
      <w:r>
        <w:rPr>
          <w:rFonts w:ascii="Times New Roman" w:hAnsi="Times New Roman" w:cs="Times New Roman"/>
          <w:sz w:val="24"/>
          <w:szCs w:val="24"/>
        </w:rPr>
        <w:t xml:space="preserve"> Effect of cooking methods on mineral and anti nutrient composition of some green leafy vegetables. </w:t>
      </w:r>
      <w:r>
        <w:rPr>
          <w:rFonts w:ascii="Times New Roman" w:hAnsi="Times New Roman" w:cs="Times New Roman"/>
          <w:i/>
          <w:sz w:val="24"/>
          <w:szCs w:val="24"/>
        </w:rPr>
        <w:t>Archives of Applied science research, 5</w:t>
      </w:r>
      <w:r>
        <w:rPr>
          <w:rFonts w:ascii="Times New Roman" w:hAnsi="Times New Roman" w:cs="Times New Roman"/>
          <w:sz w:val="24"/>
          <w:szCs w:val="24"/>
        </w:rPr>
        <w:t xml:space="preserve">(3), 254-260. </w:t>
      </w:r>
      <w:bookmarkEnd w:id="17"/>
    </w:p>
    <w:p w14:paraId="396555FD" w14:textId="5FD411F1" w:rsidR="00406B68" w:rsidRDefault="001162EA">
      <w:pPr>
        <w:pStyle w:val="EndNoteBibliography"/>
        <w:spacing w:after="0" w:line="480" w:lineRule="auto"/>
        <w:jc w:val="both"/>
        <w:rPr>
          <w:rFonts w:ascii="Times New Roman" w:hAnsi="Times New Roman" w:cs="Times New Roman"/>
          <w:sz w:val="24"/>
          <w:szCs w:val="24"/>
        </w:rPr>
      </w:pPr>
      <w:bookmarkStart w:id="18" w:name="_ENREF_32"/>
      <w:r>
        <w:rPr>
          <w:rFonts w:ascii="Times New Roman" w:hAnsi="Times New Roman" w:cs="Times New Roman"/>
          <w:sz w:val="24"/>
          <w:szCs w:val="24"/>
        </w:rPr>
        <w:lastRenderedPageBreak/>
        <w:t>King, D. E., Mainous, A. G., Geesey, M. E.</w:t>
      </w:r>
      <w:r w:rsidR="004D1E05">
        <w:rPr>
          <w:rFonts w:ascii="Times New Roman" w:hAnsi="Times New Roman" w:cs="Times New Roman"/>
          <w:sz w:val="24"/>
          <w:szCs w:val="24"/>
        </w:rPr>
        <w:t>,</w:t>
      </w:r>
      <w:r>
        <w:rPr>
          <w:rFonts w:ascii="Times New Roman" w:hAnsi="Times New Roman" w:cs="Times New Roman"/>
          <w:sz w:val="24"/>
          <w:szCs w:val="24"/>
        </w:rPr>
        <w:t xml:space="preserve"> &amp; Woolson, R. F. (2005). Dietary magnesium and C-reactive protein levels. </w:t>
      </w:r>
      <w:r>
        <w:rPr>
          <w:rFonts w:ascii="Times New Roman" w:hAnsi="Times New Roman" w:cs="Times New Roman"/>
          <w:i/>
          <w:sz w:val="24"/>
          <w:szCs w:val="24"/>
        </w:rPr>
        <w:t>Journal of the American College of Nutrition, 24</w:t>
      </w:r>
      <w:r>
        <w:rPr>
          <w:rFonts w:ascii="Times New Roman" w:hAnsi="Times New Roman" w:cs="Times New Roman"/>
          <w:sz w:val="24"/>
          <w:szCs w:val="24"/>
        </w:rPr>
        <w:t xml:space="preserve">(3), 166-171. </w:t>
      </w:r>
      <w:bookmarkEnd w:id="18"/>
    </w:p>
    <w:p w14:paraId="7FA0AC9D" w14:textId="65C129C8" w:rsidR="00406B68" w:rsidRDefault="001162EA">
      <w:pPr>
        <w:pStyle w:val="EndNoteBibliography"/>
        <w:spacing w:after="0" w:line="480" w:lineRule="auto"/>
        <w:jc w:val="both"/>
        <w:rPr>
          <w:rFonts w:ascii="Times New Roman" w:hAnsi="Times New Roman" w:cs="Times New Roman"/>
          <w:sz w:val="24"/>
          <w:szCs w:val="24"/>
        </w:rPr>
      </w:pPr>
      <w:bookmarkStart w:id="19" w:name="_ENREF_36"/>
      <w:proofErr w:type="gramStart"/>
      <w:r>
        <w:rPr>
          <w:rFonts w:ascii="Times New Roman" w:hAnsi="Times New Roman" w:cs="Times New Roman"/>
          <w:sz w:val="24"/>
          <w:szCs w:val="24"/>
        </w:rPr>
        <w:t>Mboya, R., Tongoona, P., Derera, J., Mudhara, M.</w:t>
      </w:r>
      <w:r w:rsidR="004D1E05">
        <w:rPr>
          <w:rFonts w:ascii="Times New Roman" w:hAnsi="Times New Roman" w:cs="Times New Roman"/>
          <w:sz w:val="24"/>
          <w:szCs w:val="24"/>
        </w:rPr>
        <w:t>,</w:t>
      </w:r>
      <w:r>
        <w:rPr>
          <w:rFonts w:ascii="Times New Roman" w:hAnsi="Times New Roman" w:cs="Times New Roman"/>
          <w:sz w:val="24"/>
          <w:szCs w:val="24"/>
        </w:rPr>
        <w:t xml:space="preserve"> &amp; Langyintuo, A. (2011).</w:t>
      </w:r>
      <w:proofErr w:type="gramEnd"/>
      <w:r>
        <w:rPr>
          <w:rFonts w:ascii="Times New Roman" w:hAnsi="Times New Roman" w:cs="Times New Roman"/>
          <w:sz w:val="24"/>
          <w:szCs w:val="24"/>
        </w:rPr>
        <w:t xml:space="preserve"> The dietary importance of maize in Katumba ward, Rungwe district, Tanzania, and its contribution to household food security. </w:t>
      </w:r>
      <w:r>
        <w:rPr>
          <w:rFonts w:ascii="Times New Roman" w:hAnsi="Times New Roman" w:cs="Times New Roman"/>
          <w:i/>
          <w:sz w:val="24"/>
          <w:szCs w:val="24"/>
        </w:rPr>
        <w:t>African Journal of Agricultural Research, 6</w:t>
      </w:r>
      <w:r>
        <w:rPr>
          <w:rFonts w:ascii="Times New Roman" w:hAnsi="Times New Roman" w:cs="Times New Roman"/>
          <w:sz w:val="24"/>
          <w:szCs w:val="24"/>
        </w:rPr>
        <w:t xml:space="preserve">(11), 2617-2626. </w:t>
      </w:r>
      <w:bookmarkEnd w:id="19"/>
    </w:p>
    <w:p w14:paraId="520AFDD8" w14:textId="3E6CD8B0" w:rsidR="00406B68" w:rsidRDefault="001162EA">
      <w:pPr>
        <w:pStyle w:val="EndNoteBibliography"/>
        <w:spacing w:after="0" w:line="480" w:lineRule="auto"/>
        <w:jc w:val="both"/>
        <w:rPr>
          <w:rFonts w:ascii="Times New Roman" w:hAnsi="Times New Roman" w:cs="Times New Roman"/>
          <w:sz w:val="24"/>
          <w:szCs w:val="24"/>
        </w:rPr>
      </w:pPr>
      <w:bookmarkStart w:id="20" w:name="_ENREF_39"/>
      <w:proofErr w:type="gramStart"/>
      <w:r>
        <w:rPr>
          <w:rFonts w:ascii="Times New Roman" w:hAnsi="Times New Roman" w:cs="Times New Roman"/>
          <w:sz w:val="24"/>
          <w:szCs w:val="24"/>
        </w:rPr>
        <w:t xml:space="preserve">Nestel, P., Bouis, H. E., </w:t>
      </w:r>
      <w:proofErr w:type="spellStart"/>
      <w:r>
        <w:rPr>
          <w:rFonts w:ascii="Times New Roman" w:hAnsi="Times New Roman" w:cs="Times New Roman"/>
          <w:sz w:val="24"/>
          <w:szCs w:val="24"/>
        </w:rPr>
        <w:t>Meenakshi</w:t>
      </w:r>
      <w:proofErr w:type="spellEnd"/>
      <w:r>
        <w:rPr>
          <w:rFonts w:ascii="Times New Roman" w:hAnsi="Times New Roman" w:cs="Times New Roman"/>
          <w:sz w:val="24"/>
          <w:szCs w:val="24"/>
        </w:rPr>
        <w:t>, J.</w:t>
      </w:r>
      <w:r w:rsidR="004D1E05">
        <w:rPr>
          <w:rFonts w:ascii="Times New Roman" w:hAnsi="Times New Roman" w:cs="Times New Roman"/>
          <w:sz w:val="24"/>
          <w:szCs w:val="24"/>
        </w:rPr>
        <w:t>,</w:t>
      </w:r>
      <w:r>
        <w:rPr>
          <w:rFonts w:ascii="Times New Roman" w:hAnsi="Times New Roman" w:cs="Times New Roman"/>
          <w:sz w:val="24"/>
          <w:szCs w:val="24"/>
        </w:rPr>
        <w:t xml:space="preserve"> &amp; Pfeiffer, W. (2006).</w:t>
      </w:r>
      <w:proofErr w:type="gramEnd"/>
      <w:r>
        <w:rPr>
          <w:rFonts w:ascii="Times New Roman" w:hAnsi="Times New Roman" w:cs="Times New Roman"/>
          <w:sz w:val="24"/>
          <w:szCs w:val="24"/>
        </w:rPr>
        <w:t xml:space="preserve"> Biofortification of staple food crops. </w:t>
      </w:r>
      <w:r>
        <w:rPr>
          <w:rFonts w:ascii="Times New Roman" w:hAnsi="Times New Roman" w:cs="Times New Roman"/>
          <w:i/>
          <w:sz w:val="24"/>
          <w:szCs w:val="24"/>
        </w:rPr>
        <w:t>The Journal of nutrition, 136</w:t>
      </w:r>
      <w:r>
        <w:rPr>
          <w:rFonts w:ascii="Times New Roman" w:hAnsi="Times New Roman" w:cs="Times New Roman"/>
          <w:sz w:val="24"/>
          <w:szCs w:val="24"/>
        </w:rPr>
        <w:t xml:space="preserve">(4), 1064-1067. </w:t>
      </w:r>
      <w:bookmarkEnd w:id="20"/>
    </w:p>
    <w:p w14:paraId="0AB91639" w14:textId="70C1BB84" w:rsidR="00406B68" w:rsidRDefault="001162EA">
      <w:pPr>
        <w:pStyle w:val="EndNoteBibliography"/>
        <w:spacing w:after="0" w:line="480" w:lineRule="auto"/>
        <w:jc w:val="both"/>
        <w:rPr>
          <w:rFonts w:ascii="Times New Roman" w:hAnsi="Times New Roman" w:cs="Times New Roman"/>
          <w:sz w:val="24"/>
          <w:szCs w:val="24"/>
        </w:rPr>
      </w:pPr>
      <w:bookmarkStart w:id="21" w:name="_ENREF_40"/>
      <w:proofErr w:type="gramStart"/>
      <w:r>
        <w:rPr>
          <w:rFonts w:ascii="Times New Roman" w:hAnsi="Times New Roman" w:cs="Times New Roman"/>
          <w:sz w:val="24"/>
          <w:szCs w:val="24"/>
        </w:rPr>
        <w:t>Nwokoro, O.</w:t>
      </w:r>
      <w:r w:rsidR="004D1E05">
        <w:rPr>
          <w:rFonts w:ascii="Times New Roman" w:hAnsi="Times New Roman" w:cs="Times New Roman"/>
          <w:sz w:val="24"/>
          <w:szCs w:val="24"/>
        </w:rPr>
        <w:t>,</w:t>
      </w:r>
      <w:r>
        <w:rPr>
          <w:rFonts w:ascii="Times New Roman" w:hAnsi="Times New Roman" w:cs="Times New Roman"/>
          <w:sz w:val="24"/>
          <w:szCs w:val="24"/>
        </w:rPr>
        <w:t xml:space="preserve"> &amp; Chukwu, B. C. (2012).</w:t>
      </w:r>
      <w:proofErr w:type="gramEnd"/>
      <w:r>
        <w:rPr>
          <w:rFonts w:ascii="Times New Roman" w:hAnsi="Times New Roman" w:cs="Times New Roman"/>
          <w:sz w:val="24"/>
          <w:szCs w:val="24"/>
        </w:rPr>
        <w:t xml:space="preserve"> Studies on Akamu, a traditional fermented maize food. </w:t>
      </w:r>
      <w:r>
        <w:rPr>
          <w:rFonts w:ascii="Times New Roman" w:hAnsi="Times New Roman" w:cs="Times New Roman"/>
          <w:i/>
          <w:sz w:val="24"/>
          <w:szCs w:val="24"/>
        </w:rPr>
        <w:t>Revista Chilena de Nutrición, 39</w:t>
      </w:r>
      <w:r>
        <w:rPr>
          <w:rFonts w:ascii="Times New Roman" w:hAnsi="Times New Roman" w:cs="Times New Roman"/>
          <w:sz w:val="24"/>
          <w:szCs w:val="24"/>
        </w:rPr>
        <w:t xml:space="preserve">(4), 180-184. </w:t>
      </w:r>
      <w:bookmarkEnd w:id="21"/>
    </w:p>
    <w:p w14:paraId="79963882" w14:textId="5343A027" w:rsidR="00406B68" w:rsidRDefault="001162EA">
      <w:pPr>
        <w:pStyle w:val="EndNoteBibliography"/>
        <w:spacing w:after="0" w:line="480" w:lineRule="auto"/>
        <w:jc w:val="both"/>
        <w:rPr>
          <w:rFonts w:ascii="Times New Roman" w:hAnsi="Times New Roman" w:cs="Times New Roman"/>
          <w:sz w:val="24"/>
          <w:szCs w:val="24"/>
        </w:rPr>
      </w:pPr>
      <w:bookmarkStart w:id="22" w:name="_ENREF_41"/>
      <w:proofErr w:type="gramStart"/>
      <w:r>
        <w:rPr>
          <w:rFonts w:ascii="Times New Roman" w:hAnsi="Times New Roman" w:cs="Times New Roman"/>
          <w:sz w:val="24"/>
          <w:szCs w:val="24"/>
        </w:rPr>
        <w:t>Obinna‐Echem, P. C., Kuri, V.</w:t>
      </w:r>
      <w:r w:rsidR="004D1E05">
        <w:rPr>
          <w:rFonts w:ascii="Times New Roman" w:hAnsi="Times New Roman" w:cs="Times New Roman"/>
          <w:sz w:val="24"/>
          <w:szCs w:val="24"/>
        </w:rPr>
        <w:t>,</w:t>
      </w:r>
      <w:r>
        <w:rPr>
          <w:rFonts w:ascii="Times New Roman" w:hAnsi="Times New Roman" w:cs="Times New Roman"/>
          <w:sz w:val="24"/>
          <w:szCs w:val="24"/>
        </w:rPr>
        <w:t xml:space="preserve"> &amp; Beal, J. (2014).</w:t>
      </w:r>
      <w:proofErr w:type="gramEnd"/>
      <w:r>
        <w:rPr>
          <w:rFonts w:ascii="Times New Roman" w:hAnsi="Times New Roman" w:cs="Times New Roman"/>
          <w:sz w:val="24"/>
          <w:szCs w:val="24"/>
        </w:rPr>
        <w:t xml:space="preserve"> Evaluation of the microbial community, acidity and proximate composition of akamu, a fermented maize food. </w:t>
      </w:r>
      <w:r>
        <w:rPr>
          <w:rFonts w:ascii="Times New Roman" w:hAnsi="Times New Roman" w:cs="Times New Roman"/>
          <w:i/>
          <w:sz w:val="24"/>
          <w:szCs w:val="24"/>
        </w:rPr>
        <w:t>Journal of the Science of Food and Agriculture, 94</w:t>
      </w:r>
      <w:r>
        <w:rPr>
          <w:rFonts w:ascii="Times New Roman" w:hAnsi="Times New Roman" w:cs="Times New Roman"/>
          <w:sz w:val="24"/>
          <w:szCs w:val="24"/>
        </w:rPr>
        <w:t xml:space="preserve">(2), 331-340. </w:t>
      </w:r>
      <w:bookmarkEnd w:id="22"/>
    </w:p>
    <w:p w14:paraId="1302CF16" w14:textId="24FE19D4" w:rsidR="00406B68" w:rsidRDefault="001162EA">
      <w:pPr>
        <w:pStyle w:val="EndNoteBibliography"/>
        <w:spacing w:after="0" w:line="480" w:lineRule="auto"/>
        <w:jc w:val="both"/>
        <w:rPr>
          <w:rFonts w:ascii="Times New Roman" w:hAnsi="Times New Roman" w:cs="Times New Roman"/>
          <w:sz w:val="24"/>
          <w:szCs w:val="24"/>
        </w:rPr>
      </w:pPr>
      <w:bookmarkStart w:id="23" w:name="_ENREF_42"/>
      <w:proofErr w:type="gramStart"/>
      <w:r>
        <w:rPr>
          <w:rFonts w:ascii="Times New Roman" w:hAnsi="Times New Roman" w:cs="Times New Roman"/>
          <w:sz w:val="24"/>
          <w:szCs w:val="24"/>
        </w:rPr>
        <w:t>Odugbemi, T., Odujinrin, O., Akitoye, C., Oyerinde, J.</w:t>
      </w:r>
      <w:r w:rsidR="00787076">
        <w:rPr>
          <w:rFonts w:ascii="Times New Roman" w:hAnsi="Times New Roman" w:cs="Times New Roman"/>
          <w:sz w:val="24"/>
          <w:szCs w:val="24"/>
        </w:rPr>
        <w:t>,</w:t>
      </w:r>
      <w:r>
        <w:rPr>
          <w:rFonts w:ascii="Times New Roman" w:hAnsi="Times New Roman" w:cs="Times New Roman"/>
          <w:sz w:val="24"/>
          <w:szCs w:val="24"/>
        </w:rPr>
        <w:t xml:space="preserve"> &amp; Esumeh, F. (1991).</w:t>
      </w:r>
      <w:proofErr w:type="gramEnd"/>
      <w:r>
        <w:rPr>
          <w:rFonts w:ascii="Times New Roman" w:hAnsi="Times New Roman" w:cs="Times New Roman"/>
          <w:sz w:val="24"/>
          <w:szCs w:val="24"/>
        </w:rPr>
        <w:t xml:space="preserve"> Study on the pH of ogi, Nigerian fermented weaning food, and its effect on enteropathogenic Escherichia coli, Salmonella typhi and Salmonella paratyphi. </w:t>
      </w:r>
      <w:r>
        <w:rPr>
          <w:rFonts w:ascii="Times New Roman" w:hAnsi="Times New Roman" w:cs="Times New Roman"/>
          <w:i/>
          <w:sz w:val="24"/>
          <w:szCs w:val="24"/>
        </w:rPr>
        <w:t>The Journal of tropical medicine and hygiene, 94</w:t>
      </w:r>
      <w:r>
        <w:rPr>
          <w:rFonts w:ascii="Times New Roman" w:hAnsi="Times New Roman" w:cs="Times New Roman"/>
          <w:sz w:val="24"/>
          <w:szCs w:val="24"/>
        </w:rPr>
        <w:t xml:space="preserve">(4), 219-223. </w:t>
      </w:r>
      <w:bookmarkEnd w:id="23"/>
    </w:p>
    <w:p w14:paraId="6DCF3C35" w14:textId="4331A385" w:rsidR="00406B68" w:rsidRDefault="001162EA">
      <w:pPr>
        <w:pStyle w:val="EndNoteBibliography"/>
        <w:spacing w:after="0" w:line="480" w:lineRule="auto"/>
        <w:jc w:val="both"/>
        <w:rPr>
          <w:rFonts w:ascii="Times New Roman" w:hAnsi="Times New Roman" w:cs="Times New Roman"/>
          <w:sz w:val="24"/>
          <w:szCs w:val="24"/>
        </w:rPr>
      </w:pPr>
      <w:bookmarkStart w:id="24" w:name="_ENREF_44"/>
      <w:proofErr w:type="gramStart"/>
      <w:r>
        <w:rPr>
          <w:rFonts w:ascii="Times New Roman" w:hAnsi="Times New Roman" w:cs="Times New Roman"/>
          <w:sz w:val="24"/>
          <w:szCs w:val="24"/>
        </w:rPr>
        <w:t xml:space="preserve">Olayiwola, J. O., </w:t>
      </w:r>
      <w:proofErr w:type="spellStart"/>
      <w:r>
        <w:rPr>
          <w:rFonts w:ascii="Times New Roman" w:hAnsi="Times New Roman" w:cs="Times New Roman"/>
          <w:sz w:val="24"/>
          <w:szCs w:val="24"/>
        </w:rPr>
        <w:t>Inyang</w:t>
      </w:r>
      <w:proofErr w:type="spellEnd"/>
      <w:r>
        <w:rPr>
          <w:rFonts w:ascii="Times New Roman" w:hAnsi="Times New Roman" w:cs="Times New Roman"/>
          <w:sz w:val="24"/>
          <w:szCs w:val="24"/>
        </w:rPr>
        <w:t>, V.</w:t>
      </w:r>
      <w:r w:rsidR="00787076">
        <w:rPr>
          <w:rFonts w:ascii="Times New Roman" w:hAnsi="Times New Roman" w:cs="Times New Roman"/>
          <w:sz w:val="24"/>
          <w:szCs w:val="24"/>
        </w:rPr>
        <w:t>,</w:t>
      </w:r>
      <w:r>
        <w:rPr>
          <w:rFonts w:ascii="Times New Roman" w:hAnsi="Times New Roman" w:cs="Times New Roman"/>
          <w:sz w:val="24"/>
          <w:szCs w:val="24"/>
        </w:rPr>
        <w:t xml:space="preserve"> &amp; Bello, M. A. (2017).</w:t>
      </w:r>
      <w:proofErr w:type="gramEnd"/>
      <w:r>
        <w:rPr>
          <w:rFonts w:ascii="Times New Roman" w:hAnsi="Times New Roman" w:cs="Times New Roman"/>
          <w:sz w:val="24"/>
          <w:szCs w:val="24"/>
        </w:rPr>
        <w:t xml:space="preserve"> Bacteriological and proximate evaluation of ginger-fortified fermented Maize (OGI). </w:t>
      </w:r>
      <w:r>
        <w:rPr>
          <w:rFonts w:ascii="Times New Roman" w:hAnsi="Times New Roman" w:cs="Times New Roman"/>
          <w:i/>
          <w:sz w:val="24"/>
          <w:szCs w:val="24"/>
        </w:rPr>
        <w:t>Am. J. Food Technol, 12</w:t>
      </w:r>
      <w:r>
        <w:rPr>
          <w:rFonts w:ascii="Times New Roman" w:hAnsi="Times New Roman" w:cs="Times New Roman"/>
          <w:sz w:val="24"/>
          <w:szCs w:val="24"/>
        </w:rPr>
        <w:t xml:space="preserve">, 374-378. </w:t>
      </w:r>
      <w:bookmarkEnd w:id="24"/>
    </w:p>
    <w:p w14:paraId="4245A674" w14:textId="625B066C" w:rsidR="00406B68" w:rsidRDefault="001162EA">
      <w:pPr>
        <w:pStyle w:val="EndNoteBibliography"/>
        <w:spacing w:after="0" w:line="480" w:lineRule="auto"/>
        <w:jc w:val="both"/>
        <w:rPr>
          <w:rFonts w:ascii="Times New Roman" w:hAnsi="Times New Roman" w:cs="Times New Roman"/>
          <w:sz w:val="24"/>
          <w:szCs w:val="24"/>
        </w:rPr>
      </w:pPr>
      <w:bookmarkStart w:id="25" w:name="_ENREF_46"/>
      <w:proofErr w:type="gramStart"/>
      <w:r>
        <w:rPr>
          <w:rFonts w:ascii="Times New Roman" w:hAnsi="Times New Roman" w:cs="Times New Roman"/>
          <w:sz w:val="24"/>
          <w:szCs w:val="24"/>
        </w:rPr>
        <w:t xml:space="preserve">Ortiz, D., Nkhata, S. G., </w:t>
      </w:r>
      <w:proofErr w:type="spellStart"/>
      <w:r>
        <w:rPr>
          <w:rFonts w:ascii="Times New Roman" w:hAnsi="Times New Roman" w:cs="Times New Roman"/>
          <w:sz w:val="24"/>
          <w:szCs w:val="24"/>
        </w:rPr>
        <w:t>Rocheford</w:t>
      </w:r>
      <w:proofErr w:type="spellEnd"/>
      <w:r>
        <w:rPr>
          <w:rFonts w:ascii="Times New Roman" w:hAnsi="Times New Roman" w:cs="Times New Roman"/>
          <w:sz w:val="24"/>
          <w:szCs w:val="24"/>
        </w:rPr>
        <w:t>, T.</w:t>
      </w:r>
      <w:r w:rsidR="00787076">
        <w:rPr>
          <w:rFonts w:ascii="Times New Roman" w:hAnsi="Times New Roman" w:cs="Times New Roman"/>
          <w:sz w:val="24"/>
          <w:szCs w:val="24"/>
        </w:rPr>
        <w:t>,</w:t>
      </w:r>
      <w:r>
        <w:rPr>
          <w:rFonts w:ascii="Times New Roman" w:hAnsi="Times New Roman" w:cs="Times New Roman"/>
          <w:sz w:val="24"/>
          <w:szCs w:val="24"/>
        </w:rPr>
        <w:t xml:space="preserve"> &amp; Ferruzzi, M. G. (2019).</w:t>
      </w:r>
      <w:proofErr w:type="gramEnd"/>
      <w:r>
        <w:rPr>
          <w:rFonts w:ascii="Times New Roman" w:hAnsi="Times New Roman" w:cs="Times New Roman"/>
          <w:sz w:val="24"/>
          <w:szCs w:val="24"/>
        </w:rPr>
        <w:t xml:space="preserve"> Steeping of Biofortified Orange Maize Genotypes for Ogi Production Modifies Pasting Properties and Carotenoid Stability. </w:t>
      </w:r>
      <w:r>
        <w:rPr>
          <w:rFonts w:ascii="Times New Roman" w:hAnsi="Times New Roman" w:cs="Times New Roman"/>
          <w:i/>
          <w:sz w:val="24"/>
          <w:szCs w:val="24"/>
        </w:rPr>
        <w:t>Agronomy, 9</w:t>
      </w:r>
      <w:r>
        <w:rPr>
          <w:rFonts w:ascii="Times New Roman" w:hAnsi="Times New Roman" w:cs="Times New Roman"/>
          <w:sz w:val="24"/>
          <w:szCs w:val="24"/>
        </w:rPr>
        <w:t xml:space="preserve">(11), 771. </w:t>
      </w:r>
      <w:bookmarkEnd w:id="25"/>
    </w:p>
    <w:p w14:paraId="050F8AE2" w14:textId="77777777" w:rsidR="00406B68" w:rsidRDefault="001162EA">
      <w:pPr>
        <w:pStyle w:val="EndNoteBibliography"/>
        <w:spacing w:after="0" w:line="480" w:lineRule="auto"/>
        <w:jc w:val="both"/>
        <w:rPr>
          <w:rFonts w:ascii="Times New Roman" w:hAnsi="Times New Roman" w:cs="Times New Roman"/>
          <w:sz w:val="24"/>
          <w:szCs w:val="24"/>
        </w:rPr>
      </w:pPr>
      <w:bookmarkStart w:id="26" w:name="_ENREF_47"/>
      <w:r>
        <w:rPr>
          <w:rFonts w:ascii="Times New Roman" w:hAnsi="Times New Roman" w:cs="Times New Roman"/>
          <w:sz w:val="24"/>
          <w:szCs w:val="24"/>
        </w:rPr>
        <w:t xml:space="preserve">Oyarekua, M. (2011). Evaluation of the nutritional and microbiological status of co-fermented cereals/cowpea ‘OGI’. </w:t>
      </w:r>
      <w:r>
        <w:rPr>
          <w:rFonts w:ascii="Times New Roman" w:hAnsi="Times New Roman" w:cs="Times New Roman"/>
          <w:i/>
          <w:sz w:val="24"/>
          <w:szCs w:val="24"/>
        </w:rPr>
        <w:t>Agriculture and Biology Journal of North America, 2</w:t>
      </w:r>
      <w:r>
        <w:rPr>
          <w:rFonts w:ascii="Times New Roman" w:hAnsi="Times New Roman" w:cs="Times New Roman"/>
          <w:sz w:val="24"/>
          <w:szCs w:val="24"/>
        </w:rPr>
        <w:t xml:space="preserve">(1), 61-73. </w:t>
      </w:r>
      <w:bookmarkEnd w:id="26"/>
    </w:p>
    <w:p w14:paraId="404FB24E" w14:textId="591246A8" w:rsidR="00406B68" w:rsidRDefault="001162EA">
      <w:pPr>
        <w:pStyle w:val="EndNoteBibliography"/>
        <w:spacing w:after="0" w:line="480" w:lineRule="auto"/>
        <w:jc w:val="both"/>
        <w:rPr>
          <w:rFonts w:ascii="Times New Roman" w:hAnsi="Times New Roman" w:cs="Times New Roman"/>
          <w:sz w:val="24"/>
          <w:szCs w:val="24"/>
        </w:rPr>
      </w:pPr>
      <w:bookmarkStart w:id="27" w:name="_ENREF_50"/>
      <w:proofErr w:type="gramStart"/>
      <w:r>
        <w:rPr>
          <w:rFonts w:ascii="Times New Roman" w:hAnsi="Times New Roman" w:cs="Times New Roman"/>
          <w:sz w:val="24"/>
          <w:szCs w:val="24"/>
        </w:rPr>
        <w:t>Rao, Y. S.</w:t>
      </w:r>
      <w:r w:rsidR="00787076">
        <w:rPr>
          <w:rFonts w:ascii="Times New Roman" w:hAnsi="Times New Roman" w:cs="Times New Roman"/>
          <w:sz w:val="24"/>
          <w:szCs w:val="24"/>
        </w:rPr>
        <w:t>,</w:t>
      </w:r>
      <w:r>
        <w:rPr>
          <w:rFonts w:ascii="Times New Roman" w:hAnsi="Times New Roman" w:cs="Times New Roman"/>
          <w:sz w:val="24"/>
          <w:szCs w:val="24"/>
        </w:rPr>
        <w:t xml:space="preserve"> &amp; Mathew, K. M. (2012).</w:t>
      </w:r>
      <w:proofErr w:type="gramEnd"/>
      <w:r>
        <w:rPr>
          <w:rFonts w:ascii="Times New Roman" w:hAnsi="Times New Roman" w:cs="Times New Roman"/>
          <w:sz w:val="24"/>
          <w:szCs w:val="24"/>
        </w:rPr>
        <w:t xml:space="preserve"> Tamarind </w:t>
      </w:r>
      <w:r>
        <w:rPr>
          <w:rFonts w:ascii="Times New Roman" w:hAnsi="Times New Roman" w:cs="Times New Roman"/>
          <w:i/>
          <w:sz w:val="24"/>
          <w:szCs w:val="24"/>
        </w:rPr>
        <w:t>Handbook of Herbs and Spices</w:t>
      </w:r>
      <w:r>
        <w:rPr>
          <w:rFonts w:ascii="Times New Roman" w:hAnsi="Times New Roman" w:cs="Times New Roman"/>
          <w:sz w:val="24"/>
          <w:szCs w:val="24"/>
        </w:rPr>
        <w:t xml:space="preserve"> (pp. 512-533): Elsevier.</w:t>
      </w:r>
      <w:bookmarkEnd w:id="27"/>
    </w:p>
    <w:p w14:paraId="4C7828A3" w14:textId="77777777" w:rsidR="00406B68" w:rsidRDefault="001162EA">
      <w:pPr>
        <w:pStyle w:val="EndNoteBibliography"/>
        <w:spacing w:after="0" w:line="480" w:lineRule="auto"/>
        <w:jc w:val="both"/>
        <w:rPr>
          <w:rFonts w:ascii="Times New Roman" w:hAnsi="Times New Roman" w:cs="Times New Roman"/>
          <w:sz w:val="24"/>
          <w:szCs w:val="24"/>
        </w:rPr>
      </w:pPr>
      <w:bookmarkStart w:id="28" w:name="_ENREF_55"/>
      <w:r>
        <w:rPr>
          <w:rFonts w:ascii="Times New Roman" w:hAnsi="Times New Roman" w:cs="Times New Roman"/>
          <w:sz w:val="24"/>
          <w:szCs w:val="24"/>
        </w:rPr>
        <w:t xml:space="preserve">Shankaracharya, N. (1998). Tamarind-chemistry, technology and uses-a critical appraisal. </w:t>
      </w:r>
      <w:r>
        <w:rPr>
          <w:rFonts w:ascii="Times New Roman" w:hAnsi="Times New Roman" w:cs="Times New Roman"/>
          <w:i/>
          <w:sz w:val="24"/>
          <w:szCs w:val="24"/>
        </w:rPr>
        <w:t>Journal of Food Science and Technology, 35</w:t>
      </w:r>
      <w:r>
        <w:rPr>
          <w:rFonts w:ascii="Times New Roman" w:hAnsi="Times New Roman" w:cs="Times New Roman"/>
          <w:sz w:val="24"/>
          <w:szCs w:val="24"/>
        </w:rPr>
        <w:t xml:space="preserve">(3), 193-208. </w:t>
      </w:r>
      <w:bookmarkEnd w:id="28"/>
    </w:p>
    <w:p w14:paraId="38BBC7F0" w14:textId="0A767005" w:rsidR="00406B68" w:rsidRDefault="001162EA">
      <w:pPr>
        <w:pStyle w:val="EndNoteBibliography"/>
        <w:spacing w:after="0" w:line="480" w:lineRule="auto"/>
        <w:jc w:val="both"/>
        <w:rPr>
          <w:rFonts w:ascii="Times New Roman" w:hAnsi="Times New Roman" w:cs="Times New Roman"/>
          <w:sz w:val="24"/>
          <w:szCs w:val="24"/>
        </w:rPr>
      </w:pPr>
      <w:bookmarkStart w:id="29" w:name="_ENREF_57"/>
      <w:proofErr w:type="gramStart"/>
      <w:r>
        <w:rPr>
          <w:rFonts w:ascii="Times New Roman" w:hAnsi="Times New Roman" w:cs="Times New Roman"/>
          <w:sz w:val="24"/>
          <w:szCs w:val="24"/>
        </w:rPr>
        <w:lastRenderedPageBreak/>
        <w:t>Singh, N., Singh, S.</w:t>
      </w:r>
      <w:r w:rsidR="00E60107">
        <w:rPr>
          <w:rFonts w:ascii="Times New Roman" w:hAnsi="Times New Roman" w:cs="Times New Roman"/>
          <w:sz w:val="24"/>
          <w:szCs w:val="24"/>
        </w:rPr>
        <w:t>,</w:t>
      </w:r>
      <w:r>
        <w:rPr>
          <w:rFonts w:ascii="Times New Roman" w:hAnsi="Times New Roman" w:cs="Times New Roman"/>
          <w:sz w:val="24"/>
          <w:szCs w:val="24"/>
        </w:rPr>
        <w:t xml:space="preserve"> &amp; Shevkani, K. (2019).</w:t>
      </w:r>
      <w:proofErr w:type="gramEnd"/>
      <w:r>
        <w:rPr>
          <w:rFonts w:ascii="Times New Roman" w:hAnsi="Times New Roman" w:cs="Times New Roman"/>
          <w:sz w:val="24"/>
          <w:szCs w:val="24"/>
        </w:rPr>
        <w:t xml:space="preserve"> Maize: Composition, bioactive constituents, and unleavened bread </w:t>
      </w:r>
      <w:r>
        <w:rPr>
          <w:rFonts w:ascii="Times New Roman" w:hAnsi="Times New Roman" w:cs="Times New Roman"/>
          <w:i/>
          <w:sz w:val="24"/>
          <w:szCs w:val="24"/>
        </w:rPr>
        <w:t>Flour and breads and their fortification in health and disease prevention</w:t>
      </w:r>
      <w:r>
        <w:rPr>
          <w:rFonts w:ascii="Times New Roman" w:hAnsi="Times New Roman" w:cs="Times New Roman"/>
          <w:sz w:val="24"/>
          <w:szCs w:val="24"/>
        </w:rPr>
        <w:t xml:space="preserve"> (pp. 111-121): Elsevier.</w:t>
      </w:r>
      <w:bookmarkEnd w:id="29"/>
    </w:p>
    <w:p w14:paraId="16F20A0C" w14:textId="7CB429A9" w:rsidR="00406B68" w:rsidRDefault="001162EA">
      <w:pPr>
        <w:pStyle w:val="EndNoteBibliography"/>
        <w:spacing w:after="0" w:line="480" w:lineRule="auto"/>
        <w:jc w:val="both"/>
        <w:rPr>
          <w:rFonts w:ascii="Times New Roman" w:hAnsi="Times New Roman" w:cs="Times New Roman"/>
          <w:sz w:val="24"/>
          <w:szCs w:val="24"/>
        </w:rPr>
      </w:pPr>
      <w:bookmarkStart w:id="30" w:name="_ENREF_61"/>
      <w:proofErr w:type="gramStart"/>
      <w:r>
        <w:rPr>
          <w:rFonts w:ascii="Times New Roman" w:hAnsi="Times New Roman" w:cs="Times New Roman"/>
          <w:sz w:val="24"/>
          <w:szCs w:val="24"/>
        </w:rPr>
        <w:t>Tester, R. F.</w:t>
      </w:r>
      <w:r w:rsidR="00E60107">
        <w:rPr>
          <w:rFonts w:ascii="Times New Roman" w:hAnsi="Times New Roman" w:cs="Times New Roman"/>
          <w:sz w:val="24"/>
          <w:szCs w:val="24"/>
        </w:rPr>
        <w:t>,</w:t>
      </w:r>
      <w:r>
        <w:rPr>
          <w:rFonts w:ascii="Times New Roman" w:hAnsi="Times New Roman" w:cs="Times New Roman"/>
          <w:sz w:val="24"/>
          <w:szCs w:val="24"/>
        </w:rPr>
        <w:t xml:space="preserve"> &amp; Morrison, W. R. (1990).</w:t>
      </w:r>
      <w:proofErr w:type="gramEnd"/>
      <w:r>
        <w:rPr>
          <w:rFonts w:ascii="Times New Roman" w:hAnsi="Times New Roman" w:cs="Times New Roman"/>
          <w:sz w:val="24"/>
          <w:szCs w:val="24"/>
        </w:rPr>
        <w:t xml:space="preserve"> Swelling and gelatinization of cereal starches. I. Effects of amylopectin, amylose, and lipids. </w:t>
      </w:r>
      <w:r>
        <w:rPr>
          <w:rFonts w:ascii="Times New Roman" w:hAnsi="Times New Roman" w:cs="Times New Roman"/>
          <w:i/>
          <w:sz w:val="24"/>
          <w:szCs w:val="24"/>
        </w:rPr>
        <w:t>Cereal chem, 67</w:t>
      </w:r>
      <w:r>
        <w:rPr>
          <w:rFonts w:ascii="Times New Roman" w:hAnsi="Times New Roman" w:cs="Times New Roman"/>
          <w:sz w:val="24"/>
          <w:szCs w:val="24"/>
        </w:rPr>
        <w:t xml:space="preserve">(6), 551-557. </w:t>
      </w:r>
      <w:bookmarkEnd w:id="30"/>
    </w:p>
    <w:p w14:paraId="5E782940" w14:textId="26AF266E" w:rsidR="00406B68" w:rsidRDefault="001162EA">
      <w:pPr>
        <w:pStyle w:val="EndNoteBibliography"/>
        <w:spacing w:after="0" w:line="480" w:lineRule="auto"/>
        <w:jc w:val="both"/>
        <w:rPr>
          <w:rFonts w:ascii="Times New Roman" w:hAnsi="Times New Roman" w:cs="Times New Roman"/>
          <w:sz w:val="24"/>
          <w:szCs w:val="24"/>
        </w:rPr>
      </w:pPr>
      <w:bookmarkStart w:id="31" w:name="_ENREF_62"/>
      <w:proofErr w:type="gramStart"/>
      <w:r>
        <w:rPr>
          <w:rFonts w:ascii="Times New Roman" w:hAnsi="Times New Roman" w:cs="Times New Roman"/>
          <w:sz w:val="24"/>
          <w:szCs w:val="24"/>
        </w:rPr>
        <w:t xml:space="preserve">Ukom, A., Adiegwu, E., </w:t>
      </w:r>
      <w:proofErr w:type="spellStart"/>
      <w:r>
        <w:rPr>
          <w:rFonts w:ascii="Times New Roman" w:hAnsi="Times New Roman" w:cs="Times New Roman"/>
          <w:sz w:val="24"/>
          <w:szCs w:val="24"/>
        </w:rPr>
        <w:t>Ojimelukwe</w:t>
      </w:r>
      <w:proofErr w:type="spellEnd"/>
      <w:r>
        <w:rPr>
          <w:rFonts w:ascii="Times New Roman" w:hAnsi="Times New Roman" w:cs="Times New Roman"/>
          <w:sz w:val="24"/>
          <w:szCs w:val="24"/>
        </w:rPr>
        <w:t>, P.</w:t>
      </w:r>
      <w:r w:rsidR="00E60107">
        <w:rPr>
          <w:rFonts w:ascii="Times New Roman" w:hAnsi="Times New Roman" w:cs="Times New Roman"/>
          <w:sz w:val="24"/>
          <w:szCs w:val="24"/>
        </w:rPr>
        <w:t>,</w:t>
      </w:r>
      <w:r>
        <w:rPr>
          <w:rFonts w:ascii="Times New Roman" w:hAnsi="Times New Roman" w:cs="Times New Roman"/>
          <w:sz w:val="24"/>
          <w:szCs w:val="24"/>
        </w:rPr>
        <w:t xml:space="preserve"> &amp; Okwunodulu, I. (2019).</w:t>
      </w:r>
      <w:proofErr w:type="gramEnd"/>
      <w:r>
        <w:rPr>
          <w:rFonts w:ascii="Times New Roman" w:hAnsi="Times New Roman" w:cs="Times New Roman"/>
          <w:sz w:val="24"/>
          <w:szCs w:val="24"/>
        </w:rPr>
        <w:t xml:space="preserve"> Quality and sensory acceptability of yellow maize ogi porridge enriched with orange-fleshed sweet potato and African yam bean seed flours for infants. </w:t>
      </w:r>
      <w:r>
        <w:rPr>
          <w:rFonts w:ascii="Times New Roman" w:hAnsi="Times New Roman" w:cs="Times New Roman"/>
          <w:i/>
          <w:sz w:val="24"/>
          <w:szCs w:val="24"/>
        </w:rPr>
        <w:t>Scientific African, 6</w:t>
      </w:r>
      <w:r>
        <w:rPr>
          <w:rFonts w:ascii="Times New Roman" w:hAnsi="Times New Roman" w:cs="Times New Roman"/>
          <w:sz w:val="24"/>
          <w:szCs w:val="24"/>
        </w:rPr>
        <w:t xml:space="preserve">, e00194. </w:t>
      </w:r>
      <w:bookmarkEnd w:id="31"/>
    </w:p>
    <w:p w14:paraId="42D3739C" w14:textId="6372DBED" w:rsidR="00406B68" w:rsidRDefault="001162EA">
      <w:pPr>
        <w:pStyle w:val="EndNoteBibliography"/>
        <w:spacing w:after="0" w:line="480" w:lineRule="auto"/>
        <w:jc w:val="both"/>
        <w:rPr>
          <w:rFonts w:ascii="Times New Roman" w:hAnsi="Times New Roman" w:cs="Times New Roman"/>
          <w:sz w:val="24"/>
          <w:szCs w:val="24"/>
        </w:rPr>
      </w:pPr>
      <w:bookmarkStart w:id="32" w:name="_ENREF_64"/>
      <w:r>
        <w:rPr>
          <w:rFonts w:ascii="Times New Roman" w:hAnsi="Times New Roman" w:cs="Times New Roman"/>
          <w:sz w:val="24"/>
          <w:szCs w:val="24"/>
        </w:rPr>
        <w:t xml:space="preserve">Usman, G. O. (2012). </w:t>
      </w:r>
      <w:r>
        <w:rPr>
          <w:rFonts w:ascii="Times New Roman" w:hAnsi="Times New Roman" w:cs="Times New Roman"/>
          <w:i/>
          <w:sz w:val="24"/>
          <w:szCs w:val="24"/>
        </w:rPr>
        <w:t>Production and evaluation of breakfast cereals from blends of african yam bean (Sphenostylis stenocarpa), maize (Zea mays) and defatted coconut (Cocos nucifera).</w:t>
      </w:r>
      <w:r>
        <w:rPr>
          <w:rFonts w:ascii="Times New Roman" w:hAnsi="Times New Roman" w:cs="Times New Roman"/>
          <w:sz w:val="24"/>
          <w:szCs w:val="24"/>
        </w:rPr>
        <w:t xml:space="preserve"> </w:t>
      </w:r>
      <w:proofErr w:type="gramStart"/>
      <w:r>
        <w:rPr>
          <w:rFonts w:ascii="Times New Roman" w:hAnsi="Times New Roman" w:cs="Times New Roman"/>
          <w:sz w:val="24"/>
          <w:szCs w:val="24"/>
        </w:rPr>
        <w:t>M. Sc Thesis, Department of Food Science and Technology</w:t>
      </w:r>
      <w:r w:rsidR="0090153C">
        <w:rPr>
          <w:rFonts w:ascii="Times New Roman" w:hAnsi="Times New Roman" w:cs="Times New Roman"/>
          <w:sz w:val="24"/>
          <w:szCs w:val="24"/>
        </w:rPr>
        <w:t>.</w:t>
      </w:r>
      <w:proofErr w:type="gramEnd"/>
      <w:r>
        <w:rPr>
          <w:rFonts w:ascii="Times New Roman" w:hAnsi="Times New Roman" w:cs="Times New Roman"/>
          <w:sz w:val="24"/>
          <w:szCs w:val="24"/>
        </w:rPr>
        <w:t xml:space="preserve">  </w:t>
      </w:r>
      <w:bookmarkEnd w:id="32"/>
    </w:p>
    <w:p w14:paraId="45070F13" w14:textId="262FCB1D" w:rsidR="00406B68" w:rsidRDefault="001162EA">
      <w:pPr>
        <w:pStyle w:val="EndNoteBibliography"/>
        <w:spacing w:after="0" w:line="480" w:lineRule="auto"/>
        <w:jc w:val="both"/>
        <w:rPr>
          <w:rFonts w:ascii="Times New Roman" w:hAnsi="Times New Roman" w:cs="Times New Roman"/>
          <w:sz w:val="24"/>
          <w:szCs w:val="24"/>
        </w:rPr>
      </w:pPr>
      <w:bookmarkStart w:id="33" w:name="_ENREF_65"/>
      <w:r>
        <w:rPr>
          <w:rFonts w:ascii="Times New Roman" w:hAnsi="Times New Roman" w:cs="Times New Roman"/>
          <w:sz w:val="24"/>
          <w:szCs w:val="24"/>
        </w:rPr>
        <w:t>Uwagbale, E.E. D., Saratu, A.S., Akagwu, O. V., Stephen, O. O.</w:t>
      </w:r>
      <w:r w:rsidR="0090153C">
        <w:rPr>
          <w:rFonts w:ascii="Times New Roman" w:hAnsi="Times New Roman" w:cs="Times New Roman"/>
          <w:sz w:val="24"/>
          <w:szCs w:val="24"/>
        </w:rPr>
        <w:t>,</w:t>
      </w:r>
      <w:r>
        <w:rPr>
          <w:rFonts w:ascii="Times New Roman" w:hAnsi="Times New Roman" w:cs="Times New Roman"/>
          <w:sz w:val="24"/>
          <w:szCs w:val="24"/>
        </w:rPr>
        <w:t xml:space="preserve"> &amp; Lilian, A. M. (2016). African Cereals and Non-African Cereals: A Comparative Review of Their Nutritional Composition. </w:t>
      </w:r>
      <w:r>
        <w:rPr>
          <w:rFonts w:ascii="Times New Roman" w:hAnsi="Times New Roman" w:cs="Times New Roman"/>
          <w:i/>
          <w:sz w:val="24"/>
          <w:szCs w:val="24"/>
        </w:rPr>
        <w:t>World, 1</w:t>
      </w:r>
      <w:r>
        <w:rPr>
          <w:rFonts w:ascii="Times New Roman" w:hAnsi="Times New Roman" w:cs="Times New Roman"/>
          <w:sz w:val="24"/>
          <w:szCs w:val="24"/>
        </w:rPr>
        <w:t xml:space="preserve">(1), 30-37. </w:t>
      </w:r>
      <w:bookmarkEnd w:id="33"/>
    </w:p>
    <w:p w14:paraId="3ADA18DB" w14:textId="128FDB80" w:rsidR="00406B68" w:rsidRDefault="001162EA">
      <w:pPr>
        <w:pStyle w:val="EndNoteBibliography"/>
        <w:spacing w:after="0" w:line="480" w:lineRule="auto"/>
        <w:jc w:val="both"/>
        <w:rPr>
          <w:rFonts w:ascii="Times New Roman" w:hAnsi="Times New Roman" w:cs="Times New Roman"/>
          <w:sz w:val="24"/>
          <w:szCs w:val="24"/>
        </w:rPr>
      </w:pPr>
      <w:bookmarkStart w:id="34" w:name="_ENREF_66"/>
      <w:proofErr w:type="spellStart"/>
      <w:proofErr w:type="gramStart"/>
      <w:r>
        <w:rPr>
          <w:rFonts w:ascii="Times New Roman" w:hAnsi="Times New Roman" w:cs="Times New Roman"/>
          <w:sz w:val="24"/>
          <w:szCs w:val="24"/>
        </w:rPr>
        <w:t>Vollbrecht</w:t>
      </w:r>
      <w:proofErr w:type="spellEnd"/>
      <w:r>
        <w:rPr>
          <w:rFonts w:ascii="Times New Roman" w:hAnsi="Times New Roman" w:cs="Times New Roman"/>
          <w:sz w:val="24"/>
          <w:szCs w:val="24"/>
        </w:rPr>
        <w:t>, E.</w:t>
      </w:r>
      <w:r w:rsidR="0090153C">
        <w:rPr>
          <w:rFonts w:ascii="Times New Roman" w:hAnsi="Times New Roman" w:cs="Times New Roman"/>
          <w:sz w:val="24"/>
          <w:szCs w:val="24"/>
        </w:rPr>
        <w:t>,</w:t>
      </w:r>
      <w:r>
        <w:rPr>
          <w:rFonts w:ascii="Times New Roman" w:hAnsi="Times New Roman" w:cs="Times New Roman"/>
          <w:sz w:val="24"/>
          <w:szCs w:val="24"/>
        </w:rPr>
        <w:t xml:space="preserve"> &amp; Sigmon, B. (2005).</w:t>
      </w:r>
      <w:proofErr w:type="gramEnd"/>
      <w:r>
        <w:rPr>
          <w:rFonts w:ascii="Times New Roman" w:hAnsi="Times New Roman" w:cs="Times New Roman"/>
          <w:sz w:val="24"/>
          <w:szCs w:val="24"/>
        </w:rPr>
        <w:t xml:space="preserve"> Amazing grass: developmental genetics of maize domestication. </w:t>
      </w:r>
      <w:r>
        <w:rPr>
          <w:rFonts w:ascii="Times New Roman" w:hAnsi="Times New Roman" w:cs="Times New Roman"/>
          <w:i/>
          <w:sz w:val="24"/>
          <w:szCs w:val="24"/>
        </w:rPr>
        <w:t>Biochemical Society Transactions, 33</w:t>
      </w:r>
      <w:r>
        <w:rPr>
          <w:rFonts w:ascii="Times New Roman" w:hAnsi="Times New Roman" w:cs="Times New Roman"/>
          <w:sz w:val="24"/>
          <w:szCs w:val="24"/>
        </w:rPr>
        <w:t xml:space="preserve">(6), 1502-1506. </w:t>
      </w:r>
      <w:bookmarkEnd w:id="34"/>
    </w:p>
    <w:p w14:paraId="5BF851F0" w14:textId="77777777" w:rsidR="00406B68" w:rsidRDefault="001162EA">
      <w:pPr>
        <w:pStyle w:val="EndNoteBibliography"/>
        <w:spacing w:line="480" w:lineRule="auto"/>
        <w:jc w:val="both"/>
        <w:rPr>
          <w:rFonts w:ascii="Times New Roman" w:hAnsi="Times New Roman" w:cs="Times New Roman"/>
          <w:sz w:val="24"/>
          <w:szCs w:val="24"/>
        </w:rPr>
      </w:pPr>
      <w:bookmarkStart w:id="35" w:name="_ENREF_67"/>
      <w:r>
        <w:rPr>
          <w:rFonts w:ascii="Times New Roman" w:hAnsi="Times New Roman" w:cs="Times New Roman"/>
          <w:sz w:val="24"/>
          <w:szCs w:val="24"/>
        </w:rPr>
        <w:t xml:space="preserve">Williams, P. G. (2014). The benefits of breakfast cereal consumption: a systematic review of the evidence base. </w:t>
      </w:r>
      <w:r>
        <w:rPr>
          <w:rFonts w:ascii="Times New Roman" w:hAnsi="Times New Roman" w:cs="Times New Roman"/>
          <w:i/>
          <w:sz w:val="24"/>
          <w:szCs w:val="24"/>
        </w:rPr>
        <w:t>Advances in Nutrition, 5</w:t>
      </w:r>
      <w:r>
        <w:rPr>
          <w:rFonts w:ascii="Times New Roman" w:hAnsi="Times New Roman" w:cs="Times New Roman"/>
          <w:sz w:val="24"/>
          <w:szCs w:val="24"/>
        </w:rPr>
        <w:t xml:space="preserve">(5), 636S-673S. </w:t>
      </w:r>
      <w:bookmarkEnd w:id="35"/>
    </w:p>
    <w:p w14:paraId="606C4FDC" w14:textId="77777777" w:rsidR="00406B68" w:rsidRDefault="001162EA">
      <w:pPr>
        <w:pStyle w:val="ListParagraph"/>
        <w:spacing w:line="480" w:lineRule="auto"/>
        <w:jc w:val="both"/>
        <w:rPr>
          <w:rFonts w:ascii="Times New Roman" w:hAnsi="Times New Roman" w:cs="Times New Roman"/>
          <w:sz w:val="24"/>
          <w:szCs w:val="24"/>
        </w:rPr>
      </w:pPr>
      <w:r>
        <w:rPr>
          <w:rFonts w:ascii="Times New Roman" w:hAnsi="Times New Roman" w:cs="Times New Roman"/>
          <w:sz w:val="24"/>
          <w:szCs w:val="24"/>
        </w:rPr>
        <w:fldChar w:fldCharType="end"/>
      </w:r>
    </w:p>
    <w:p w14:paraId="644BDD59" w14:textId="77777777" w:rsidR="00406B68" w:rsidRDefault="00406B68">
      <w:pPr>
        <w:pStyle w:val="ListParagraph"/>
        <w:spacing w:line="480" w:lineRule="auto"/>
        <w:jc w:val="both"/>
        <w:rPr>
          <w:rFonts w:ascii="Times New Roman" w:hAnsi="Times New Roman" w:cs="Times New Roman"/>
          <w:sz w:val="24"/>
          <w:szCs w:val="24"/>
        </w:rPr>
      </w:pPr>
    </w:p>
    <w:p w14:paraId="4D7779FF" w14:textId="77777777" w:rsidR="00406B68" w:rsidRDefault="00406B68">
      <w:pPr>
        <w:pStyle w:val="ListParagraph"/>
        <w:spacing w:line="480" w:lineRule="auto"/>
        <w:jc w:val="both"/>
        <w:rPr>
          <w:rFonts w:ascii="Times New Roman" w:hAnsi="Times New Roman" w:cs="Times New Roman"/>
          <w:sz w:val="24"/>
          <w:szCs w:val="24"/>
        </w:rPr>
      </w:pPr>
    </w:p>
    <w:p w14:paraId="7B8FFD3B" w14:textId="77777777" w:rsidR="00406B68" w:rsidRDefault="00406B68">
      <w:pPr>
        <w:pStyle w:val="ListParagraph"/>
        <w:spacing w:line="480" w:lineRule="auto"/>
        <w:jc w:val="both"/>
        <w:rPr>
          <w:rFonts w:ascii="Times New Roman" w:hAnsi="Times New Roman" w:cs="Times New Roman"/>
          <w:sz w:val="24"/>
          <w:szCs w:val="24"/>
        </w:rPr>
      </w:pPr>
    </w:p>
    <w:p w14:paraId="5DF2B937" w14:textId="77777777" w:rsidR="00406B68" w:rsidRDefault="00406B68">
      <w:pPr>
        <w:spacing w:line="480" w:lineRule="auto"/>
        <w:jc w:val="both"/>
        <w:rPr>
          <w:rFonts w:ascii="Times New Roman" w:hAnsi="Times New Roman" w:cs="Times New Roman"/>
          <w:b/>
          <w:sz w:val="24"/>
          <w:szCs w:val="24"/>
        </w:rPr>
      </w:pPr>
    </w:p>
    <w:p w14:paraId="43B86BB1" w14:textId="77777777" w:rsidR="00406B68" w:rsidRDefault="00406B68">
      <w:pPr>
        <w:spacing w:line="480" w:lineRule="auto"/>
        <w:jc w:val="both"/>
        <w:rPr>
          <w:rFonts w:ascii="Times New Roman" w:hAnsi="Times New Roman" w:cs="Times New Roman"/>
          <w:b/>
          <w:sz w:val="24"/>
          <w:szCs w:val="24"/>
        </w:rPr>
      </w:pPr>
    </w:p>
    <w:p w14:paraId="150830AE" w14:textId="77777777" w:rsidR="00406B68" w:rsidRDefault="00406B68">
      <w:pPr>
        <w:spacing w:line="480" w:lineRule="auto"/>
        <w:jc w:val="both"/>
        <w:rPr>
          <w:rFonts w:ascii="Times New Roman" w:hAnsi="Times New Roman" w:cs="Times New Roman"/>
          <w:sz w:val="24"/>
          <w:szCs w:val="24"/>
        </w:rPr>
      </w:pPr>
    </w:p>
    <w:sectPr w:rsidR="00406B68">
      <w:footerReference w:type="default" r:id="rId10"/>
      <w:pgSz w:w="12240" w:h="15840"/>
      <w:pgMar w:top="864" w:right="864" w:bottom="864" w:left="864" w:header="720" w:footer="720" w:gutter="0"/>
      <w:cols w:space="720"/>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332744D" w15:done="0"/>
  <w15:commentEx w15:paraId="69851CB5" w15:done="0"/>
  <w15:commentEx w15:paraId="31223339" w15:done="0"/>
  <w15:commentEx w15:paraId="4C4C240D" w15:done="0"/>
  <w15:commentEx w15:paraId="33563BBC" w15:done="0"/>
  <w15:commentEx w15:paraId="34213F7B" w15:done="0"/>
  <w15:commentEx w15:paraId="56C0751F" w15:done="0"/>
  <w15:commentEx w15:paraId="281B7FBD" w15:done="0"/>
  <w15:commentEx w15:paraId="6F5C0337" w15:done="0"/>
  <w15:commentEx w15:paraId="413C7A9D" w15:done="0"/>
  <w15:commentEx w15:paraId="47BF2A72" w15:done="0"/>
  <w15:commentEx w15:paraId="109B1D9F" w15:done="0"/>
  <w15:commentEx w15:paraId="5EA46E67" w15:done="0"/>
  <w15:commentEx w15:paraId="00962348" w15:done="0"/>
  <w15:commentEx w15:paraId="34F14731" w15:done="0"/>
  <w15:commentEx w15:paraId="63DC1A30" w15:done="0"/>
  <w15:commentEx w15:paraId="27AF305F" w15:done="0"/>
  <w15:commentEx w15:paraId="06C65EE4" w15:done="0"/>
  <w15:commentEx w15:paraId="373877C9" w15:done="0"/>
  <w15:commentEx w15:paraId="334D1C35" w15:done="0"/>
  <w15:commentEx w15:paraId="17354C0A" w15:done="0"/>
  <w15:commentEx w15:paraId="4D5F2742" w15:done="0"/>
  <w15:commentEx w15:paraId="06A41768" w15:done="0"/>
  <w15:commentEx w15:paraId="249F099B"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332744D" w16cid:durableId="27E2571A"/>
  <w16cid:commentId w16cid:paraId="69851CB5" w16cid:durableId="27E2571B"/>
  <w16cid:commentId w16cid:paraId="31223339" w16cid:durableId="27E2571C"/>
  <w16cid:commentId w16cid:paraId="4C4C240D" w16cid:durableId="27E2571D"/>
  <w16cid:commentId w16cid:paraId="33563BBC" w16cid:durableId="27E2571E"/>
  <w16cid:commentId w16cid:paraId="34213F7B" w16cid:durableId="27E2571F"/>
  <w16cid:commentId w16cid:paraId="56C0751F" w16cid:durableId="27E25720"/>
  <w16cid:commentId w16cid:paraId="281B7FBD" w16cid:durableId="27E25721"/>
  <w16cid:commentId w16cid:paraId="6F5C0337" w16cid:durableId="27E25722"/>
  <w16cid:commentId w16cid:paraId="413C7A9D" w16cid:durableId="27E25723"/>
  <w16cid:commentId w16cid:paraId="47BF2A72" w16cid:durableId="27E25724"/>
  <w16cid:commentId w16cid:paraId="109B1D9F" w16cid:durableId="27E25725"/>
  <w16cid:commentId w16cid:paraId="5EA46E67" w16cid:durableId="27E25726"/>
  <w16cid:commentId w16cid:paraId="00962348" w16cid:durableId="27E25727"/>
  <w16cid:commentId w16cid:paraId="34F14731" w16cid:durableId="27E25728"/>
  <w16cid:commentId w16cid:paraId="63DC1A30" w16cid:durableId="27E25729"/>
  <w16cid:commentId w16cid:paraId="27AF305F" w16cid:durableId="27E2572A"/>
  <w16cid:commentId w16cid:paraId="06C65EE4" w16cid:durableId="27E2572B"/>
  <w16cid:commentId w16cid:paraId="373877C9" w16cid:durableId="27E2572C"/>
  <w16cid:commentId w16cid:paraId="334D1C35" w16cid:durableId="27E2572D"/>
  <w16cid:commentId w16cid:paraId="17354C0A" w16cid:durableId="27E2572E"/>
  <w16cid:commentId w16cid:paraId="4D5F2742" w16cid:durableId="27E2572F"/>
  <w16cid:commentId w16cid:paraId="06A41768" w16cid:durableId="27E25730"/>
  <w16cid:commentId w16cid:paraId="249F099B" w16cid:durableId="27E2573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055909C" w14:textId="77777777" w:rsidR="007167B8" w:rsidRDefault="007167B8">
      <w:pPr>
        <w:spacing w:line="240" w:lineRule="auto"/>
      </w:pPr>
      <w:r>
        <w:separator/>
      </w:r>
    </w:p>
  </w:endnote>
  <w:endnote w:type="continuationSeparator" w:id="0">
    <w:p w14:paraId="3EF4AAE0" w14:textId="77777777" w:rsidR="007167B8" w:rsidRDefault="007167B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等线 Light">
    <w:panose1 w:val="00000000000000000000"/>
    <w:charset w:val="80"/>
    <w:family w:val="roman"/>
    <w:notTrueType/>
    <w:pitch w:val="default"/>
  </w:font>
  <w:font w:name="Segoe UI">
    <w:panose1 w:val="020B0502040204020203"/>
    <w:charset w:val="00"/>
    <w:family w:val="swiss"/>
    <w:pitch w:val="variable"/>
    <w:sig w:usb0="E4002EFF" w:usb1="C000E47F" w:usb2="00000009" w:usb3="00000000" w:csb0="000001FF" w:csb1="00000000"/>
  </w:font>
  <w:font w:name="Times Roman">
    <w:altName w:val="Times New Roman"/>
    <w:charset w:val="00"/>
    <w:family w:val="roman"/>
    <w:pitch w:val="default"/>
  </w:font>
  <w:font w:name="Cambria Math">
    <w:panose1 w:val="02040503050406030204"/>
    <w:charset w:val="00"/>
    <w:family w:val="roman"/>
    <w:pitch w:val="variable"/>
    <w:sig w:usb0="E00006FF" w:usb1="420024FF" w:usb2="02000000" w:usb3="00000000" w:csb0="0000019F" w:csb1="00000000"/>
  </w:font>
  <w:font w:name="等线">
    <w:panose1 w:val="00000000000000000000"/>
    <w:charset w:val="8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77288460"/>
      <w:docPartObj>
        <w:docPartGallery w:val="AutoText"/>
      </w:docPartObj>
    </w:sdtPr>
    <w:sdtEndPr/>
    <w:sdtContent>
      <w:p w14:paraId="4EC906DA" w14:textId="77777777" w:rsidR="00FD7E7D" w:rsidRDefault="00FD7E7D">
        <w:pPr>
          <w:pStyle w:val="Footer"/>
          <w:jc w:val="center"/>
        </w:pPr>
        <w:r>
          <w:fldChar w:fldCharType="begin"/>
        </w:r>
        <w:r>
          <w:instrText xml:space="preserve"> PAGE   \* MERGEFORMAT </w:instrText>
        </w:r>
        <w:r>
          <w:fldChar w:fldCharType="separate"/>
        </w:r>
        <w:r w:rsidR="00454ECD">
          <w:rPr>
            <w:noProof/>
          </w:rPr>
          <w:t>5</w:t>
        </w:r>
        <w:r>
          <w:fldChar w:fldCharType="end"/>
        </w:r>
      </w:p>
    </w:sdtContent>
  </w:sdt>
  <w:p w14:paraId="1118AC12" w14:textId="77777777" w:rsidR="00FD7E7D" w:rsidRDefault="00FD7E7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961BF74" w14:textId="77777777" w:rsidR="007167B8" w:rsidRDefault="007167B8">
      <w:pPr>
        <w:spacing w:after="0"/>
      </w:pPr>
      <w:r>
        <w:separator/>
      </w:r>
    </w:p>
  </w:footnote>
  <w:footnote w:type="continuationSeparator" w:id="0">
    <w:p w14:paraId="4E5AEAB2" w14:textId="77777777" w:rsidR="007167B8" w:rsidRDefault="007167B8">
      <w:pPr>
        <w:spacing w:after="0"/>
      </w:pPr>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USER">
    <w15:presenceInfo w15:providerId="None" w15:userId="USER"/>
  </w15:person>
  <w15:person w15:author="SOLA">
    <w15:presenceInfo w15:providerId="None" w15:userId="SOL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23F4"/>
    <w:rsid w:val="00001829"/>
    <w:rsid w:val="0000378C"/>
    <w:rsid w:val="00003BFD"/>
    <w:rsid w:val="00004225"/>
    <w:rsid w:val="0000491A"/>
    <w:rsid w:val="00005F3D"/>
    <w:rsid w:val="00007616"/>
    <w:rsid w:val="00010598"/>
    <w:rsid w:val="00011BC2"/>
    <w:rsid w:val="00011F68"/>
    <w:rsid w:val="00011FC0"/>
    <w:rsid w:val="0001265C"/>
    <w:rsid w:val="000203F1"/>
    <w:rsid w:val="000208B8"/>
    <w:rsid w:val="00020C4C"/>
    <w:rsid w:val="00022554"/>
    <w:rsid w:val="0002446C"/>
    <w:rsid w:val="000254C2"/>
    <w:rsid w:val="00026781"/>
    <w:rsid w:val="0003069B"/>
    <w:rsid w:val="00030AAD"/>
    <w:rsid w:val="00032D32"/>
    <w:rsid w:val="00035BE5"/>
    <w:rsid w:val="00041DAE"/>
    <w:rsid w:val="00047B17"/>
    <w:rsid w:val="00047B83"/>
    <w:rsid w:val="00050052"/>
    <w:rsid w:val="00052AB2"/>
    <w:rsid w:val="000530C1"/>
    <w:rsid w:val="00056E6D"/>
    <w:rsid w:val="0005770F"/>
    <w:rsid w:val="0006071C"/>
    <w:rsid w:val="0006325E"/>
    <w:rsid w:val="0006380A"/>
    <w:rsid w:val="00067415"/>
    <w:rsid w:val="00067CDE"/>
    <w:rsid w:val="00070203"/>
    <w:rsid w:val="00072789"/>
    <w:rsid w:val="00073441"/>
    <w:rsid w:val="000735F8"/>
    <w:rsid w:val="00073A96"/>
    <w:rsid w:val="00074744"/>
    <w:rsid w:val="00074F01"/>
    <w:rsid w:val="00075FFF"/>
    <w:rsid w:val="00077513"/>
    <w:rsid w:val="00080758"/>
    <w:rsid w:val="000827EA"/>
    <w:rsid w:val="00085E26"/>
    <w:rsid w:val="00094FD9"/>
    <w:rsid w:val="0009504D"/>
    <w:rsid w:val="00096643"/>
    <w:rsid w:val="00096ACA"/>
    <w:rsid w:val="0009770D"/>
    <w:rsid w:val="000A1032"/>
    <w:rsid w:val="000A314F"/>
    <w:rsid w:val="000A7E6A"/>
    <w:rsid w:val="000B3B7F"/>
    <w:rsid w:val="000C4E49"/>
    <w:rsid w:val="000D0140"/>
    <w:rsid w:val="000D1B02"/>
    <w:rsid w:val="000D4A5F"/>
    <w:rsid w:val="000D5BF7"/>
    <w:rsid w:val="000E14DF"/>
    <w:rsid w:val="000E1C22"/>
    <w:rsid w:val="000E346E"/>
    <w:rsid w:val="000E5A25"/>
    <w:rsid w:val="000E66CA"/>
    <w:rsid w:val="000E691B"/>
    <w:rsid w:val="000E6F71"/>
    <w:rsid w:val="000F3FB5"/>
    <w:rsid w:val="000F52C1"/>
    <w:rsid w:val="000F5F4F"/>
    <w:rsid w:val="000F6C05"/>
    <w:rsid w:val="000F7318"/>
    <w:rsid w:val="000F7796"/>
    <w:rsid w:val="000F7930"/>
    <w:rsid w:val="00106312"/>
    <w:rsid w:val="001073AC"/>
    <w:rsid w:val="001101A7"/>
    <w:rsid w:val="001103AB"/>
    <w:rsid w:val="00114885"/>
    <w:rsid w:val="00115765"/>
    <w:rsid w:val="001162EA"/>
    <w:rsid w:val="001203B6"/>
    <w:rsid w:val="00121AFD"/>
    <w:rsid w:val="00122769"/>
    <w:rsid w:val="001234B2"/>
    <w:rsid w:val="00124659"/>
    <w:rsid w:val="00124D26"/>
    <w:rsid w:val="00130B75"/>
    <w:rsid w:val="001335A3"/>
    <w:rsid w:val="00137878"/>
    <w:rsid w:val="00145762"/>
    <w:rsid w:val="00145A88"/>
    <w:rsid w:val="00147850"/>
    <w:rsid w:val="00150164"/>
    <w:rsid w:val="00152BE0"/>
    <w:rsid w:val="00153B43"/>
    <w:rsid w:val="00154AC0"/>
    <w:rsid w:val="00154BD9"/>
    <w:rsid w:val="00155862"/>
    <w:rsid w:val="00155D18"/>
    <w:rsid w:val="001633C9"/>
    <w:rsid w:val="001710B4"/>
    <w:rsid w:val="00172719"/>
    <w:rsid w:val="00177A79"/>
    <w:rsid w:val="00182298"/>
    <w:rsid w:val="00187897"/>
    <w:rsid w:val="00190AB2"/>
    <w:rsid w:val="00192C49"/>
    <w:rsid w:val="00194184"/>
    <w:rsid w:val="001945C2"/>
    <w:rsid w:val="0019764D"/>
    <w:rsid w:val="001A26F6"/>
    <w:rsid w:val="001A36C7"/>
    <w:rsid w:val="001A379E"/>
    <w:rsid w:val="001A5052"/>
    <w:rsid w:val="001B005E"/>
    <w:rsid w:val="001B008F"/>
    <w:rsid w:val="001B0AAD"/>
    <w:rsid w:val="001B104B"/>
    <w:rsid w:val="001B1FEB"/>
    <w:rsid w:val="001B2900"/>
    <w:rsid w:val="001B49BC"/>
    <w:rsid w:val="001B51BB"/>
    <w:rsid w:val="001B5C84"/>
    <w:rsid w:val="001B7206"/>
    <w:rsid w:val="001C2846"/>
    <w:rsid w:val="001C2E8E"/>
    <w:rsid w:val="001C50E5"/>
    <w:rsid w:val="001C6996"/>
    <w:rsid w:val="001C6FE5"/>
    <w:rsid w:val="001C7927"/>
    <w:rsid w:val="001D0F98"/>
    <w:rsid w:val="001D4BCA"/>
    <w:rsid w:val="001D51DE"/>
    <w:rsid w:val="001D76E3"/>
    <w:rsid w:val="001D779A"/>
    <w:rsid w:val="001E1312"/>
    <w:rsid w:val="002103B8"/>
    <w:rsid w:val="00210DB9"/>
    <w:rsid w:val="002131C1"/>
    <w:rsid w:val="002169B6"/>
    <w:rsid w:val="00220E4E"/>
    <w:rsid w:val="002215B2"/>
    <w:rsid w:val="00221ABD"/>
    <w:rsid w:val="002225AE"/>
    <w:rsid w:val="002253E5"/>
    <w:rsid w:val="0023080E"/>
    <w:rsid w:val="0023403F"/>
    <w:rsid w:val="002341BF"/>
    <w:rsid w:val="00234B70"/>
    <w:rsid w:val="002365EE"/>
    <w:rsid w:val="00240270"/>
    <w:rsid w:val="0024414B"/>
    <w:rsid w:val="00245E93"/>
    <w:rsid w:val="00246043"/>
    <w:rsid w:val="00250189"/>
    <w:rsid w:val="00253B80"/>
    <w:rsid w:val="002565D0"/>
    <w:rsid w:val="00256EFE"/>
    <w:rsid w:val="002573A5"/>
    <w:rsid w:val="002659C1"/>
    <w:rsid w:val="0028072D"/>
    <w:rsid w:val="00282C53"/>
    <w:rsid w:val="00282F50"/>
    <w:rsid w:val="00291427"/>
    <w:rsid w:val="0029287F"/>
    <w:rsid w:val="00292AB3"/>
    <w:rsid w:val="0029440F"/>
    <w:rsid w:val="002A0CA8"/>
    <w:rsid w:val="002A3158"/>
    <w:rsid w:val="002B0266"/>
    <w:rsid w:val="002B192A"/>
    <w:rsid w:val="002C4E2C"/>
    <w:rsid w:val="002C5044"/>
    <w:rsid w:val="002C7EF8"/>
    <w:rsid w:val="002D241C"/>
    <w:rsid w:val="002D4709"/>
    <w:rsid w:val="002E009F"/>
    <w:rsid w:val="002E0D72"/>
    <w:rsid w:val="002E11EB"/>
    <w:rsid w:val="002E4F15"/>
    <w:rsid w:val="002E6544"/>
    <w:rsid w:val="002F1358"/>
    <w:rsid w:val="0030284D"/>
    <w:rsid w:val="00304371"/>
    <w:rsid w:val="00304D05"/>
    <w:rsid w:val="003056B6"/>
    <w:rsid w:val="00306E8C"/>
    <w:rsid w:val="00307B21"/>
    <w:rsid w:val="00311A9D"/>
    <w:rsid w:val="00313735"/>
    <w:rsid w:val="00314627"/>
    <w:rsid w:val="00314D99"/>
    <w:rsid w:val="00323B0D"/>
    <w:rsid w:val="00325BEB"/>
    <w:rsid w:val="00325C85"/>
    <w:rsid w:val="00330173"/>
    <w:rsid w:val="00330A18"/>
    <w:rsid w:val="003349E0"/>
    <w:rsid w:val="00336027"/>
    <w:rsid w:val="00336C1C"/>
    <w:rsid w:val="00340387"/>
    <w:rsid w:val="00340735"/>
    <w:rsid w:val="003412FE"/>
    <w:rsid w:val="00341646"/>
    <w:rsid w:val="00344306"/>
    <w:rsid w:val="0035049F"/>
    <w:rsid w:val="003505C9"/>
    <w:rsid w:val="00350AB5"/>
    <w:rsid w:val="00352795"/>
    <w:rsid w:val="0035325F"/>
    <w:rsid w:val="003576F9"/>
    <w:rsid w:val="00365C3A"/>
    <w:rsid w:val="0037063B"/>
    <w:rsid w:val="00373390"/>
    <w:rsid w:val="00377E9E"/>
    <w:rsid w:val="0038062B"/>
    <w:rsid w:val="00386D7C"/>
    <w:rsid w:val="00387137"/>
    <w:rsid w:val="00387571"/>
    <w:rsid w:val="00390B0E"/>
    <w:rsid w:val="00390D4A"/>
    <w:rsid w:val="00391EA5"/>
    <w:rsid w:val="00393D63"/>
    <w:rsid w:val="00394265"/>
    <w:rsid w:val="003978D1"/>
    <w:rsid w:val="003A1A9E"/>
    <w:rsid w:val="003A67F0"/>
    <w:rsid w:val="003B11FC"/>
    <w:rsid w:val="003C5D58"/>
    <w:rsid w:val="003D0E80"/>
    <w:rsid w:val="003D30CB"/>
    <w:rsid w:val="003D4C42"/>
    <w:rsid w:val="003D615C"/>
    <w:rsid w:val="003D7989"/>
    <w:rsid w:val="003E2D3F"/>
    <w:rsid w:val="003E5599"/>
    <w:rsid w:val="003E6BB5"/>
    <w:rsid w:val="003F153B"/>
    <w:rsid w:val="003F69ED"/>
    <w:rsid w:val="004028E8"/>
    <w:rsid w:val="00403462"/>
    <w:rsid w:val="00403A78"/>
    <w:rsid w:val="00403AA9"/>
    <w:rsid w:val="004043D9"/>
    <w:rsid w:val="00406B68"/>
    <w:rsid w:val="00412546"/>
    <w:rsid w:val="00413A9F"/>
    <w:rsid w:val="0041493F"/>
    <w:rsid w:val="0041774B"/>
    <w:rsid w:val="00417AD7"/>
    <w:rsid w:val="004215D7"/>
    <w:rsid w:val="00422245"/>
    <w:rsid w:val="004224D3"/>
    <w:rsid w:val="0042471E"/>
    <w:rsid w:val="00426FD0"/>
    <w:rsid w:val="00427EE7"/>
    <w:rsid w:val="004301BA"/>
    <w:rsid w:val="004305D8"/>
    <w:rsid w:val="00436CFD"/>
    <w:rsid w:val="00446693"/>
    <w:rsid w:val="00447371"/>
    <w:rsid w:val="00450693"/>
    <w:rsid w:val="004509E0"/>
    <w:rsid w:val="00451A95"/>
    <w:rsid w:val="00452F08"/>
    <w:rsid w:val="00454ECD"/>
    <w:rsid w:val="00456E0E"/>
    <w:rsid w:val="004578EB"/>
    <w:rsid w:val="004579B3"/>
    <w:rsid w:val="00457A66"/>
    <w:rsid w:val="00467B4D"/>
    <w:rsid w:val="004716D6"/>
    <w:rsid w:val="00474399"/>
    <w:rsid w:val="004743D6"/>
    <w:rsid w:val="0047635F"/>
    <w:rsid w:val="00480BDA"/>
    <w:rsid w:val="00482281"/>
    <w:rsid w:val="00482A9D"/>
    <w:rsid w:val="004846C3"/>
    <w:rsid w:val="00484773"/>
    <w:rsid w:val="00495EF6"/>
    <w:rsid w:val="00497153"/>
    <w:rsid w:val="004979CB"/>
    <w:rsid w:val="004A2943"/>
    <w:rsid w:val="004A2EAA"/>
    <w:rsid w:val="004A364B"/>
    <w:rsid w:val="004A427F"/>
    <w:rsid w:val="004A4FEC"/>
    <w:rsid w:val="004B07D0"/>
    <w:rsid w:val="004B1484"/>
    <w:rsid w:val="004B40C8"/>
    <w:rsid w:val="004B5E91"/>
    <w:rsid w:val="004B7382"/>
    <w:rsid w:val="004B7542"/>
    <w:rsid w:val="004C0D3A"/>
    <w:rsid w:val="004C6C65"/>
    <w:rsid w:val="004D1E05"/>
    <w:rsid w:val="004D3A27"/>
    <w:rsid w:val="004D3D32"/>
    <w:rsid w:val="004E158A"/>
    <w:rsid w:val="004E2A48"/>
    <w:rsid w:val="004E2C3B"/>
    <w:rsid w:val="004E6715"/>
    <w:rsid w:val="004F0E04"/>
    <w:rsid w:val="004F1475"/>
    <w:rsid w:val="004F2229"/>
    <w:rsid w:val="004F5ACC"/>
    <w:rsid w:val="004F699B"/>
    <w:rsid w:val="005003C8"/>
    <w:rsid w:val="00501415"/>
    <w:rsid w:val="0050480C"/>
    <w:rsid w:val="00504C6F"/>
    <w:rsid w:val="00506E22"/>
    <w:rsid w:val="005105E5"/>
    <w:rsid w:val="005114C7"/>
    <w:rsid w:val="00513E96"/>
    <w:rsid w:val="0051470C"/>
    <w:rsid w:val="00516BB1"/>
    <w:rsid w:val="0052035B"/>
    <w:rsid w:val="0052089A"/>
    <w:rsid w:val="00522926"/>
    <w:rsid w:val="005242A8"/>
    <w:rsid w:val="005262C8"/>
    <w:rsid w:val="00531BFE"/>
    <w:rsid w:val="00531D81"/>
    <w:rsid w:val="00533231"/>
    <w:rsid w:val="00533E4E"/>
    <w:rsid w:val="00535369"/>
    <w:rsid w:val="005369F4"/>
    <w:rsid w:val="005404D2"/>
    <w:rsid w:val="0054119D"/>
    <w:rsid w:val="00541923"/>
    <w:rsid w:val="00544DE4"/>
    <w:rsid w:val="00547437"/>
    <w:rsid w:val="005515BB"/>
    <w:rsid w:val="0055431B"/>
    <w:rsid w:val="00555038"/>
    <w:rsid w:val="0055596C"/>
    <w:rsid w:val="00560394"/>
    <w:rsid w:val="0056416D"/>
    <w:rsid w:val="00564599"/>
    <w:rsid w:val="005708EC"/>
    <w:rsid w:val="0057225A"/>
    <w:rsid w:val="005725A2"/>
    <w:rsid w:val="00573042"/>
    <w:rsid w:val="005766DE"/>
    <w:rsid w:val="00581E39"/>
    <w:rsid w:val="00590305"/>
    <w:rsid w:val="00591871"/>
    <w:rsid w:val="00593526"/>
    <w:rsid w:val="00597388"/>
    <w:rsid w:val="005A62A9"/>
    <w:rsid w:val="005A630E"/>
    <w:rsid w:val="005A6B9D"/>
    <w:rsid w:val="005A6F4B"/>
    <w:rsid w:val="005C038D"/>
    <w:rsid w:val="005C12CB"/>
    <w:rsid w:val="005C1CCA"/>
    <w:rsid w:val="005C3348"/>
    <w:rsid w:val="005C5429"/>
    <w:rsid w:val="005C6E27"/>
    <w:rsid w:val="005D198A"/>
    <w:rsid w:val="005D1F5F"/>
    <w:rsid w:val="005D4801"/>
    <w:rsid w:val="005D55E1"/>
    <w:rsid w:val="005D73AB"/>
    <w:rsid w:val="005E077D"/>
    <w:rsid w:val="005E41D4"/>
    <w:rsid w:val="005E42B2"/>
    <w:rsid w:val="005E4376"/>
    <w:rsid w:val="005E512D"/>
    <w:rsid w:val="005E7E8A"/>
    <w:rsid w:val="005F1595"/>
    <w:rsid w:val="005F1F1A"/>
    <w:rsid w:val="005F57A3"/>
    <w:rsid w:val="00601267"/>
    <w:rsid w:val="00605951"/>
    <w:rsid w:val="00606E44"/>
    <w:rsid w:val="00610343"/>
    <w:rsid w:val="00613068"/>
    <w:rsid w:val="00617C79"/>
    <w:rsid w:val="00620328"/>
    <w:rsid w:val="00621503"/>
    <w:rsid w:val="00621522"/>
    <w:rsid w:val="00621C77"/>
    <w:rsid w:val="00622F03"/>
    <w:rsid w:val="006302B3"/>
    <w:rsid w:val="00630EB2"/>
    <w:rsid w:val="006314A7"/>
    <w:rsid w:val="006333BD"/>
    <w:rsid w:val="00634C90"/>
    <w:rsid w:val="006353AC"/>
    <w:rsid w:val="0063560A"/>
    <w:rsid w:val="006417C3"/>
    <w:rsid w:val="006421BB"/>
    <w:rsid w:val="0064477D"/>
    <w:rsid w:val="00645F9C"/>
    <w:rsid w:val="00651CF1"/>
    <w:rsid w:val="006527D6"/>
    <w:rsid w:val="00654140"/>
    <w:rsid w:val="00654FBD"/>
    <w:rsid w:val="00656E5F"/>
    <w:rsid w:val="00665D4E"/>
    <w:rsid w:val="00670809"/>
    <w:rsid w:val="00675635"/>
    <w:rsid w:val="006778DA"/>
    <w:rsid w:val="00681881"/>
    <w:rsid w:val="006856D5"/>
    <w:rsid w:val="006873C1"/>
    <w:rsid w:val="00687A1B"/>
    <w:rsid w:val="006903D7"/>
    <w:rsid w:val="00692EFD"/>
    <w:rsid w:val="00695865"/>
    <w:rsid w:val="00697364"/>
    <w:rsid w:val="006A07F7"/>
    <w:rsid w:val="006A19D1"/>
    <w:rsid w:val="006A255E"/>
    <w:rsid w:val="006B1839"/>
    <w:rsid w:val="006B7B83"/>
    <w:rsid w:val="006C08D2"/>
    <w:rsid w:val="006C56A0"/>
    <w:rsid w:val="006E1814"/>
    <w:rsid w:val="006F0A45"/>
    <w:rsid w:val="006F1FFC"/>
    <w:rsid w:val="006F3430"/>
    <w:rsid w:val="006F41CB"/>
    <w:rsid w:val="006F515B"/>
    <w:rsid w:val="006F52CC"/>
    <w:rsid w:val="006F62DF"/>
    <w:rsid w:val="006F663C"/>
    <w:rsid w:val="006F7828"/>
    <w:rsid w:val="006F7A13"/>
    <w:rsid w:val="00701B96"/>
    <w:rsid w:val="007045E2"/>
    <w:rsid w:val="00714702"/>
    <w:rsid w:val="007167B8"/>
    <w:rsid w:val="0071783D"/>
    <w:rsid w:val="007232D6"/>
    <w:rsid w:val="007240DD"/>
    <w:rsid w:val="0072511C"/>
    <w:rsid w:val="007275F4"/>
    <w:rsid w:val="00730DC6"/>
    <w:rsid w:val="00734BA6"/>
    <w:rsid w:val="00734C61"/>
    <w:rsid w:val="00735E2A"/>
    <w:rsid w:val="00736123"/>
    <w:rsid w:val="00736E36"/>
    <w:rsid w:val="007373B1"/>
    <w:rsid w:val="00737828"/>
    <w:rsid w:val="00740897"/>
    <w:rsid w:val="00744D6E"/>
    <w:rsid w:val="00751695"/>
    <w:rsid w:val="00751841"/>
    <w:rsid w:val="007539FD"/>
    <w:rsid w:val="007569DD"/>
    <w:rsid w:val="00756CE9"/>
    <w:rsid w:val="00757436"/>
    <w:rsid w:val="00760AB1"/>
    <w:rsid w:val="00761DD3"/>
    <w:rsid w:val="00764B10"/>
    <w:rsid w:val="00765172"/>
    <w:rsid w:val="0076706A"/>
    <w:rsid w:val="00772EC7"/>
    <w:rsid w:val="007737FC"/>
    <w:rsid w:val="007772EF"/>
    <w:rsid w:val="007827F9"/>
    <w:rsid w:val="00784D96"/>
    <w:rsid w:val="007861E7"/>
    <w:rsid w:val="00787076"/>
    <w:rsid w:val="007879F3"/>
    <w:rsid w:val="00791847"/>
    <w:rsid w:val="00791BD7"/>
    <w:rsid w:val="00797713"/>
    <w:rsid w:val="007A0B87"/>
    <w:rsid w:val="007A34A3"/>
    <w:rsid w:val="007A37DC"/>
    <w:rsid w:val="007A6CF5"/>
    <w:rsid w:val="007B1990"/>
    <w:rsid w:val="007B1BA2"/>
    <w:rsid w:val="007B3F91"/>
    <w:rsid w:val="007B4039"/>
    <w:rsid w:val="007B5C7D"/>
    <w:rsid w:val="007B7A45"/>
    <w:rsid w:val="007C0C8C"/>
    <w:rsid w:val="007C21A3"/>
    <w:rsid w:val="007C59E9"/>
    <w:rsid w:val="007C6EF1"/>
    <w:rsid w:val="007C79F3"/>
    <w:rsid w:val="007D0B65"/>
    <w:rsid w:val="007E0E2C"/>
    <w:rsid w:val="007E2DE8"/>
    <w:rsid w:val="007E4262"/>
    <w:rsid w:val="007F1190"/>
    <w:rsid w:val="007F15EB"/>
    <w:rsid w:val="007F1D40"/>
    <w:rsid w:val="008015E4"/>
    <w:rsid w:val="00806BB9"/>
    <w:rsid w:val="008111B7"/>
    <w:rsid w:val="008128C0"/>
    <w:rsid w:val="008136A0"/>
    <w:rsid w:val="00816996"/>
    <w:rsid w:val="00817F17"/>
    <w:rsid w:val="00824DF1"/>
    <w:rsid w:val="008275A9"/>
    <w:rsid w:val="0083119F"/>
    <w:rsid w:val="00832706"/>
    <w:rsid w:val="00832F2C"/>
    <w:rsid w:val="00833016"/>
    <w:rsid w:val="00833CE6"/>
    <w:rsid w:val="00833F76"/>
    <w:rsid w:val="008353DC"/>
    <w:rsid w:val="00835A20"/>
    <w:rsid w:val="008403AA"/>
    <w:rsid w:val="008407ED"/>
    <w:rsid w:val="00840B08"/>
    <w:rsid w:val="0084125B"/>
    <w:rsid w:val="00842E98"/>
    <w:rsid w:val="00845A6A"/>
    <w:rsid w:val="00847EF8"/>
    <w:rsid w:val="00853E1D"/>
    <w:rsid w:val="00854E4B"/>
    <w:rsid w:val="00857B7F"/>
    <w:rsid w:val="00861775"/>
    <w:rsid w:val="00861AC7"/>
    <w:rsid w:val="00861FD3"/>
    <w:rsid w:val="00862812"/>
    <w:rsid w:val="00862EB9"/>
    <w:rsid w:val="00863818"/>
    <w:rsid w:val="00864CDB"/>
    <w:rsid w:val="008678F1"/>
    <w:rsid w:val="008736E5"/>
    <w:rsid w:val="00874D25"/>
    <w:rsid w:val="0087550A"/>
    <w:rsid w:val="00875EE0"/>
    <w:rsid w:val="00876B71"/>
    <w:rsid w:val="00881382"/>
    <w:rsid w:val="00881F5B"/>
    <w:rsid w:val="00882485"/>
    <w:rsid w:val="00884EF4"/>
    <w:rsid w:val="008876F4"/>
    <w:rsid w:val="00890ECF"/>
    <w:rsid w:val="008915A7"/>
    <w:rsid w:val="008934F9"/>
    <w:rsid w:val="0089763B"/>
    <w:rsid w:val="008A1879"/>
    <w:rsid w:val="008A2494"/>
    <w:rsid w:val="008B29E1"/>
    <w:rsid w:val="008B3F9C"/>
    <w:rsid w:val="008B529C"/>
    <w:rsid w:val="008B768E"/>
    <w:rsid w:val="008C0FBB"/>
    <w:rsid w:val="008C1F3D"/>
    <w:rsid w:val="008C4677"/>
    <w:rsid w:val="008C5E42"/>
    <w:rsid w:val="008D433D"/>
    <w:rsid w:val="008D44BD"/>
    <w:rsid w:val="008D47D9"/>
    <w:rsid w:val="008D48B7"/>
    <w:rsid w:val="008D53B4"/>
    <w:rsid w:val="008D7120"/>
    <w:rsid w:val="008E03CE"/>
    <w:rsid w:val="008E0A4F"/>
    <w:rsid w:val="008E6F24"/>
    <w:rsid w:val="008F4056"/>
    <w:rsid w:val="008F6BE9"/>
    <w:rsid w:val="008F6F2E"/>
    <w:rsid w:val="0090153C"/>
    <w:rsid w:val="00902E0B"/>
    <w:rsid w:val="009042A0"/>
    <w:rsid w:val="00906FFB"/>
    <w:rsid w:val="0091013C"/>
    <w:rsid w:val="00910C64"/>
    <w:rsid w:val="00910E5F"/>
    <w:rsid w:val="00912AE4"/>
    <w:rsid w:val="00913A53"/>
    <w:rsid w:val="00913DF7"/>
    <w:rsid w:val="0091431A"/>
    <w:rsid w:val="009168D3"/>
    <w:rsid w:val="00917F54"/>
    <w:rsid w:val="009211EB"/>
    <w:rsid w:val="009220F6"/>
    <w:rsid w:val="00922309"/>
    <w:rsid w:val="00922EE3"/>
    <w:rsid w:val="0092686F"/>
    <w:rsid w:val="009274C0"/>
    <w:rsid w:val="00931CC4"/>
    <w:rsid w:val="00932415"/>
    <w:rsid w:val="009332C5"/>
    <w:rsid w:val="00935361"/>
    <w:rsid w:val="00936AB1"/>
    <w:rsid w:val="0093703E"/>
    <w:rsid w:val="009400B1"/>
    <w:rsid w:val="00943B80"/>
    <w:rsid w:val="00951510"/>
    <w:rsid w:val="009546AA"/>
    <w:rsid w:val="00954808"/>
    <w:rsid w:val="00954C46"/>
    <w:rsid w:val="00954FDD"/>
    <w:rsid w:val="00957CB3"/>
    <w:rsid w:val="00957E07"/>
    <w:rsid w:val="00962601"/>
    <w:rsid w:val="0096352B"/>
    <w:rsid w:val="00964B82"/>
    <w:rsid w:val="00967FEC"/>
    <w:rsid w:val="00973353"/>
    <w:rsid w:val="00973A8E"/>
    <w:rsid w:val="00976AEC"/>
    <w:rsid w:val="00977256"/>
    <w:rsid w:val="009775F9"/>
    <w:rsid w:val="00982DAC"/>
    <w:rsid w:val="009943F6"/>
    <w:rsid w:val="009945FB"/>
    <w:rsid w:val="00997964"/>
    <w:rsid w:val="00997F28"/>
    <w:rsid w:val="009A0F9C"/>
    <w:rsid w:val="009A4255"/>
    <w:rsid w:val="009A6B8D"/>
    <w:rsid w:val="009B0A43"/>
    <w:rsid w:val="009B14CF"/>
    <w:rsid w:val="009B23F4"/>
    <w:rsid w:val="009B3541"/>
    <w:rsid w:val="009B4A99"/>
    <w:rsid w:val="009B61DE"/>
    <w:rsid w:val="009B786F"/>
    <w:rsid w:val="009B79B7"/>
    <w:rsid w:val="009C592B"/>
    <w:rsid w:val="009C71C2"/>
    <w:rsid w:val="009C754B"/>
    <w:rsid w:val="009D10E3"/>
    <w:rsid w:val="009D3AE4"/>
    <w:rsid w:val="009E58C2"/>
    <w:rsid w:val="009F7D1B"/>
    <w:rsid w:val="00A0070A"/>
    <w:rsid w:val="00A104A3"/>
    <w:rsid w:val="00A12E6A"/>
    <w:rsid w:val="00A159AB"/>
    <w:rsid w:val="00A1667F"/>
    <w:rsid w:val="00A22FCE"/>
    <w:rsid w:val="00A23B6A"/>
    <w:rsid w:val="00A2414B"/>
    <w:rsid w:val="00A24567"/>
    <w:rsid w:val="00A25039"/>
    <w:rsid w:val="00A27A54"/>
    <w:rsid w:val="00A30E77"/>
    <w:rsid w:val="00A33974"/>
    <w:rsid w:val="00A4124A"/>
    <w:rsid w:val="00A43DB1"/>
    <w:rsid w:val="00A4518B"/>
    <w:rsid w:val="00A4625B"/>
    <w:rsid w:val="00A50BB1"/>
    <w:rsid w:val="00A51AC6"/>
    <w:rsid w:val="00A56F26"/>
    <w:rsid w:val="00A609F7"/>
    <w:rsid w:val="00A60F32"/>
    <w:rsid w:val="00A60F78"/>
    <w:rsid w:val="00A6670A"/>
    <w:rsid w:val="00A67A6F"/>
    <w:rsid w:val="00A71457"/>
    <w:rsid w:val="00A71F2D"/>
    <w:rsid w:val="00A77601"/>
    <w:rsid w:val="00A814F3"/>
    <w:rsid w:val="00A81C5E"/>
    <w:rsid w:val="00A84452"/>
    <w:rsid w:val="00A8449C"/>
    <w:rsid w:val="00A92392"/>
    <w:rsid w:val="00A92A5F"/>
    <w:rsid w:val="00A9364B"/>
    <w:rsid w:val="00A95ADA"/>
    <w:rsid w:val="00A96BD6"/>
    <w:rsid w:val="00A977CE"/>
    <w:rsid w:val="00AA0D96"/>
    <w:rsid w:val="00AA163A"/>
    <w:rsid w:val="00AA1E34"/>
    <w:rsid w:val="00AA4364"/>
    <w:rsid w:val="00AA4AF3"/>
    <w:rsid w:val="00AB2298"/>
    <w:rsid w:val="00AB3706"/>
    <w:rsid w:val="00AB4C34"/>
    <w:rsid w:val="00AB6CB7"/>
    <w:rsid w:val="00AB7516"/>
    <w:rsid w:val="00AB7847"/>
    <w:rsid w:val="00AB7C6C"/>
    <w:rsid w:val="00AC3D0E"/>
    <w:rsid w:val="00AC4CB2"/>
    <w:rsid w:val="00AC61D6"/>
    <w:rsid w:val="00AC652C"/>
    <w:rsid w:val="00AC66D8"/>
    <w:rsid w:val="00AD0AA2"/>
    <w:rsid w:val="00AD4922"/>
    <w:rsid w:val="00AD69BA"/>
    <w:rsid w:val="00AE0522"/>
    <w:rsid w:val="00AE11B7"/>
    <w:rsid w:val="00AE2159"/>
    <w:rsid w:val="00AE50B4"/>
    <w:rsid w:val="00AE6E63"/>
    <w:rsid w:val="00AF1332"/>
    <w:rsid w:val="00AF25D6"/>
    <w:rsid w:val="00AF4BAD"/>
    <w:rsid w:val="00AF584D"/>
    <w:rsid w:val="00AF760F"/>
    <w:rsid w:val="00B01918"/>
    <w:rsid w:val="00B02B1B"/>
    <w:rsid w:val="00B136E6"/>
    <w:rsid w:val="00B21D18"/>
    <w:rsid w:val="00B2217C"/>
    <w:rsid w:val="00B26F73"/>
    <w:rsid w:val="00B2753E"/>
    <w:rsid w:val="00B3276E"/>
    <w:rsid w:val="00B33048"/>
    <w:rsid w:val="00B358EC"/>
    <w:rsid w:val="00B4226D"/>
    <w:rsid w:val="00B4250D"/>
    <w:rsid w:val="00B427D0"/>
    <w:rsid w:val="00B432D3"/>
    <w:rsid w:val="00B43957"/>
    <w:rsid w:val="00B44513"/>
    <w:rsid w:val="00B4492E"/>
    <w:rsid w:val="00B45B62"/>
    <w:rsid w:val="00B47445"/>
    <w:rsid w:val="00B50EB7"/>
    <w:rsid w:val="00B52537"/>
    <w:rsid w:val="00B52D3B"/>
    <w:rsid w:val="00B5502E"/>
    <w:rsid w:val="00B557B0"/>
    <w:rsid w:val="00B564EE"/>
    <w:rsid w:val="00B6167A"/>
    <w:rsid w:val="00B638FE"/>
    <w:rsid w:val="00B63EE5"/>
    <w:rsid w:val="00B6439E"/>
    <w:rsid w:val="00B64A46"/>
    <w:rsid w:val="00B70B8A"/>
    <w:rsid w:val="00B720D7"/>
    <w:rsid w:val="00B72912"/>
    <w:rsid w:val="00B734BA"/>
    <w:rsid w:val="00B74C3E"/>
    <w:rsid w:val="00B75C2F"/>
    <w:rsid w:val="00B77C91"/>
    <w:rsid w:val="00B77EBC"/>
    <w:rsid w:val="00B85EAB"/>
    <w:rsid w:val="00B9052B"/>
    <w:rsid w:val="00B90B43"/>
    <w:rsid w:val="00B92793"/>
    <w:rsid w:val="00B94D0B"/>
    <w:rsid w:val="00B95E07"/>
    <w:rsid w:val="00B96D8B"/>
    <w:rsid w:val="00B9735D"/>
    <w:rsid w:val="00BA1089"/>
    <w:rsid w:val="00BA171E"/>
    <w:rsid w:val="00BA77AD"/>
    <w:rsid w:val="00BB25C4"/>
    <w:rsid w:val="00BB7718"/>
    <w:rsid w:val="00BB7AA6"/>
    <w:rsid w:val="00BC03F9"/>
    <w:rsid w:val="00BC071C"/>
    <w:rsid w:val="00BC1222"/>
    <w:rsid w:val="00BC157E"/>
    <w:rsid w:val="00BC184D"/>
    <w:rsid w:val="00BC4B27"/>
    <w:rsid w:val="00BC52D8"/>
    <w:rsid w:val="00BD18E2"/>
    <w:rsid w:val="00BD1DB1"/>
    <w:rsid w:val="00BD2095"/>
    <w:rsid w:val="00BD2625"/>
    <w:rsid w:val="00BD2FAD"/>
    <w:rsid w:val="00BD3778"/>
    <w:rsid w:val="00BD621E"/>
    <w:rsid w:val="00BE2969"/>
    <w:rsid w:val="00BE5313"/>
    <w:rsid w:val="00BE567F"/>
    <w:rsid w:val="00BE68DB"/>
    <w:rsid w:val="00BF4A4A"/>
    <w:rsid w:val="00BF5DC3"/>
    <w:rsid w:val="00C004CA"/>
    <w:rsid w:val="00C06021"/>
    <w:rsid w:val="00C10085"/>
    <w:rsid w:val="00C103F7"/>
    <w:rsid w:val="00C10428"/>
    <w:rsid w:val="00C11843"/>
    <w:rsid w:val="00C15E60"/>
    <w:rsid w:val="00C175AD"/>
    <w:rsid w:val="00C23AFF"/>
    <w:rsid w:val="00C26AAC"/>
    <w:rsid w:val="00C4026B"/>
    <w:rsid w:val="00C41814"/>
    <w:rsid w:val="00C42799"/>
    <w:rsid w:val="00C4491C"/>
    <w:rsid w:val="00C46A1E"/>
    <w:rsid w:val="00C502C3"/>
    <w:rsid w:val="00C5461F"/>
    <w:rsid w:val="00C650C2"/>
    <w:rsid w:val="00C66899"/>
    <w:rsid w:val="00C67B45"/>
    <w:rsid w:val="00C761C2"/>
    <w:rsid w:val="00C83EEE"/>
    <w:rsid w:val="00C8690F"/>
    <w:rsid w:val="00C8752F"/>
    <w:rsid w:val="00C92842"/>
    <w:rsid w:val="00C93522"/>
    <w:rsid w:val="00C9477A"/>
    <w:rsid w:val="00CA089C"/>
    <w:rsid w:val="00CA0A6F"/>
    <w:rsid w:val="00CA29D0"/>
    <w:rsid w:val="00CA34E7"/>
    <w:rsid w:val="00CA4E25"/>
    <w:rsid w:val="00CA51B2"/>
    <w:rsid w:val="00CA6075"/>
    <w:rsid w:val="00CB23E6"/>
    <w:rsid w:val="00CB3E44"/>
    <w:rsid w:val="00CB4C23"/>
    <w:rsid w:val="00CB513C"/>
    <w:rsid w:val="00CB5D75"/>
    <w:rsid w:val="00CB7C64"/>
    <w:rsid w:val="00CC1FDA"/>
    <w:rsid w:val="00CC2D2E"/>
    <w:rsid w:val="00CC4196"/>
    <w:rsid w:val="00CC6FF1"/>
    <w:rsid w:val="00CD0ED5"/>
    <w:rsid w:val="00CD1617"/>
    <w:rsid w:val="00CD1C18"/>
    <w:rsid w:val="00CD3A78"/>
    <w:rsid w:val="00CD3C0C"/>
    <w:rsid w:val="00CD46D9"/>
    <w:rsid w:val="00CD71B5"/>
    <w:rsid w:val="00CD7CB0"/>
    <w:rsid w:val="00CE4215"/>
    <w:rsid w:val="00CE659B"/>
    <w:rsid w:val="00CF2B4D"/>
    <w:rsid w:val="00CF5E3F"/>
    <w:rsid w:val="00D00636"/>
    <w:rsid w:val="00D01FE7"/>
    <w:rsid w:val="00D02062"/>
    <w:rsid w:val="00D03DBA"/>
    <w:rsid w:val="00D046B7"/>
    <w:rsid w:val="00D0524A"/>
    <w:rsid w:val="00D059D5"/>
    <w:rsid w:val="00D07048"/>
    <w:rsid w:val="00D12A8F"/>
    <w:rsid w:val="00D12E14"/>
    <w:rsid w:val="00D22BB0"/>
    <w:rsid w:val="00D23D38"/>
    <w:rsid w:val="00D24565"/>
    <w:rsid w:val="00D26131"/>
    <w:rsid w:val="00D27144"/>
    <w:rsid w:val="00D304EF"/>
    <w:rsid w:val="00D31C6B"/>
    <w:rsid w:val="00D31EE0"/>
    <w:rsid w:val="00D32A1B"/>
    <w:rsid w:val="00D35D72"/>
    <w:rsid w:val="00D36A0B"/>
    <w:rsid w:val="00D42E48"/>
    <w:rsid w:val="00D47B8B"/>
    <w:rsid w:val="00D51F36"/>
    <w:rsid w:val="00D53396"/>
    <w:rsid w:val="00D53DDB"/>
    <w:rsid w:val="00D57FF7"/>
    <w:rsid w:val="00D61F98"/>
    <w:rsid w:val="00D6636C"/>
    <w:rsid w:val="00D672AA"/>
    <w:rsid w:val="00D67F6A"/>
    <w:rsid w:val="00D7186C"/>
    <w:rsid w:val="00D72D68"/>
    <w:rsid w:val="00D76088"/>
    <w:rsid w:val="00D823E2"/>
    <w:rsid w:val="00D857AB"/>
    <w:rsid w:val="00D86D19"/>
    <w:rsid w:val="00D87120"/>
    <w:rsid w:val="00D909B5"/>
    <w:rsid w:val="00D92F5D"/>
    <w:rsid w:val="00D93AFD"/>
    <w:rsid w:val="00D94282"/>
    <w:rsid w:val="00DA1F55"/>
    <w:rsid w:val="00DB0177"/>
    <w:rsid w:val="00DB0616"/>
    <w:rsid w:val="00DB1011"/>
    <w:rsid w:val="00DB2BCF"/>
    <w:rsid w:val="00DB3062"/>
    <w:rsid w:val="00DC1B68"/>
    <w:rsid w:val="00DC24E6"/>
    <w:rsid w:val="00DC6F0A"/>
    <w:rsid w:val="00DC74AF"/>
    <w:rsid w:val="00DC7E5D"/>
    <w:rsid w:val="00DD1727"/>
    <w:rsid w:val="00DD6152"/>
    <w:rsid w:val="00DE0B3B"/>
    <w:rsid w:val="00DE28D1"/>
    <w:rsid w:val="00DE4586"/>
    <w:rsid w:val="00DE7C50"/>
    <w:rsid w:val="00DE7C77"/>
    <w:rsid w:val="00DF1E60"/>
    <w:rsid w:val="00DF3C47"/>
    <w:rsid w:val="00DF67BE"/>
    <w:rsid w:val="00DF6F0C"/>
    <w:rsid w:val="00DF7F5E"/>
    <w:rsid w:val="00E02625"/>
    <w:rsid w:val="00E06BE4"/>
    <w:rsid w:val="00E10C3B"/>
    <w:rsid w:val="00E1113F"/>
    <w:rsid w:val="00E11B5E"/>
    <w:rsid w:val="00E126B4"/>
    <w:rsid w:val="00E17B03"/>
    <w:rsid w:val="00E200DF"/>
    <w:rsid w:val="00E206E5"/>
    <w:rsid w:val="00E22781"/>
    <w:rsid w:val="00E24216"/>
    <w:rsid w:val="00E244CA"/>
    <w:rsid w:val="00E24996"/>
    <w:rsid w:val="00E26EEE"/>
    <w:rsid w:val="00E301E4"/>
    <w:rsid w:val="00E307E8"/>
    <w:rsid w:val="00E30EF8"/>
    <w:rsid w:val="00E3628A"/>
    <w:rsid w:val="00E371AF"/>
    <w:rsid w:val="00E40966"/>
    <w:rsid w:val="00E437D5"/>
    <w:rsid w:val="00E443A0"/>
    <w:rsid w:val="00E452FC"/>
    <w:rsid w:val="00E5009F"/>
    <w:rsid w:val="00E50DE2"/>
    <w:rsid w:val="00E5375F"/>
    <w:rsid w:val="00E546EB"/>
    <w:rsid w:val="00E60107"/>
    <w:rsid w:val="00E6030A"/>
    <w:rsid w:val="00E61E05"/>
    <w:rsid w:val="00E637FA"/>
    <w:rsid w:val="00E66FA7"/>
    <w:rsid w:val="00E67CFA"/>
    <w:rsid w:val="00E70587"/>
    <w:rsid w:val="00E70646"/>
    <w:rsid w:val="00E7331C"/>
    <w:rsid w:val="00E774C5"/>
    <w:rsid w:val="00E77CA5"/>
    <w:rsid w:val="00E819C0"/>
    <w:rsid w:val="00E833EC"/>
    <w:rsid w:val="00E8557E"/>
    <w:rsid w:val="00E86FDD"/>
    <w:rsid w:val="00E870DC"/>
    <w:rsid w:val="00E87294"/>
    <w:rsid w:val="00E90833"/>
    <w:rsid w:val="00E92DBA"/>
    <w:rsid w:val="00E94871"/>
    <w:rsid w:val="00E950D1"/>
    <w:rsid w:val="00E9626D"/>
    <w:rsid w:val="00E97B96"/>
    <w:rsid w:val="00EA0612"/>
    <w:rsid w:val="00EA426C"/>
    <w:rsid w:val="00EA62DA"/>
    <w:rsid w:val="00EB3319"/>
    <w:rsid w:val="00EB3EEC"/>
    <w:rsid w:val="00EB46F6"/>
    <w:rsid w:val="00EB51AF"/>
    <w:rsid w:val="00EB6D12"/>
    <w:rsid w:val="00EB7FA0"/>
    <w:rsid w:val="00EC09B1"/>
    <w:rsid w:val="00EC4B0B"/>
    <w:rsid w:val="00EC5DA1"/>
    <w:rsid w:val="00EC6F0C"/>
    <w:rsid w:val="00ED1598"/>
    <w:rsid w:val="00ED4655"/>
    <w:rsid w:val="00ED67EA"/>
    <w:rsid w:val="00ED7290"/>
    <w:rsid w:val="00EE18D8"/>
    <w:rsid w:val="00EE4F76"/>
    <w:rsid w:val="00EF390B"/>
    <w:rsid w:val="00EF3F81"/>
    <w:rsid w:val="00F0246A"/>
    <w:rsid w:val="00F03882"/>
    <w:rsid w:val="00F12B97"/>
    <w:rsid w:val="00F12E5D"/>
    <w:rsid w:val="00F14D0D"/>
    <w:rsid w:val="00F17A29"/>
    <w:rsid w:val="00F17E30"/>
    <w:rsid w:val="00F21105"/>
    <w:rsid w:val="00F21BFF"/>
    <w:rsid w:val="00F231BF"/>
    <w:rsid w:val="00F3742A"/>
    <w:rsid w:val="00F43898"/>
    <w:rsid w:val="00F43AFD"/>
    <w:rsid w:val="00F4538C"/>
    <w:rsid w:val="00F4542F"/>
    <w:rsid w:val="00F4613E"/>
    <w:rsid w:val="00F503FD"/>
    <w:rsid w:val="00F51D8A"/>
    <w:rsid w:val="00F5359B"/>
    <w:rsid w:val="00F53D72"/>
    <w:rsid w:val="00F61968"/>
    <w:rsid w:val="00F6422B"/>
    <w:rsid w:val="00F652B2"/>
    <w:rsid w:val="00F715A0"/>
    <w:rsid w:val="00F7192E"/>
    <w:rsid w:val="00F759DE"/>
    <w:rsid w:val="00F8040C"/>
    <w:rsid w:val="00F8551E"/>
    <w:rsid w:val="00F9235B"/>
    <w:rsid w:val="00F94075"/>
    <w:rsid w:val="00F94F42"/>
    <w:rsid w:val="00F97691"/>
    <w:rsid w:val="00FA1BBF"/>
    <w:rsid w:val="00FA372D"/>
    <w:rsid w:val="00FA377D"/>
    <w:rsid w:val="00FA7CAD"/>
    <w:rsid w:val="00FB3D7D"/>
    <w:rsid w:val="00FB48B3"/>
    <w:rsid w:val="00FB51DF"/>
    <w:rsid w:val="00FB75BE"/>
    <w:rsid w:val="00FC3DB1"/>
    <w:rsid w:val="00FC476A"/>
    <w:rsid w:val="00FC7872"/>
    <w:rsid w:val="00FD028A"/>
    <w:rsid w:val="00FD28A7"/>
    <w:rsid w:val="00FD4B48"/>
    <w:rsid w:val="00FD70C1"/>
    <w:rsid w:val="00FD7E7D"/>
    <w:rsid w:val="00FE5D91"/>
    <w:rsid w:val="00FE73DE"/>
    <w:rsid w:val="00FF40CF"/>
    <w:rsid w:val="00FF4141"/>
    <w:rsid w:val="13296B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annotation reference" w:qFormat="1"/>
    <w:lsdException w:name="line number"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annotation subject" w:qFormat="1"/>
    <w:lsdException w:name="Balloon Text" w:qFormat="1"/>
    <w:lsdException w:name="Table Grid" w:semiHidden="0" w:uiPriority="3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rPr>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pPr>
      <w:keepNext/>
      <w:keepLines/>
      <w:spacing w:before="40" w:after="0"/>
      <w:outlineLvl w:val="2"/>
    </w:pPr>
    <w:rPr>
      <w:rFonts w:asciiTheme="majorHAnsi" w:eastAsiaTheme="majorEastAsia" w:hAnsiTheme="majorHAnsi" w:cstheme="majorBidi"/>
      <w:color w:val="1F3864" w:themeColor="accent1" w:themeShade="8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Segoe UI" w:hAnsi="Segoe UI" w:cs="Segoe UI"/>
      <w:sz w:val="18"/>
      <w:szCs w:val="18"/>
    </w:rPr>
  </w:style>
  <w:style w:type="character" w:styleId="CommentReference">
    <w:name w:val="annotation reference"/>
    <w:basedOn w:val="DefaultParagraphFont"/>
    <w:uiPriority w:val="99"/>
    <w:semiHidden/>
    <w:unhideWhenUsed/>
    <w:qFormat/>
    <w:rPr>
      <w:sz w:val="16"/>
      <w:szCs w:val="16"/>
    </w:rPr>
  </w:style>
  <w:style w:type="paragraph" w:styleId="CommentText">
    <w:name w:val="annotation text"/>
    <w:basedOn w:val="Normal"/>
    <w:link w:val="CommentTextChar"/>
    <w:uiPriority w:val="99"/>
    <w:semiHidden/>
    <w:unhideWhenUsed/>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qFormat/>
    <w:rPr>
      <w:b/>
      <w:bCs/>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styleId="Hyperlink">
    <w:name w:val="Hyperlink"/>
    <w:basedOn w:val="DefaultParagraphFont"/>
    <w:uiPriority w:val="99"/>
    <w:unhideWhenUsed/>
    <w:qFormat/>
    <w:rPr>
      <w:color w:val="0563C1" w:themeColor="hyperlink"/>
      <w:u w:val="single"/>
    </w:rPr>
  </w:style>
  <w:style w:type="character" w:styleId="LineNumber">
    <w:name w:val="line number"/>
    <w:basedOn w:val="DefaultParagraphFont"/>
    <w:uiPriority w:val="99"/>
    <w:semiHidden/>
    <w:unhideWhenUsed/>
    <w:qFormat/>
  </w:style>
  <w:style w:type="table" w:styleId="TableGrid">
    <w:name w:val="Table Grid"/>
    <w:basedOn w:val="TableNormal"/>
    <w:uiPriority w:val="3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color w:val="1F3864" w:themeColor="accent1" w:themeShade="80"/>
      <w:sz w:val="24"/>
      <w:szCs w:val="24"/>
    </w:rPr>
  </w:style>
  <w:style w:type="paragraph" w:styleId="ListParagraph">
    <w:name w:val="List Paragraph"/>
    <w:basedOn w:val="Normal"/>
    <w:uiPriority w:val="34"/>
    <w:qFormat/>
    <w:pPr>
      <w:ind w:left="720"/>
      <w:contextualSpacing/>
    </w:pPr>
  </w:style>
  <w:style w:type="character" w:customStyle="1" w:styleId="fontstyle01">
    <w:name w:val="fontstyle01"/>
    <w:basedOn w:val="DefaultParagraphFont"/>
    <w:qFormat/>
    <w:rPr>
      <w:rFonts w:ascii="Times Roman" w:hAnsi="Times Roman" w:hint="default"/>
      <w:color w:val="000000"/>
      <w:sz w:val="20"/>
      <w:szCs w:val="20"/>
    </w:rPr>
  </w:style>
  <w:style w:type="character" w:customStyle="1" w:styleId="fontstyle21">
    <w:name w:val="fontstyle21"/>
    <w:basedOn w:val="DefaultParagraphFont"/>
    <w:rPr>
      <w:rFonts w:ascii="Times Roman" w:hAnsi="Times Roman" w:hint="default"/>
      <w:color w:val="000000"/>
      <w:sz w:val="20"/>
      <w:szCs w:val="20"/>
    </w:rPr>
  </w:style>
  <w:style w:type="paragraph" w:customStyle="1" w:styleId="EndNoteBibliographyTitle">
    <w:name w:val="EndNote Bibliography Title"/>
    <w:basedOn w:val="Normal"/>
    <w:link w:val="EndNoteBibliographyTitleChar"/>
    <w:qFormat/>
    <w:pPr>
      <w:spacing w:after="0"/>
      <w:jc w:val="center"/>
    </w:pPr>
    <w:rPr>
      <w:rFonts w:ascii="Calibri" w:hAnsi="Calibri" w:cs="Calibri"/>
    </w:rPr>
  </w:style>
  <w:style w:type="character" w:customStyle="1" w:styleId="EndNoteBibliographyTitleChar">
    <w:name w:val="EndNote Bibliography Title Char"/>
    <w:basedOn w:val="DefaultParagraphFont"/>
    <w:link w:val="EndNoteBibliographyTitle"/>
    <w:rPr>
      <w:rFonts w:ascii="Calibri" w:hAnsi="Calibri" w:cs="Calibri"/>
    </w:rPr>
  </w:style>
  <w:style w:type="paragraph" w:customStyle="1" w:styleId="EndNoteBibliography">
    <w:name w:val="EndNote Bibliography"/>
    <w:basedOn w:val="Normal"/>
    <w:link w:val="EndNoteBibliographyChar"/>
    <w:pPr>
      <w:spacing w:line="240" w:lineRule="auto"/>
    </w:pPr>
    <w:rPr>
      <w:rFonts w:ascii="Calibri" w:hAnsi="Calibri" w:cs="Calibri"/>
    </w:rPr>
  </w:style>
  <w:style w:type="character" w:customStyle="1" w:styleId="EndNoteBibliographyChar">
    <w:name w:val="EndNote Bibliography Char"/>
    <w:basedOn w:val="DefaultParagraphFont"/>
    <w:link w:val="EndNoteBibliography"/>
    <w:qFormat/>
    <w:rPr>
      <w:rFonts w:ascii="Calibri" w:hAnsi="Calibri" w:cs="Calibri"/>
    </w:rPr>
  </w:style>
  <w:style w:type="character" w:customStyle="1" w:styleId="BalloonTextChar">
    <w:name w:val="Balloon Text Char"/>
    <w:basedOn w:val="DefaultParagraphFont"/>
    <w:link w:val="BalloonText"/>
    <w:uiPriority w:val="99"/>
    <w:semiHidden/>
    <w:qFormat/>
    <w:rPr>
      <w:rFonts w:ascii="Segoe UI" w:hAnsi="Segoe UI" w:cs="Segoe UI"/>
      <w:sz w:val="18"/>
      <w:szCs w:val="18"/>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paragraph" w:customStyle="1" w:styleId="Default">
    <w:name w:val="Default"/>
    <w:pPr>
      <w:autoSpaceDE w:val="0"/>
      <w:autoSpaceDN w:val="0"/>
      <w:adjustRightInd w:val="0"/>
    </w:pPr>
    <w:rPr>
      <w:rFonts w:ascii="Times New Roman" w:hAnsi="Times New Roman" w:cs="Times New Roman"/>
      <w:color w:val="000000"/>
      <w:sz w:val="24"/>
      <w:szCs w:val="24"/>
    </w:rPr>
  </w:style>
  <w:style w:type="character" w:customStyle="1" w:styleId="CommentTextChar">
    <w:name w:val="Comment Text Char"/>
    <w:basedOn w:val="DefaultParagraphFont"/>
    <w:link w:val="CommentText"/>
    <w:uiPriority w:val="99"/>
    <w:semiHidden/>
    <w:qFormat/>
    <w:rPr>
      <w:sz w:val="20"/>
      <w:szCs w:val="20"/>
    </w:rPr>
  </w:style>
  <w:style w:type="character" w:customStyle="1" w:styleId="CommentSubjectChar">
    <w:name w:val="Comment Subject Char"/>
    <w:basedOn w:val="CommentTextChar"/>
    <w:link w:val="CommentSubject"/>
    <w:uiPriority w:val="99"/>
    <w:semiHidden/>
    <w:qFormat/>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annotation reference" w:qFormat="1"/>
    <w:lsdException w:name="line number"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annotation subject" w:qFormat="1"/>
    <w:lsdException w:name="Balloon Text" w:qFormat="1"/>
    <w:lsdException w:name="Table Grid" w:semiHidden="0" w:uiPriority="3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rPr>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pPr>
      <w:keepNext/>
      <w:keepLines/>
      <w:spacing w:before="40" w:after="0"/>
      <w:outlineLvl w:val="2"/>
    </w:pPr>
    <w:rPr>
      <w:rFonts w:asciiTheme="majorHAnsi" w:eastAsiaTheme="majorEastAsia" w:hAnsiTheme="majorHAnsi" w:cstheme="majorBidi"/>
      <w:color w:val="1F3864" w:themeColor="accent1" w:themeShade="8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Segoe UI" w:hAnsi="Segoe UI" w:cs="Segoe UI"/>
      <w:sz w:val="18"/>
      <w:szCs w:val="18"/>
    </w:rPr>
  </w:style>
  <w:style w:type="character" w:styleId="CommentReference">
    <w:name w:val="annotation reference"/>
    <w:basedOn w:val="DefaultParagraphFont"/>
    <w:uiPriority w:val="99"/>
    <w:semiHidden/>
    <w:unhideWhenUsed/>
    <w:qFormat/>
    <w:rPr>
      <w:sz w:val="16"/>
      <w:szCs w:val="16"/>
    </w:rPr>
  </w:style>
  <w:style w:type="paragraph" w:styleId="CommentText">
    <w:name w:val="annotation text"/>
    <w:basedOn w:val="Normal"/>
    <w:link w:val="CommentTextChar"/>
    <w:uiPriority w:val="99"/>
    <w:semiHidden/>
    <w:unhideWhenUsed/>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qFormat/>
    <w:rPr>
      <w:b/>
      <w:bCs/>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styleId="Hyperlink">
    <w:name w:val="Hyperlink"/>
    <w:basedOn w:val="DefaultParagraphFont"/>
    <w:uiPriority w:val="99"/>
    <w:unhideWhenUsed/>
    <w:qFormat/>
    <w:rPr>
      <w:color w:val="0563C1" w:themeColor="hyperlink"/>
      <w:u w:val="single"/>
    </w:rPr>
  </w:style>
  <w:style w:type="character" w:styleId="LineNumber">
    <w:name w:val="line number"/>
    <w:basedOn w:val="DefaultParagraphFont"/>
    <w:uiPriority w:val="99"/>
    <w:semiHidden/>
    <w:unhideWhenUsed/>
    <w:qFormat/>
  </w:style>
  <w:style w:type="table" w:styleId="TableGrid">
    <w:name w:val="Table Grid"/>
    <w:basedOn w:val="TableNormal"/>
    <w:uiPriority w:val="3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color w:val="1F3864" w:themeColor="accent1" w:themeShade="80"/>
      <w:sz w:val="24"/>
      <w:szCs w:val="24"/>
    </w:rPr>
  </w:style>
  <w:style w:type="paragraph" w:styleId="ListParagraph">
    <w:name w:val="List Paragraph"/>
    <w:basedOn w:val="Normal"/>
    <w:uiPriority w:val="34"/>
    <w:qFormat/>
    <w:pPr>
      <w:ind w:left="720"/>
      <w:contextualSpacing/>
    </w:pPr>
  </w:style>
  <w:style w:type="character" w:customStyle="1" w:styleId="fontstyle01">
    <w:name w:val="fontstyle01"/>
    <w:basedOn w:val="DefaultParagraphFont"/>
    <w:qFormat/>
    <w:rPr>
      <w:rFonts w:ascii="Times Roman" w:hAnsi="Times Roman" w:hint="default"/>
      <w:color w:val="000000"/>
      <w:sz w:val="20"/>
      <w:szCs w:val="20"/>
    </w:rPr>
  </w:style>
  <w:style w:type="character" w:customStyle="1" w:styleId="fontstyle21">
    <w:name w:val="fontstyle21"/>
    <w:basedOn w:val="DefaultParagraphFont"/>
    <w:rPr>
      <w:rFonts w:ascii="Times Roman" w:hAnsi="Times Roman" w:hint="default"/>
      <w:color w:val="000000"/>
      <w:sz w:val="20"/>
      <w:szCs w:val="20"/>
    </w:rPr>
  </w:style>
  <w:style w:type="paragraph" w:customStyle="1" w:styleId="EndNoteBibliographyTitle">
    <w:name w:val="EndNote Bibliography Title"/>
    <w:basedOn w:val="Normal"/>
    <w:link w:val="EndNoteBibliographyTitleChar"/>
    <w:qFormat/>
    <w:pPr>
      <w:spacing w:after="0"/>
      <w:jc w:val="center"/>
    </w:pPr>
    <w:rPr>
      <w:rFonts w:ascii="Calibri" w:hAnsi="Calibri" w:cs="Calibri"/>
    </w:rPr>
  </w:style>
  <w:style w:type="character" w:customStyle="1" w:styleId="EndNoteBibliographyTitleChar">
    <w:name w:val="EndNote Bibliography Title Char"/>
    <w:basedOn w:val="DefaultParagraphFont"/>
    <w:link w:val="EndNoteBibliographyTitle"/>
    <w:rPr>
      <w:rFonts w:ascii="Calibri" w:hAnsi="Calibri" w:cs="Calibri"/>
    </w:rPr>
  </w:style>
  <w:style w:type="paragraph" w:customStyle="1" w:styleId="EndNoteBibliography">
    <w:name w:val="EndNote Bibliography"/>
    <w:basedOn w:val="Normal"/>
    <w:link w:val="EndNoteBibliographyChar"/>
    <w:pPr>
      <w:spacing w:line="240" w:lineRule="auto"/>
    </w:pPr>
    <w:rPr>
      <w:rFonts w:ascii="Calibri" w:hAnsi="Calibri" w:cs="Calibri"/>
    </w:rPr>
  </w:style>
  <w:style w:type="character" w:customStyle="1" w:styleId="EndNoteBibliographyChar">
    <w:name w:val="EndNote Bibliography Char"/>
    <w:basedOn w:val="DefaultParagraphFont"/>
    <w:link w:val="EndNoteBibliography"/>
    <w:qFormat/>
    <w:rPr>
      <w:rFonts w:ascii="Calibri" w:hAnsi="Calibri" w:cs="Calibri"/>
    </w:rPr>
  </w:style>
  <w:style w:type="character" w:customStyle="1" w:styleId="BalloonTextChar">
    <w:name w:val="Balloon Text Char"/>
    <w:basedOn w:val="DefaultParagraphFont"/>
    <w:link w:val="BalloonText"/>
    <w:uiPriority w:val="99"/>
    <w:semiHidden/>
    <w:qFormat/>
    <w:rPr>
      <w:rFonts w:ascii="Segoe UI" w:hAnsi="Segoe UI" w:cs="Segoe UI"/>
      <w:sz w:val="18"/>
      <w:szCs w:val="18"/>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paragraph" w:customStyle="1" w:styleId="Default">
    <w:name w:val="Default"/>
    <w:pPr>
      <w:autoSpaceDE w:val="0"/>
      <w:autoSpaceDN w:val="0"/>
      <w:adjustRightInd w:val="0"/>
    </w:pPr>
    <w:rPr>
      <w:rFonts w:ascii="Times New Roman" w:hAnsi="Times New Roman" w:cs="Times New Roman"/>
      <w:color w:val="000000"/>
      <w:sz w:val="24"/>
      <w:szCs w:val="24"/>
    </w:rPr>
  </w:style>
  <w:style w:type="character" w:customStyle="1" w:styleId="CommentTextChar">
    <w:name w:val="Comment Text Char"/>
    <w:basedOn w:val="DefaultParagraphFont"/>
    <w:link w:val="CommentText"/>
    <w:uiPriority w:val="99"/>
    <w:semiHidden/>
    <w:qFormat/>
    <w:rPr>
      <w:sz w:val="20"/>
      <w:szCs w:val="20"/>
    </w:rPr>
  </w:style>
  <w:style w:type="character" w:customStyle="1" w:styleId="CommentSubjectChar">
    <w:name w:val="Comment Subject Char"/>
    <w:basedOn w:val="CommentTextChar"/>
    <w:link w:val="CommentSubject"/>
    <w:uiPriority w:val="99"/>
    <w:semiHidden/>
    <w:qFormat/>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mailto:dauda.ao@unilorin.edu.ng"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17" Type="http://schemas.microsoft.com/office/2016/09/relationships/commentsIds" Target="commentsIds.xml"/><Relationship Id="rId2" Type="http://schemas.openxmlformats.org/officeDocument/2006/relationships/styles" Target="styles.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microsoft.com/office/2011/relationships/commentsExtended" Target="commentsExtended.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adegboladauda@yahoo.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18</Pages>
  <Words>9894</Words>
  <Characters>56402</Characters>
  <Application>Microsoft Office Word</Application>
  <DocSecurity>0</DocSecurity>
  <Lines>470</Lines>
  <Paragraphs>132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66164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A. DAUDA</dc:creator>
  <cp:lastModifiedBy>DR A. DAUDA</cp:lastModifiedBy>
  <cp:revision>30</cp:revision>
  <dcterms:created xsi:type="dcterms:W3CDTF">2023-04-14T13:24:00Z</dcterms:created>
  <dcterms:modified xsi:type="dcterms:W3CDTF">2023-04-15T21:13:00Z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1033-11.2.0.11440</vt:lpwstr>
  </property>
  <property fmtid="{D5CDD505-2E9C-101B-9397-08002B2CF9AE}" pid="3" name="ICV">
    <vt:lpwstr>2C05965B5EA4488598FFD430B9D02410</vt:lpwstr>
  </property>
  <property fmtid="{D5CDD505-2E9C-101B-9397-08002B2CF9AE}" pid="4" name="GrammarlyDocumentId">
    <vt:lpwstr>8b8fec26afe11dc7f6fda8934df9d519ee1a427873f6c93d700e581d6fcac4f2</vt:lpwstr>
  </property>
</Properties>
</file>