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67D35" w14:textId="77777777" w:rsidR="004D74C1" w:rsidRPr="004D74C1" w:rsidRDefault="004D74C1" w:rsidP="004D74C1">
      <w:pPr>
        <w:rPr>
          <w:b/>
          <w:lang w:val="en-CA"/>
        </w:rPr>
      </w:pPr>
      <w:r w:rsidRPr="004D74C1">
        <w:rPr>
          <w:b/>
          <w:lang w:val="en-CA"/>
        </w:rPr>
        <w:t xml:space="preserve">African Commission on Human and Peoples’ Rights (ACHPR) and Judicial Independence in Africa:  Towards </w:t>
      </w:r>
      <w:proofErr w:type="gramStart"/>
      <w:r w:rsidRPr="004D74C1">
        <w:rPr>
          <w:b/>
          <w:lang w:val="en-CA"/>
        </w:rPr>
        <w:t>An</w:t>
      </w:r>
      <w:proofErr w:type="gramEnd"/>
      <w:r w:rsidRPr="004D74C1">
        <w:rPr>
          <w:b/>
          <w:lang w:val="en-CA"/>
        </w:rPr>
        <w:t xml:space="preserve"> Independent Nigerian Judiciary</w:t>
      </w:r>
    </w:p>
    <w:p w14:paraId="223E47F3" w14:textId="77777777" w:rsidR="004D74C1" w:rsidRPr="004D74C1" w:rsidRDefault="004D74C1" w:rsidP="004D74C1">
      <w:pPr>
        <w:rPr>
          <w:b/>
          <w:lang w:val="en-CA"/>
        </w:rPr>
      </w:pPr>
    </w:p>
    <w:p w14:paraId="4A5B0C1E" w14:textId="77777777" w:rsidR="004D74C1" w:rsidRPr="004D74C1" w:rsidRDefault="004D74C1" w:rsidP="004D74C1">
      <w:pPr>
        <w:rPr>
          <w:b/>
          <w:vertAlign w:val="superscript"/>
          <w:lang w:val="en-US"/>
        </w:rPr>
      </w:pPr>
      <w:proofErr w:type="spellStart"/>
      <w:r w:rsidRPr="004D74C1">
        <w:rPr>
          <w:b/>
          <w:lang w:val="en-US"/>
        </w:rPr>
        <w:t>Onuora-Oguno</w:t>
      </w:r>
      <w:proofErr w:type="spellEnd"/>
      <w:r w:rsidRPr="004D74C1">
        <w:rPr>
          <w:b/>
          <w:lang w:val="en-US"/>
        </w:rPr>
        <w:t xml:space="preserve"> </w:t>
      </w:r>
      <w:proofErr w:type="spellStart"/>
      <w:r w:rsidRPr="004D74C1">
        <w:rPr>
          <w:b/>
          <w:lang w:val="en-US"/>
        </w:rPr>
        <w:t>Azubike</w:t>
      </w:r>
      <w:proofErr w:type="spellEnd"/>
      <w:r w:rsidRPr="004D74C1">
        <w:rPr>
          <w:b/>
          <w:lang w:val="en-US"/>
        </w:rPr>
        <w:t xml:space="preserve"> </w:t>
      </w:r>
      <w:r w:rsidRPr="004D74C1">
        <w:rPr>
          <w:b/>
          <w:vertAlign w:val="superscript"/>
          <w:lang w:val="en-US"/>
        </w:rPr>
        <w:footnoteReference w:customMarkFollows="1" w:id="1"/>
        <w:sym w:font="Symbol" w:char="F02A"/>
      </w:r>
      <w:r w:rsidRPr="004D74C1">
        <w:rPr>
          <w:b/>
          <w:vertAlign w:val="superscript"/>
          <w:lang w:val="en-US"/>
        </w:rPr>
        <w:t xml:space="preserve"> </w:t>
      </w:r>
      <w:r w:rsidRPr="004D74C1">
        <w:rPr>
          <w:b/>
          <w:lang w:val="en-US"/>
        </w:rPr>
        <w:t xml:space="preserve">, Niyi-Gafar </w:t>
      </w:r>
      <w:proofErr w:type="gramStart"/>
      <w:r w:rsidRPr="004D74C1">
        <w:rPr>
          <w:b/>
          <w:lang w:val="en-US"/>
        </w:rPr>
        <w:t>O.L</w:t>
      </w:r>
      <w:proofErr w:type="gramEnd"/>
      <w:r w:rsidRPr="004D74C1">
        <w:rPr>
          <w:b/>
          <w:vertAlign w:val="superscript"/>
          <w:lang w:val="en-US"/>
        </w:rPr>
        <w:footnoteReference w:customMarkFollows="1" w:id="2"/>
        <w:sym w:font="Symbol" w:char="F02A"/>
      </w:r>
      <w:r w:rsidRPr="004D74C1">
        <w:rPr>
          <w:b/>
          <w:lang w:val="en-US"/>
        </w:rPr>
        <w:t xml:space="preserve">  and  E.F. OWOLABI</w:t>
      </w:r>
      <w:r w:rsidRPr="004D74C1">
        <w:rPr>
          <w:b/>
          <w:vertAlign w:val="superscript"/>
          <w:lang w:val="en-US"/>
        </w:rPr>
        <w:footnoteReference w:customMarkFollows="1" w:id="3"/>
        <w:sym w:font="Symbol" w:char="F02A"/>
      </w:r>
    </w:p>
    <w:p w14:paraId="21ECC8BF" w14:textId="77777777" w:rsidR="004D74C1" w:rsidRPr="004D74C1" w:rsidRDefault="004D74C1" w:rsidP="004D74C1">
      <w:pPr>
        <w:rPr>
          <w:b/>
          <w:lang w:val="en-CA"/>
        </w:rPr>
      </w:pPr>
    </w:p>
    <w:p w14:paraId="13DE05CE" w14:textId="77777777" w:rsidR="004D74C1" w:rsidRPr="004D74C1" w:rsidRDefault="004D74C1" w:rsidP="004D74C1">
      <w:pPr>
        <w:rPr>
          <w:b/>
          <w:bCs/>
          <w:i/>
          <w:lang w:val="en-CA"/>
        </w:rPr>
      </w:pPr>
      <w:bookmarkStart w:id="0" w:name="_GoBack"/>
      <w:r w:rsidRPr="004D74C1">
        <w:rPr>
          <w:bCs/>
          <w:i/>
          <w:lang w:val="en-CA"/>
        </w:rPr>
        <w:t xml:space="preserve">The importance of judicial independence was asserted by the African Commission on Human and Peoples’ Rights in </w:t>
      </w:r>
      <w:r w:rsidRPr="004D74C1">
        <w:rPr>
          <w:bCs/>
          <w:i/>
          <w:lang w:val="en-ZA"/>
        </w:rPr>
        <w:t xml:space="preserve">Resolution 21 “Respect and the Strengthening the Independence of the Judiciary”. The commission reiterated the importance of the judiciary engaging in maintenance of social equilibrium and ensuring public confidence in the judiciary. Part of the resolution advances the need for State parties to ensure that legislations do not inhibit the ambit of the task of the judiciary; ensure prime welfare of judges and protection. Summarily, the basic principles of judicial independence are that exercise of judiciary powers must not be interfered with by the acts of the legislature and executive. As the case is, the Nigeria judiciary’s ability to engage in socio-economic and cultural rights seems to be curtailed by legislative enactments and acts especially with respect to the provision of Section 6 6(c) of the 1999 Constitution. The African Commission have entertained cases emanating from Nigeria giving exemption to the doctrine of exhaustion of local remedies because of perceived unavailability and inability of the judiciary to address violation of rights of individuals and </w:t>
      </w:r>
      <w:proofErr w:type="gramStart"/>
      <w:r w:rsidRPr="004D74C1">
        <w:rPr>
          <w:bCs/>
          <w:i/>
          <w:lang w:val="en-ZA"/>
        </w:rPr>
        <w:t>peoples’</w:t>
      </w:r>
      <w:proofErr w:type="gramEnd"/>
      <w:r w:rsidRPr="004D74C1">
        <w:rPr>
          <w:bCs/>
          <w:i/>
          <w:lang w:val="en-ZA"/>
        </w:rPr>
        <w:t>. Premised on this, the chapter examines the mandate of the African Commission in driving the independence of judiciaries with particular focus on Nigeria. To achieve this, the chapter examines the jurisprudence of the African Commission on issues hinged on judicial independence and analyses its case laws. Structured in five parts, part one is the introduction; part two briefly looks at the mandate of the commission and national judicial institutions; part three examines the jurisprudence of the Commission that relates to judicial independence advancing inherent limitations on the Commission’s independence; part four argues that for the Nigeria judiciary to become independent, it must embrace the principles of judicial activism in building jurisprudence and gaining the confidence of individuals. The final part makes conclusions and recommendation.</w:t>
      </w:r>
    </w:p>
    <w:bookmarkEnd w:id="0"/>
    <w:p w14:paraId="47916F13" w14:textId="77777777" w:rsidR="004D74C1" w:rsidRPr="004D74C1" w:rsidRDefault="004D74C1" w:rsidP="004D74C1">
      <w:pPr>
        <w:rPr>
          <w:b/>
          <w:lang w:val="en-CA"/>
        </w:rPr>
      </w:pPr>
      <w:r w:rsidRPr="004D74C1">
        <w:rPr>
          <w:b/>
          <w:lang w:val="en-CA"/>
        </w:rPr>
        <w:br w:type="page"/>
      </w:r>
    </w:p>
    <w:p w14:paraId="315F116E" w14:textId="77777777" w:rsidR="004D74C1" w:rsidRPr="004D74C1" w:rsidRDefault="004D74C1" w:rsidP="004D74C1">
      <w:pPr>
        <w:rPr>
          <w:b/>
          <w:lang w:val="en-CA"/>
        </w:rPr>
      </w:pPr>
      <w:r w:rsidRPr="004D74C1">
        <w:rPr>
          <w:b/>
          <w:lang w:val="en-CA"/>
        </w:rPr>
        <w:lastRenderedPageBreak/>
        <w:t>1.</w:t>
      </w:r>
      <w:r w:rsidRPr="004D74C1">
        <w:rPr>
          <w:b/>
          <w:lang w:val="en-CA"/>
        </w:rPr>
        <w:tab/>
        <w:t>INTRODUCTION</w:t>
      </w:r>
    </w:p>
    <w:p w14:paraId="272C8786" w14:textId="77777777" w:rsidR="004D74C1" w:rsidRPr="004D74C1" w:rsidRDefault="004D74C1" w:rsidP="004D74C1">
      <w:pPr>
        <w:rPr>
          <w:lang w:val="en-CA"/>
        </w:rPr>
      </w:pPr>
      <w:r w:rsidRPr="004D74C1">
        <w:rPr>
          <w:lang w:val="en-CA"/>
        </w:rPr>
        <w:t>The principle of an independent judiciary has its origin in the theory of separation of powers.</w:t>
      </w:r>
      <w:r w:rsidRPr="004D74C1">
        <w:rPr>
          <w:vertAlign w:val="superscript"/>
          <w:lang w:val="en-CA"/>
        </w:rPr>
        <w:footnoteReference w:id="4"/>
      </w:r>
      <w:r w:rsidRPr="004D74C1">
        <w:rPr>
          <w:lang w:val="en-CA"/>
        </w:rPr>
        <w:t xml:space="preserve"> The three arms of government, the executive, judiciary and legislative serve as checks and balance which aims at preventing abuse of powers to the detriment of the society.</w:t>
      </w:r>
      <w:r w:rsidRPr="004D74C1">
        <w:rPr>
          <w:vertAlign w:val="superscript"/>
          <w:lang w:val="en-CA"/>
        </w:rPr>
        <w:footnoteReference w:id="5"/>
      </w:r>
      <w:r w:rsidRPr="004D74C1">
        <w:rPr>
          <w:lang w:val="en-CA"/>
        </w:rPr>
        <w:t xml:space="preserve"> As envisaged by the doctrine, it is noted that of the three arms of government the judiciary hold specific duties which also relates to the other two arms of government. The judiciary interprets the laws which the legislative arm of government has enacted and the executive arm of government enforces the law as interpreted by the judiciary. </w:t>
      </w:r>
    </w:p>
    <w:p w14:paraId="7257DBFF" w14:textId="77777777" w:rsidR="004618B5" w:rsidRDefault="004618B5"/>
    <w:sectPr w:rsidR="004618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D7A4F" w14:textId="77777777" w:rsidR="009D1669" w:rsidRDefault="009D1669" w:rsidP="004D74C1">
      <w:pPr>
        <w:spacing w:after="0" w:line="240" w:lineRule="auto"/>
      </w:pPr>
      <w:r>
        <w:separator/>
      </w:r>
    </w:p>
  </w:endnote>
  <w:endnote w:type="continuationSeparator" w:id="0">
    <w:p w14:paraId="3FE9B2F8" w14:textId="77777777" w:rsidR="009D1669" w:rsidRDefault="009D1669" w:rsidP="004D7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F8A9A" w14:textId="77777777" w:rsidR="009D1669" w:rsidRDefault="009D1669" w:rsidP="004D74C1">
      <w:pPr>
        <w:spacing w:after="0" w:line="240" w:lineRule="auto"/>
      </w:pPr>
      <w:r>
        <w:separator/>
      </w:r>
    </w:p>
  </w:footnote>
  <w:footnote w:type="continuationSeparator" w:id="0">
    <w:p w14:paraId="6274F5E9" w14:textId="77777777" w:rsidR="009D1669" w:rsidRDefault="009D1669" w:rsidP="004D74C1">
      <w:pPr>
        <w:spacing w:after="0" w:line="240" w:lineRule="auto"/>
      </w:pPr>
      <w:r>
        <w:continuationSeparator/>
      </w:r>
    </w:p>
  </w:footnote>
  <w:footnote w:id="1">
    <w:p w14:paraId="0156D785" w14:textId="77777777" w:rsidR="004D74C1" w:rsidRDefault="004D74C1" w:rsidP="004D74C1">
      <w:pPr>
        <w:pStyle w:val="FootnoteText"/>
        <w:spacing w:before="240"/>
        <w:jc w:val="both"/>
        <w:rPr>
          <w:rFonts w:ascii="Times New Roman" w:hAnsi="Times New Roman"/>
        </w:rPr>
      </w:pPr>
      <w:r>
        <w:rPr>
          <w:rStyle w:val="FootnoteReference"/>
          <w:rFonts w:ascii="Times New Roman" w:hAnsi="Times New Roman"/>
        </w:rPr>
        <w:sym w:font="Symbol" w:char="F02A"/>
      </w:r>
      <w:r>
        <w:rPr>
          <w:rStyle w:val="Emphasis"/>
        </w:rPr>
        <w:t xml:space="preserve"> </w:t>
      </w:r>
      <w:proofErr w:type="gramStart"/>
      <w:r>
        <w:rPr>
          <w:rStyle w:val="Emphasis"/>
        </w:rPr>
        <w:t>LL.B</w:t>
      </w:r>
      <w:proofErr w:type="gramEnd"/>
      <w:r>
        <w:rPr>
          <w:rStyle w:val="Emphasis"/>
        </w:rPr>
        <w:t xml:space="preserve">, BL (Nigeria), LL.M (South Africa). </w:t>
      </w:r>
      <w:proofErr w:type="spellStart"/>
      <w:r>
        <w:rPr>
          <w:rStyle w:val="Emphasis"/>
        </w:rPr>
        <w:t>Onuora-Oguno</w:t>
      </w:r>
      <w:proofErr w:type="spellEnd"/>
      <w:r>
        <w:rPr>
          <w:rStyle w:val="Emphasis"/>
        </w:rPr>
        <w:t xml:space="preserve"> is currently a lecturer at the department of Jurisprudence and International law, faculty of Law, University of Ilorin. He is a practicing lawyer before the Nigeria Supreme Court. Mr </w:t>
      </w:r>
      <w:proofErr w:type="spellStart"/>
      <w:r>
        <w:rPr>
          <w:rStyle w:val="Emphasis"/>
        </w:rPr>
        <w:t>Onuora-Oguno</w:t>
      </w:r>
      <w:proofErr w:type="spellEnd"/>
      <w:r>
        <w:rPr>
          <w:rStyle w:val="Emphasis"/>
        </w:rPr>
        <w:t xml:space="preserve"> has vast professional experience gained from his work and affiliation with the International Refuge Rights Initiative, Kampala Uganda, he worked as a law clerk in the Information and Evidence Unit, Office of the Prosecutor International Criminal Court, The Hague, Netherlands. </w:t>
      </w:r>
      <w:hyperlink r:id="rId1" w:history="1">
        <w:r>
          <w:rPr>
            <w:rStyle w:val="Emphasis"/>
          </w:rPr>
          <w:t>Azubike.onuoraoguno@gmail.com</w:t>
        </w:r>
      </w:hyperlink>
      <w:r>
        <w:rPr>
          <w:rStyle w:val="Emphasis"/>
        </w:rPr>
        <w:t>.</w:t>
      </w:r>
    </w:p>
  </w:footnote>
  <w:footnote w:id="2">
    <w:p w14:paraId="7B96A7BC" w14:textId="77777777" w:rsidR="004D74C1" w:rsidRDefault="004D74C1" w:rsidP="004D74C1">
      <w:pPr>
        <w:pStyle w:val="FootnoteText"/>
        <w:spacing w:before="240"/>
        <w:jc w:val="both"/>
        <w:rPr>
          <w:rFonts w:ascii="Times New Roman" w:hAnsi="Times New Roman"/>
        </w:rPr>
      </w:pPr>
      <w:r>
        <w:rPr>
          <w:rStyle w:val="FootnoteReference"/>
          <w:rFonts w:ascii="Times New Roman" w:hAnsi="Times New Roman"/>
        </w:rPr>
        <w:sym w:font="Symbol" w:char="F02A"/>
      </w:r>
      <w:proofErr w:type="gramStart"/>
      <w:r>
        <w:rPr>
          <w:rFonts w:ascii="Times New Roman" w:hAnsi="Times New Roman"/>
        </w:rPr>
        <w:t>LL.B</w:t>
      </w:r>
      <w:proofErr w:type="gramEnd"/>
      <w:r>
        <w:rPr>
          <w:rFonts w:ascii="Times New Roman" w:hAnsi="Times New Roman"/>
        </w:rPr>
        <w:t xml:space="preserve"> (UNIILORIN), LLM (UI), Lecturer the Department of Jurisprudence and International Law at the University of Ilorin. </w:t>
      </w:r>
      <w:r>
        <w:rPr>
          <w:rFonts w:ascii="Times New Roman" w:eastAsia="Times New Roman" w:hAnsi="Times New Roman"/>
        </w:rPr>
        <w:t>ol.niyigafar@gmail.com.</w:t>
      </w:r>
    </w:p>
  </w:footnote>
  <w:footnote w:id="3">
    <w:p w14:paraId="5DADCDC2" w14:textId="77777777" w:rsidR="004D74C1" w:rsidRDefault="004D74C1" w:rsidP="004D74C1">
      <w:pPr>
        <w:pStyle w:val="FootnoteText"/>
        <w:spacing w:before="240"/>
        <w:jc w:val="both"/>
        <w:rPr>
          <w:rFonts w:ascii="Times New Roman" w:hAnsi="Times New Roman"/>
        </w:rPr>
      </w:pPr>
      <w:r>
        <w:rPr>
          <w:rStyle w:val="FootnoteReference"/>
          <w:rFonts w:ascii="Times New Roman" w:hAnsi="Times New Roman"/>
        </w:rPr>
        <w:sym w:font="Symbol" w:char="F02A"/>
      </w:r>
      <w:proofErr w:type="gramStart"/>
      <w:r>
        <w:rPr>
          <w:rFonts w:ascii="Times New Roman" w:hAnsi="Times New Roman"/>
        </w:rPr>
        <w:t>LL.B</w:t>
      </w:r>
      <w:proofErr w:type="gramEnd"/>
      <w:r>
        <w:rPr>
          <w:rFonts w:ascii="Times New Roman" w:hAnsi="Times New Roman"/>
        </w:rPr>
        <w:t xml:space="preserve"> (UNIJOS), LLM, </w:t>
      </w:r>
      <w:proofErr w:type="spellStart"/>
      <w:r>
        <w:rPr>
          <w:rFonts w:ascii="Times New Roman" w:hAnsi="Times New Roman"/>
        </w:rPr>
        <w:t>Ph.D</w:t>
      </w:r>
      <w:proofErr w:type="spellEnd"/>
      <w:r>
        <w:rPr>
          <w:rFonts w:ascii="Times New Roman" w:hAnsi="Times New Roman"/>
        </w:rPr>
        <w:t xml:space="preserve"> (UNILORIN) is a Lecturer with the Department of Jurisprudence and International Law at the University of Ilorin.</w:t>
      </w:r>
    </w:p>
  </w:footnote>
  <w:footnote w:id="4">
    <w:p w14:paraId="6FBB7798" w14:textId="77777777" w:rsidR="004D74C1" w:rsidRDefault="004D74C1" w:rsidP="004D74C1">
      <w:pPr>
        <w:pStyle w:val="FootnoteText"/>
        <w:jc w:val="both"/>
        <w:rPr>
          <w:rFonts w:ascii="Arial" w:hAnsi="Arial" w:cs="Arial"/>
        </w:rPr>
      </w:pPr>
      <w:r>
        <w:rPr>
          <w:rStyle w:val="FootnoteReference"/>
          <w:rFonts w:ascii="Arial" w:hAnsi="Arial" w:cs="Arial"/>
        </w:rPr>
        <w:footnoteRef/>
      </w:r>
      <w:r>
        <w:rPr>
          <w:rFonts w:ascii="Arial" w:hAnsi="Arial" w:cs="Arial"/>
        </w:rPr>
        <w:t xml:space="preserve"> Independence and impartiality of judges, prosecutors and lawyers in</w:t>
      </w:r>
      <w:r>
        <w:rPr>
          <w:rFonts w:ascii="Arial" w:hAnsi="Arial" w:cs="Arial"/>
          <w:i/>
        </w:rPr>
        <w:t xml:space="preserve"> Human rights in the administration of justice: a manual on human rights for judges, prosecutors and </w:t>
      </w:r>
      <w:proofErr w:type="gramStart"/>
      <w:r>
        <w:rPr>
          <w:rFonts w:ascii="Arial" w:hAnsi="Arial" w:cs="Arial"/>
          <w:i/>
        </w:rPr>
        <w:t>lawyers</w:t>
      </w:r>
      <w:proofErr w:type="gramEnd"/>
      <w:r>
        <w:rPr>
          <w:rFonts w:ascii="Arial" w:hAnsi="Arial" w:cs="Arial"/>
          <w:i/>
        </w:rPr>
        <w:t xml:space="preserve"> </w:t>
      </w:r>
      <w:r>
        <w:rPr>
          <w:rFonts w:ascii="Arial" w:hAnsi="Arial" w:cs="Arial"/>
        </w:rPr>
        <w:t>pp 115 found at https://www.google.com/url?sa=t&amp;rct=j&amp;q=judicial%20independence%20pdf&amp;source=web&amp;cd=10&amp;ved=0CD0QFjAJ&amp;url=http%3A%2F%2Fwww.ohchr.org%2FDocuments%2FPublications%2Ftraining9chapter4en.pdf&amp;ei=E0mQU9zvOYmw7Aaei4HQDA&amp;usg=AFQjCNEAsROS5hmIvzddMrq8tsX5j_QReQ&amp;bvm=bv.68235269,d.ZGU accessed 4 June 2014. (Hereafter Independence and impartiality of judges, prosecutors and lawyers).</w:t>
      </w:r>
    </w:p>
  </w:footnote>
  <w:footnote w:id="5">
    <w:p w14:paraId="05E8068C" w14:textId="77777777" w:rsidR="004D74C1" w:rsidRDefault="004D74C1" w:rsidP="004D74C1">
      <w:pPr>
        <w:pStyle w:val="FootnoteText"/>
        <w:jc w:val="both"/>
        <w:rPr>
          <w:rFonts w:ascii="Arial" w:hAnsi="Arial" w:cs="Arial"/>
        </w:rPr>
      </w:pPr>
      <w:r>
        <w:rPr>
          <w:rStyle w:val="FootnoteReference"/>
          <w:rFonts w:ascii="Arial" w:hAnsi="Arial" w:cs="Arial"/>
        </w:rPr>
        <w:footnoteRef/>
      </w:r>
      <w:r>
        <w:rPr>
          <w:rFonts w:ascii="Arial" w:hAnsi="Arial" w:cs="Arial"/>
        </w:rPr>
        <w:t xml:space="preserve"> Independence and impartiality of judges, prosecutors and </w:t>
      </w:r>
      <w:proofErr w:type="gramStart"/>
      <w:r>
        <w:rPr>
          <w:rFonts w:ascii="Arial" w:hAnsi="Arial" w:cs="Arial"/>
        </w:rPr>
        <w:t>lawyers</w:t>
      </w:r>
      <w:proofErr w:type="gramEnd"/>
      <w:r>
        <w:rPr>
          <w:rFonts w:ascii="Arial" w:hAnsi="Arial" w:cs="Arial"/>
        </w:rPr>
        <w:t xml:space="preserve"> pp 115.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4C1"/>
    <w:rsid w:val="004618B5"/>
    <w:rsid w:val="004D74C1"/>
    <w:rsid w:val="009D1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691B3"/>
  <w15:chartTrackingRefBased/>
  <w15:docId w15:val="{FEDC5AE7-1DFF-4235-B344-02D21B9CB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D74C1"/>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4D74C1"/>
    <w:rPr>
      <w:sz w:val="20"/>
      <w:szCs w:val="20"/>
      <w:lang w:val="en-US"/>
    </w:rPr>
  </w:style>
  <w:style w:type="character" w:styleId="FootnoteReference">
    <w:name w:val="footnote reference"/>
    <w:basedOn w:val="DefaultParagraphFont"/>
    <w:semiHidden/>
    <w:unhideWhenUsed/>
    <w:rsid w:val="004D74C1"/>
    <w:rPr>
      <w:vertAlign w:val="superscript"/>
    </w:rPr>
  </w:style>
  <w:style w:type="character" w:styleId="Emphasis">
    <w:name w:val="Emphasis"/>
    <w:basedOn w:val="DefaultParagraphFont"/>
    <w:qFormat/>
    <w:rsid w:val="004D74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9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mailto:Azubike.onuoraogun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2461</Characters>
  <Application>Microsoft Office Word</Application>
  <DocSecurity>0</DocSecurity>
  <Lines>20</Lines>
  <Paragraphs>5</Paragraphs>
  <ScaleCrop>false</ScaleCrop>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Oluwabunmi Niyi-Gafar</dc:creator>
  <cp:keywords/>
  <dc:description/>
  <cp:lastModifiedBy>Oluwabunmi Niyi-Gafar</cp:lastModifiedBy>
  <cp:revision>1</cp:revision>
  <dcterms:created xsi:type="dcterms:W3CDTF">2019-10-10T20:47:00Z</dcterms:created>
  <dcterms:modified xsi:type="dcterms:W3CDTF">2019-10-10T20:48:00Z</dcterms:modified>
</cp:coreProperties>
</file>