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3EA" w:rsidRDefault="000A53EA" w:rsidP="000A53EA">
      <w:pPr>
        <w:spacing w:after="0" w:line="360" w:lineRule="auto"/>
        <w:jc w:val="both"/>
        <w:rPr>
          <w:b/>
          <w:sz w:val="24"/>
          <w:szCs w:val="24"/>
        </w:rPr>
      </w:pPr>
      <w:r>
        <w:rPr>
          <w:b/>
          <w:sz w:val="24"/>
          <w:szCs w:val="24"/>
        </w:rPr>
        <w:t>INTRODUCTION</w:t>
      </w:r>
    </w:p>
    <w:p w:rsidR="000A53EA" w:rsidRDefault="000A53EA" w:rsidP="000A53EA">
      <w:pPr>
        <w:spacing w:after="0" w:line="360" w:lineRule="auto"/>
        <w:jc w:val="both"/>
        <w:rPr>
          <w:b/>
          <w:sz w:val="24"/>
          <w:szCs w:val="24"/>
        </w:rPr>
      </w:pPr>
    </w:p>
    <w:p w:rsidR="000A53EA" w:rsidRPr="007D4A5E" w:rsidRDefault="000A53EA" w:rsidP="000A53EA">
      <w:pPr>
        <w:pStyle w:val="Heading1"/>
        <w:numPr>
          <w:ilvl w:val="0"/>
          <w:numId w:val="5"/>
        </w:numPr>
        <w:spacing w:line="240" w:lineRule="auto"/>
        <w:jc w:val="both"/>
        <w:rPr>
          <w:rFonts w:ascii="Times New Roman" w:hAnsi="Times New Roman"/>
          <w:b/>
          <w:color w:val="auto"/>
          <w:sz w:val="24"/>
        </w:rPr>
      </w:pPr>
      <w:r w:rsidRPr="007D4A5E">
        <w:rPr>
          <w:rFonts w:ascii="Times New Roman" w:hAnsi="Times New Roman"/>
          <w:b/>
          <w:color w:val="auto"/>
          <w:sz w:val="24"/>
        </w:rPr>
        <w:t>CUSTOMARY ARBITRATION- MEANING AND NATURE</w:t>
      </w:r>
    </w:p>
    <w:p w:rsidR="000A53EA" w:rsidRDefault="000A53EA" w:rsidP="000A53EA">
      <w:pPr>
        <w:spacing w:after="0" w:line="360" w:lineRule="auto"/>
        <w:jc w:val="both"/>
        <w:rPr>
          <w:sz w:val="24"/>
          <w:szCs w:val="24"/>
        </w:rPr>
      </w:pPr>
      <w:r>
        <w:rPr>
          <w:sz w:val="24"/>
          <w:szCs w:val="24"/>
        </w:rPr>
        <w:t xml:space="preserve">Arbitration has to do with the settling of disputes between two or more persons by a neutral person who has a recognizable authority to settle the dispute and such a person is acceptable to the disputing parties as a mediator. So, the process of arbitration involves helping the parties involved in a dispute, whether on issues bordering land, chieftaincy, inheritance, business, marital, religious matters etc to find grounds for possible agreement and settlement. In fact the court in </w:t>
      </w:r>
      <w:r>
        <w:rPr>
          <w:b/>
          <w:i/>
          <w:sz w:val="24"/>
          <w:szCs w:val="24"/>
        </w:rPr>
        <w:t xml:space="preserve">Nwankpa v Nwogu </w:t>
      </w:r>
      <w:r>
        <w:rPr>
          <w:rStyle w:val="FootnoteReference"/>
          <w:b/>
          <w:i/>
          <w:sz w:val="24"/>
          <w:szCs w:val="24"/>
        </w:rPr>
        <w:footnoteReference w:id="1"/>
      </w:r>
      <w:r>
        <w:rPr>
          <w:sz w:val="24"/>
          <w:szCs w:val="24"/>
        </w:rPr>
        <w:t xml:space="preserve"> recognizes the role of customary arbitration under Nigerian law. It stated that “one of the many African modes of settling disputes is to refer the dispute to the family head or an elder or elders of the community for a compromise solution based upon the subsequent acceptance by both parties of the suggested award, which becomes binding only after such signification of its acceptance and from which either party is free to resile at any stage of the proceeding up to that point.”Arbitration has been given legal definitions. It is defined as “”a method of dispute resolution involving one or more neutral third parties who are usually agreed to by the disputing parties and whose decision is binding,”</w:t>
      </w:r>
      <w:r>
        <w:rPr>
          <w:rStyle w:val="FootnoteReference"/>
          <w:sz w:val="24"/>
          <w:szCs w:val="24"/>
        </w:rPr>
        <w:footnoteReference w:id="2"/>
      </w:r>
      <w:r>
        <w:rPr>
          <w:sz w:val="24"/>
          <w:szCs w:val="24"/>
        </w:rPr>
        <w:t xml:space="preserve"> while the court in </w:t>
      </w:r>
      <w:r>
        <w:rPr>
          <w:b/>
          <w:i/>
          <w:sz w:val="24"/>
          <w:szCs w:val="24"/>
        </w:rPr>
        <w:t>Okereke v Nwankwo,</w:t>
      </w:r>
      <w:r>
        <w:rPr>
          <w:rStyle w:val="FootnoteReference"/>
          <w:b/>
          <w:i/>
          <w:sz w:val="24"/>
          <w:szCs w:val="24"/>
        </w:rPr>
        <w:footnoteReference w:id="3"/>
      </w:r>
      <w:r>
        <w:rPr>
          <w:sz w:val="24"/>
          <w:szCs w:val="24"/>
        </w:rPr>
        <w:t xml:space="preserve"> defined customary arbitration as:</w:t>
      </w:r>
    </w:p>
    <w:p w:rsidR="000A53EA" w:rsidRDefault="000A53EA" w:rsidP="000A53EA">
      <w:pPr>
        <w:spacing w:after="0" w:line="360" w:lineRule="auto"/>
        <w:ind w:left="1418" w:right="851"/>
        <w:jc w:val="both"/>
        <w:rPr>
          <w:sz w:val="24"/>
          <w:szCs w:val="24"/>
        </w:rPr>
      </w:pPr>
      <w:r>
        <w:rPr>
          <w:sz w:val="24"/>
          <w:szCs w:val="24"/>
        </w:rPr>
        <w:t xml:space="preserve"> “arbitration in dispute founded upon voluntary submission of the parties to the decision of the arbitrators who are either the chiefs or elders of their community and the agreement to be bound by such decision or resile where unfavourable.”</w:t>
      </w:r>
    </w:p>
    <w:p w:rsidR="000A53EA" w:rsidRDefault="000A53EA" w:rsidP="000A53EA">
      <w:pPr>
        <w:spacing w:after="0" w:line="360" w:lineRule="auto"/>
        <w:jc w:val="both"/>
        <w:rPr>
          <w:sz w:val="24"/>
          <w:szCs w:val="24"/>
        </w:rPr>
      </w:pPr>
      <w:r>
        <w:rPr>
          <w:sz w:val="24"/>
          <w:szCs w:val="24"/>
        </w:rPr>
        <w:t xml:space="preserve"> In describing the nature of customary arbitration, the court continuing stated that it is a body or panel of customary arbitrators; and whose proceedings and eventual decisions are clearly those of “a non judicial body, that is a body not vested with judicial powers by virtue of S.6 of the 1979 0r 1999 Constitution.” Customary arbitration is not sine qua non the court of law. It does not qualify as a court of law within the constitution according to the court in </w:t>
      </w:r>
      <w:r>
        <w:rPr>
          <w:b/>
          <w:i/>
          <w:sz w:val="24"/>
          <w:szCs w:val="24"/>
        </w:rPr>
        <w:t>Ufomba v Ahuchuogu</w:t>
      </w:r>
      <w:r>
        <w:rPr>
          <w:rStyle w:val="FootnoteReference"/>
          <w:b/>
          <w:i/>
          <w:sz w:val="24"/>
          <w:szCs w:val="24"/>
        </w:rPr>
        <w:footnoteReference w:id="4"/>
      </w:r>
      <w:r>
        <w:rPr>
          <w:b/>
          <w:i/>
          <w:sz w:val="24"/>
          <w:szCs w:val="24"/>
        </w:rPr>
        <w:t xml:space="preserve"> </w:t>
      </w:r>
      <w:r>
        <w:rPr>
          <w:sz w:val="24"/>
          <w:szCs w:val="24"/>
        </w:rPr>
        <w:t xml:space="preserve">and not even as an inferior court outside the Constitution. </w:t>
      </w:r>
    </w:p>
    <w:p w:rsidR="000A53EA" w:rsidRDefault="000A53EA" w:rsidP="000A53EA">
      <w:pPr>
        <w:spacing w:after="0" w:line="360" w:lineRule="auto"/>
        <w:jc w:val="both"/>
        <w:rPr>
          <w:sz w:val="24"/>
          <w:szCs w:val="24"/>
        </w:rPr>
      </w:pPr>
      <w:r>
        <w:rPr>
          <w:sz w:val="24"/>
          <w:szCs w:val="24"/>
        </w:rPr>
        <w:lastRenderedPageBreak/>
        <w:t xml:space="preserve">Further defining customary arbitration, the court per TOBI, JSC opined that: </w:t>
      </w:r>
    </w:p>
    <w:p w:rsidR="000A53EA" w:rsidRDefault="000A53EA" w:rsidP="000A53EA">
      <w:pPr>
        <w:spacing w:after="0" w:line="360" w:lineRule="auto"/>
        <w:ind w:left="1418" w:right="794"/>
        <w:jc w:val="both"/>
        <w:rPr>
          <w:sz w:val="24"/>
          <w:szCs w:val="24"/>
        </w:rPr>
      </w:pPr>
      <w:r>
        <w:rPr>
          <w:sz w:val="24"/>
          <w:szCs w:val="24"/>
        </w:rPr>
        <w:t>Apart from the fact that the members of the body are not learned in the law, it is a notorious fact that the procedure adopted in adjudication is simple and clearly outside the technical procedure of the courts of law. This apart, the decisions they give do not qualify as judgments in the real technical sense of the expression in our jurisprudence and therefore cannot pass the test of judicial precedent. Decisions of magistrate courts in Nigeria do not come within the purview of stare decisis, not to talk of decisions of native or customary arbitration. A customary arbitration is essentially a native arrangement by selected elders of the communities who are vast in the customary law of the people and take decisions, which are mainly designed or aimed at bringing some amicable settlement, stability and social equilibrium to the people and their immediate society or environment. Native or customary arbitration is only a convenient forum for the settlement of native disputes and cannot be raised to the status of a court of law.</w:t>
      </w:r>
    </w:p>
    <w:p w:rsidR="000A53EA" w:rsidRDefault="000A53EA" w:rsidP="000A53EA">
      <w:pPr>
        <w:spacing w:after="0" w:line="360" w:lineRule="auto"/>
        <w:ind w:left="1418" w:right="794"/>
        <w:jc w:val="both"/>
        <w:rPr>
          <w:sz w:val="24"/>
          <w:szCs w:val="24"/>
        </w:rPr>
      </w:pPr>
    </w:p>
    <w:p w:rsidR="000A53EA" w:rsidRDefault="000A53EA" w:rsidP="000A53EA">
      <w:pPr>
        <w:spacing w:after="0" w:line="360" w:lineRule="auto"/>
        <w:jc w:val="both"/>
        <w:rPr>
          <w:sz w:val="24"/>
          <w:szCs w:val="24"/>
        </w:rPr>
      </w:pPr>
      <w:r>
        <w:rPr>
          <w:sz w:val="24"/>
          <w:szCs w:val="24"/>
        </w:rPr>
        <w:t xml:space="preserve">In arbitral procedures and practice under customary law, it is trite that the arbitration must be in accordance with the custom of the parties; the parties thereto must have agreed to be bound by the decision reached and that they voluntarily without compulsion submitted to the arbitration. A party who procures another to act as his agent in a transaction is bound by the decision of the arbitration committee on the issue. This was the position of the court in </w:t>
      </w:r>
      <w:r>
        <w:rPr>
          <w:b/>
          <w:i/>
          <w:sz w:val="24"/>
          <w:szCs w:val="24"/>
        </w:rPr>
        <w:t>Apodike v Nwabueze</w:t>
      </w:r>
      <w:r>
        <w:rPr>
          <w:sz w:val="24"/>
          <w:szCs w:val="24"/>
        </w:rPr>
        <w:t xml:space="preserve"> </w:t>
      </w:r>
      <w:r>
        <w:rPr>
          <w:rStyle w:val="FootnoteReference"/>
          <w:sz w:val="24"/>
          <w:szCs w:val="24"/>
        </w:rPr>
        <w:footnoteReference w:id="5"/>
      </w:r>
      <w:r>
        <w:rPr>
          <w:sz w:val="24"/>
          <w:szCs w:val="24"/>
        </w:rPr>
        <w:t xml:space="preserve"> when it was faced with answering the question, whether the appellant needed to be a party before he could be bound by the decision of the arbitration panel. According to the court:</w:t>
      </w:r>
    </w:p>
    <w:p w:rsidR="000A53EA" w:rsidRDefault="000A53EA" w:rsidP="000A53EA">
      <w:pPr>
        <w:spacing w:after="0" w:line="360" w:lineRule="auto"/>
        <w:ind w:left="1418" w:right="851"/>
        <w:jc w:val="both"/>
        <w:rPr>
          <w:sz w:val="24"/>
          <w:szCs w:val="24"/>
        </w:rPr>
      </w:pPr>
      <w:r>
        <w:rPr>
          <w:sz w:val="24"/>
          <w:szCs w:val="24"/>
        </w:rPr>
        <w:t>While it was true that the name of the appellant was not mentioned in exhibit A, he admitted that PW1 was acting for him from 1959 till 1981 when the dispute started. There is therefore no doubt that during the series of arbitration on the dispute, PW1 acted as his agent and as such, the appellant is bound by the decisions of the arbitration on the principle that one who acts through another act for himself.</w:t>
      </w:r>
    </w:p>
    <w:p w:rsidR="000A53EA" w:rsidRPr="00270012" w:rsidRDefault="000A53EA" w:rsidP="000A53EA">
      <w:pPr>
        <w:spacing w:after="0" w:line="360" w:lineRule="auto"/>
        <w:jc w:val="both"/>
        <w:rPr>
          <w:sz w:val="24"/>
          <w:szCs w:val="24"/>
        </w:rPr>
      </w:pPr>
    </w:p>
    <w:p w:rsidR="000A53EA" w:rsidRPr="00F74813" w:rsidRDefault="000A53EA" w:rsidP="000A53EA">
      <w:pPr>
        <w:pStyle w:val="Heading1"/>
        <w:numPr>
          <w:ilvl w:val="0"/>
          <w:numId w:val="5"/>
        </w:numPr>
        <w:spacing w:line="240" w:lineRule="auto"/>
        <w:jc w:val="both"/>
        <w:rPr>
          <w:rFonts w:ascii="Times New Roman" w:hAnsi="Times New Roman"/>
          <w:b/>
          <w:color w:val="auto"/>
          <w:sz w:val="24"/>
        </w:rPr>
      </w:pPr>
      <w:r w:rsidRPr="00F74813">
        <w:rPr>
          <w:rFonts w:ascii="Times New Roman" w:hAnsi="Times New Roman"/>
          <w:b/>
          <w:color w:val="auto"/>
          <w:sz w:val="24"/>
        </w:rPr>
        <w:t>LOCATING THE OGBA PEOPLE OF THE NIGER DELTA</w:t>
      </w:r>
    </w:p>
    <w:p w:rsidR="000A53EA" w:rsidRDefault="000A53EA" w:rsidP="000A53EA">
      <w:pPr>
        <w:spacing w:after="0" w:line="360" w:lineRule="auto"/>
        <w:jc w:val="both"/>
        <w:rPr>
          <w:sz w:val="24"/>
          <w:szCs w:val="24"/>
        </w:rPr>
      </w:pPr>
      <w:r>
        <w:rPr>
          <w:sz w:val="24"/>
          <w:szCs w:val="24"/>
        </w:rPr>
        <w:t>The Ogba people of the Niger Delta are located in only the Ogba/Egbema/Ndoni Local Government Area of Rivers State. They are patrilineal and are essentially farmers specializing in the production of palm oil, hunting and cultivation of cassava, yam, cocoyam etc. The Ogba language according to Ndimele and Williamson,</w:t>
      </w:r>
      <w:r>
        <w:rPr>
          <w:rStyle w:val="FootnoteReference"/>
          <w:sz w:val="24"/>
          <w:szCs w:val="24"/>
        </w:rPr>
        <w:footnoteReference w:id="6"/>
      </w:r>
      <w:r>
        <w:rPr>
          <w:sz w:val="24"/>
          <w:szCs w:val="24"/>
        </w:rPr>
        <w:t>is spoken only in the Ogba/Egbema/Ndoni Local Government Area and has three main dialects that are mutually intelligible, and they have a dominant tradition of origin which trace their beginnings to Akalaka the Benin Prince who founded their ancestral home of Obigwe about the 15</w:t>
      </w:r>
      <w:r>
        <w:rPr>
          <w:sz w:val="24"/>
          <w:szCs w:val="24"/>
          <w:vertAlign w:val="superscript"/>
        </w:rPr>
        <w:t>th</w:t>
      </w:r>
      <w:r>
        <w:rPr>
          <w:sz w:val="24"/>
          <w:szCs w:val="24"/>
        </w:rPr>
        <w:t xml:space="preserve"> century.</w:t>
      </w:r>
      <w:r>
        <w:rPr>
          <w:sz w:val="28"/>
          <w:szCs w:val="28"/>
        </w:rPr>
        <w:t xml:space="preserve"> </w:t>
      </w:r>
      <w:r>
        <w:rPr>
          <w:sz w:val="24"/>
          <w:szCs w:val="24"/>
        </w:rPr>
        <w:t xml:space="preserve">The ogba people are generally clannish in nature and hospital as they cherish their cultural heritage displayed in a rich and rigorous salutations displaying respect for seniority and authority. They are also known for their respect and deference to traditional leadership from the family head to the clan head, to the community head known as </w:t>
      </w:r>
      <w:r>
        <w:rPr>
          <w:i/>
          <w:sz w:val="24"/>
          <w:szCs w:val="24"/>
        </w:rPr>
        <w:t>‘eze-ali’</w:t>
      </w:r>
      <w:r>
        <w:rPr>
          <w:sz w:val="24"/>
          <w:szCs w:val="24"/>
        </w:rPr>
        <w:t xml:space="preserve"> and to the different tribal heads such as the </w:t>
      </w:r>
      <w:r>
        <w:rPr>
          <w:i/>
          <w:sz w:val="24"/>
          <w:szCs w:val="24"/>
        </w:rPr>
        <w:t>Eze-Egi, Eze- Igburu, Eze-Usomini</w:t>
      </w:r>
      <w:r>
        <w:rPr>
          <w:sz w:val="24"/>
          <w:szCs w:val="24"/>
        </w:rPr>
        <w:t xml:space="preserve"> and </w:t>
      </w:r>
      <w:r>
        <w:rPr>
          <w:i/>
          <w:sz w:val="24"/>
          <w:szCs w:val="24"/>
        </w:rPr>
        <w:t>Eze-Ogba</w:t>
      </w:r>
      <w:r>
        <w:rPr>
          <w:sz w:val="24"/>
          <w:szCs w:val="24"/>
        </w:rPr>
        <w:t xml:space="preserve"> commonly referred to as Oba.  </w:t>
      </w:r>
    </w:p>
    <w:p w:rsidR="000A53EA" w:rsidRDefault="000A53EA" w:rsidP="000A53EA">
      <w:pPr>
        <w:spacing w:after="0" w:line="360" w:lineRule="auto"/>
        <w:jc w:val="both"/>
        <w:rPr>
          <w:sz w:val="24"/>
          <w:szCs w:val="24"/>
        </w:rPr>
      </w:pPr>
    </w:p>
    <w:p w:rsidR="000A53EA" w:rsidRPr="00270012" w:rsidRDefault="000A53EA" w:rsidP="000A53EA">
      <w:pPr>
        <w:spacing w:after="0" w:line="360" w:lineRule="auto"/>
        <w:jc w:val="both"/>
        <w:rPr>
          <w:sz w:val="24"/>
          <w:szCs w:val="24"/>
        </w:rPr>
      </w:pPr>
    </w:p>
    <w:p w:rsidR="000A53EA" w:rsidRPr="00F74813" w:rsidRDefault="000A53EA" w:rsidP="000A53EA">
      <w:pPr>
        <w:pStyle w:val="Heading1"/>
        <w:numPr>
          <w:ilvl w:val="0"/>
          <w:numId w:val="5"/>
        </w:numPr>
        <w:spacing w:line="240" w:lineRule="auto"/>
        <w:jc w:val="both"/>
        <w:rPr>
          <w:rFonts w:ascii="Times New Roman" w:hAnsi="Times New Roman"/>
          <w:b/>
          <w:color w:val="auto"/>
          <w:sz w:val="24"/>
        </w:rPr>
      </w:pPr>
      <w:r w:rsidRPr="00F74813">
        <w:rPr>
          <w:rFonts w:ascii="Times New Roman" w:hAnsi="Times New Roman"/>
          <w:b/>
          <w:color w:val="auto"/>
          <w:sz w:val="24"/>
        </w:rPr>
        <w:t>CONCEPT OF CUSTOMARY LAW</w:t>
      </w:r>
    </w:p>
    <w:p w:rsidR="000A53EA" w:rsidRDefault="000A53EA" w:rsidP="000A53EA">
      <w:pPr>
        <w:spacing w:after="0" w:line="360" w:lineRule="auto"/>
        <w:jc w:val="both"/>
        <w:rPr>
          <w:sz w:val="24"/>
          <w:szCs w:val="24"/>
        </w:rPr>
      </w:pPr>
      <w:r>
        <w:rPr>
          <w:sz w:val="24"/>
          <w:szCs w:val="24"/>
        </w:rPr>
        <w:t>Customary law concerns the customs and traditions of a particular group of people within a given geographical location. It is derivable from the practices peculiar to a people and the totality of their way of life. Customary law is thus “the organic or living law of the indigenous people of Nigeria regulating their lives and transactions. It is organic in that it is not static. It is regulatory in that it controls the lives and transactions of the community subject to it.”</w:t>
      </w:r>
      <w:r>
        <w:rPr>
          <w:rStyle w:val="FootnoteReference"/>
          <w:sz w:val="24"/>
          <w:szCs w:val="24"/>
        </w:rPr>
        <w:footnoteReference w:id="7"/>
      </w:r>
    </w:p>
    <w:p w:rsidR="000A53EA" w:rsidRDefault="000A53EA" w:rsidP="000A53EA">
      <w:pPr>
        <w:spacing w:after="0" w:line="360" w:lineRule="auto"/>
        <w:jc w:val="both"/>
        <w:rPr>
          <w:sz w:val="24"/>
          <w:szCs w:val="24"/>
        </w:rPr>
      </w:pPr>
      <w:r>
        <w:rPr>
          <w:sz w:val="24"/>
          <w:szCs w:val="24"/>
        </w:rPr>
        <w:t>It affects the character, attitude and culture of the people. It is further stated to be:</w:t>
      </w:r>
    </w:p>
    <w:p w:rsidR="000A53EA" w:rsidRDefault="000A53EA" w:rsidP="000A53EA">
      <w:pPr>
        <w:spacing w:after="0" w:line="360" w:lineRule="auto"/>
        <w:ind w:left="1584" w:right="1296"/>
        <w:jc w:val="both"/>
        <w:rPr>
          <w:i/>
          <w:sz w:val="24"/>
          <w:szCs w:val="24"/>
        </w:rPr>
      </w:pPr>
      <w:r>
        <w:rPr>
          <w:sz w:val="24"/>
          <w:szCs w:val="24"/>
        </w:rPr>
        <w:t xml:space="preserve"> A rule or body of customary rules regulating rights and imposing  correlative duties, being a customary rule or body of customary rules which obtains and is fortified by established usage and which is </w:t>
      </w:r>
      <w:r>
        <w:rPr>
          <w:sz w:val="24"/>
          <w:szCs w:val="24"/>
        </w:rPr>
        <w:lastRenderedPageBreak/>
        <w:t>appropriate  and  applicable to any cause or matter, dispute, issue or question in a   particular locality</w:t>
      </w:r>
      <w:r>
        <w:rPr>
          <w:rStyle w:val="FootnoteReference"/>
          <w:i/>
          <w:sz w:val="24"/>
          <w:szCs w:val="24"/>
        </w:rPr>
        <w:footnoteReference w:id="8"/>
      </w:r>
    </w:p>
    <w:p w:rsidR="000A53EA" w:rsidRDefault="000A53EA" w:rsidP="000A53EA">
      <w:pPr>
        <w:spacing w:after="0" w:line="360" w:lineRule="auto"/>
        <w:jc w:val="both"/>
        <w:rPr>
          <w:sz w:val="24"/>
          <w:szCs w:val="24"/>
        </w:rPr>
      </w:pPr>
      <w:r>
        <w:rPr>
          <w:sz w:val="24"/>
          <w:szCs w:val="24"/>
        </w:rPr>
        <w:t>It is trite that the validity or otherwise of customary laws are derivable from statutory provisions</w:t>
      </w:r>
      <w:r>
        <w:rPr>
          <w:rStyle w:val="FootnoteReference"/>
          <w:sz w:val="24"/>
          <w:szCs w:val="24"/>
        </w:rPr>
        <w:footnoteReference w:id="9"/>
      </w:r>
      <w:r>
        <w:rPr>
          <w:sz w:val="24"/>
          <w:szCs w:val="24"/>
        </w:rPr>
        <w:t xml:space="preserve"> and are based on the fact that the customary law in question is not repugnant to the principles of natural justice, not inconsistent with equitable principles nor is it incompatible with existing laws.</w:t>
      </w:r>
    </w:p>
    <w:p w:rsidR="000A53EA" w:rsidRPr="00F74813" w:rsidRDefault="000A53EA" w:rsidP="000A53EA">
      <w:pPr>
        <w:pStyle w:val="Heading1"/>
        <w:numPr>
          <w:ilvl w:val="0"/>
          <w:numId w:val="5"/>
        </w:numPr>
        <w:spacing w:line="240" w:lineRule="auto"/>
        <w:jc w:val="both"/>
        <w:rPr>
          <w:rFonts w:ascii="Times New Roman" w:hAnsi="Times New Roman"/>
          <w:b/>
          <w:color w:val="auto"/>
          <w:sz w:val="24"/>
        </w:rPr>
      </w:pPr>
      <w:r w:rsidRPr="00F74813">
        <w:rPr>
          <w:rFonts w:ascii="Times New Roman" w:hAnsi="Times New Roman"/>
          <w:b/>
          <w:color w:val="auto"/>
          <w:sz w:val="24"/>
        </w:rPr>
        <w:t>LEGAL REQUIREMENTS FOR A VALID AND BINDING CUSTOMARY ARBITRATION</w:t>
      </w:r>
    </w:p>
    <w:p w:rsidR="000A53EA" w:rsidRDefault="000A53EA" w:rsidP="000A53EA">
      <w:pPr>
        <w:spacing w:after="0" w:line="360" w:lineRule="auto"/>
        <w:jc w:val="both"/>
        <w:rPr>
          <w:sz w:val="24"/>
          <w:szCs w:val="24"/>
        </w:rPr>
      </w:pPr>
      <w:r>
        <w:rPr>
          <w:sz w:val="24"/>
          <w:szCs w:val="24"/>
        </w:rPr>
        <w:t xml:space="preserve">It is not every intervention in disputes between persons in a community that would amount to a customary arbitration nor is it every attempt at mediatory interventions that are successful. The law establishes five ingredients of a valid customary arbitration which must be pleaded and proved in the court, and they are stated in </w:t>
      </w:r>
      <w:r>
        <w:rPr>
          <w:b/>
          <w:i/>
          <w:sz w:val="24"/>
          <w:szCs w:val="24"/>
        </w:rPr>
        <w:t>Ehoche  v Ijegwa</w:t>
      </w:r>
      <w:r>
        <w:rPr>
          <w:sz w:val="24"/>
          <w:szCs w:val="24"/>
        </w:rPr>
        <w:t xml:space="preserve"> </w:t>
      </w:r>
      <w:r>
        <w:rPr>
          <w:rStyle w:val="FootnoteReference"/>
          <w:sz w:val="24"/>
          <w:szCs w:val="24"/>
        </w:rPr>
        <w:footnoteReference w:id="10"/>
      </w:r>
      <w:r>
        <w:rPr>
          <w:sz w:val="24"/>
          <w:szCs w:val="24"/>
        </w:rPr>
        <w:t xml:space="preserve"> as follows:</w:t>
      </w:r>
    </w:p>
    <w:p w:rsidR="000A53EA" w:rsidRDefault="000A53EA" w:rsidP="000A53EA">
      <w:pPr>
        <w:pStyle w:val="ListParagraph"/>
        <w:numPr>
          <w:ilvl w:val="0"/>
          <w:numId w:val="1"/>
        </w:numPr>
        <w:spacing w:after="0" w:line="360" w:lineRule="auto"/>
        <w:jc w:val="both"/>
        <w:rPr>
          <w:sz w:val="24"/>
          <w:szCs w:val="24"/>
        </w:rPr>
      </w:pPr>
      <w:r>
        <w:rPr>
          <w:sz w:val="24"/>
          <w:szCs w:val="24"/>
        </w:rPr>
        <w:t>that there had been a voluntary submission of the matter in dispute to an arbitration of one or more persons;</w:t>
      </w:r>
    </w:p>
    <w:p w:rsidR="000A53EA" w:rsidRDefault="000A53EA" w:rsidP="000A53EA">
      <w:pPr>
        <w:pStyle w:val="ListParagraph"/>
        <w:numPr>
          <w:ilvl w:val="0"/>
          <w:numId w:val="1"/>
        </w:numPr>
        <w:spacing w:after="0" w:line="360" w:lineRule="auto"/>
        <w:jc w:val="both"/>
        <w:rPr>
          <w:sz w:val="24"/>
          <w:szCs w:val="24"/>
        </w:rPr>
      </w:pPr>
      <w:r>
        <w:rPr>
          <w:sz w:val="24"/>
          <w:szCs w:val="24"/>
        </w:rPr>
        <w:t>that it was agreed by the parties either expressly or by implication that the decision of the arbitration would be accepted as final and binding;</w:t>
      </w:r>
    </w:p>
    <w:p w:rsidR="000A53EA" w:rsidRDefault="000A53EA" w:rsidP="000A53EA">
      <w:pPr>
        <w:pStyle w:val="ListParagraph"/>
        <w:numPr>
          <w:ilvl w:val="0"/>
          <w:numId w:val="1"/>
        </w:numPr>
        <w:spacing w:after="0" w:line="360" w:lineRule="auto"/>
        <w:jc w:val="both"/>
        <w:rPr>
          <w:sz w:val="24"/>
          <w:szCs w:val="24"/>
        </w:rPr>
      </w:pPr>
      <w:r>
        <w:rPr>
          <w:sz w:val="24"/>
          <w:szCs w:val="24"/>
        </w:rPr>
        <w:t>that the said arbitration was in accordance with the parties or of their trade or business;</w:t>
      </w:r>
    </w:p>
    <w:p w:rsidR="000A53EA" w:rsidRDefault="000A53EA" w:rsidP="000A53EA">
      <w:pPr>
        <w:pStyle w:val="ListParagraph"/>
        <w:numPr>
          <w:ilvl w:val="0"/>
          <w:numId w:val="1"/>
        </w:numPr>
        <w:spacing w:after="0" w:line="360" w:lineRule="auto"/>
        <w:jc w:val="both"/>
        <w:rPr>
          <w:sz w:val="24"/>
          <w:szCs w:val="24"/>
        </w:rPr>
      </w:pPr>
      <w:r>
        <w:rPr>
          <w:sz w:val="24"/>
          <w:szCs w:val="24"/>
        </w:rPr>
        <w:t>that the arbitrators reached a decision and published their award;</w:t>
      </w:r>
    </w:p>
    <w:p w:rsidR="000A53EA" w:rsidRDefault="000A53EA" w:rsidP="000A53EA">
      <w:pPr>
        <w:pStyle w:val="ListParagraph"/>
        <w:numPr>
          <w:ilvl w:val="0"/>
          <w:numId w:val="1"/>
        </w:numPr>
        <w:spacing w:after="0" w:line="360" w:lineRule="auto"/>
        <w:jc w:val="both"/>
        <w:rPr>
          <w:sz w:val="24"/>
          <w:szCs w:val="24"/>
        </w:rPr>
      </w:pPr>
      <w:r>
        <w:rPr>
          <w:sz w:val="24"/>
          <w:szCs w:val="24"/>
        </w:rPr>
        <w:t>that the decision or award was accepted at the time it was made.</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According to the court, “unless the conditions are fulfilled, the arbitration award is unenforceable.” In the above case, the appellant and respondent were contesting a chieftaincy title in the Auke clan in Apa Local Government Council Area of Benue state. It was the respondent who dragged the appellant before the Apa Traditional Council in 1999 to decide which of them was entitled to the stool of Amana- Abo, an the Council after hearing evidence from the parties decided the dispute in favour of the appellant. Dissatisfied, the respondent instituted another suit in court but the </w:t>
      </w:r>
      <w:r>
        <w:rPr>
          <w:sz w:val="24"/>
          <w:szCs w:val="24"/>
        </w:rPr>
        <w:lastRenderedPageBreak/>
        <w:t>appellant filed a motion on notice praying that the suit be struck out because the matter had already been decided by the Apa Traditional Council. This motion was denied by the court whereupon the appellant appealed against the ruling of the lower court. And allowing the appeal, the court stated inter alia:</w:t>
      </w:r>
    </w:p>
    <w:p w:rsidR="000A53EA" w:rsidRDefault="000A53EA" w:rsidP="000A53EA">
      <w:pPr>
        <w:spacing w:after="0" w:line="360" w:lineRule="auto"/>
        <w:ind w:left="1361" w:right="737"/>
        <w:jc w:val="both"/>
        <w:rPr>
          <w:sz w:val="24"/>
          <w:szCs w:val="24"/>
        </w:rPr>
      </w:pPr>
      <w:r>
        <w:rPr>
          <w:sz w:val="24"/>
          <w:szCs w:val="24"/>
        </w:rPr>
        <w:t xml:space="preserve"> that where parties to a dispute voluntarily submit their dispute to a customary body of persons such as the peace committee in this case, for adjudication and agree to be bound by the decision of the body on the issues in controversy between them, if the body goes into the matter, hears both sides and reaches a decision, the law takes the view that parties to the dispute had chosen their own forum rather than the courts. None of the parties will be allowed later to back out of the decision if it does not favour it. It will be bound thereby and the successful party can plead the decision as estoppel.</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It is important to note in the application of customary arbitration that the arbitral panel which may necessarily be made up of persons from the same or nearby communities who are knowledgeable about applicable customs may inadvertently import parochial and personal interests which may becloud the objectivity of the panelists in arriving at their decisions. It is therefore a “a common feature of customary arbitration in a closely knit community that some of the arbitrators if not all, not only have prior knowledge of the facts of the dispute, but also have their prejudices and varying interest in the matter and therefore sometimes judges in their own cause and are likely to prejudice the issue..” The consent of the parties to subject themselves to arbitration is crucial for the award to be binding. The parties must “voluntarily submit to arbitration and consciously indicate their willingness to be bound by the decision…” </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When an arbitral committee gives an award after the conclusion of hearing, parties before it must indicate their acceptance or rejection of same at the time the award was given. Acceptance of the arbitral award may be express or implied. It is implied where a party from the date the award was given does nothing to show that he or she did not accept the panel’s decision or that the party without clearly stating that he abides by the decision of the panel goes ahead to carry out some if the panel’s ruling. In </w:t>
      </w:r>
      <w:r>
        <w:rPr>
          <w:b/>
          <w:i/>
          <w:sz w:val="24"/>
          <w:szCs w:val="24"/>
        </w:rPr>
        <w:t>ojibah v ojibah</w:t>
      </w:r>
      <w:r>
        <w:rPr>
          <w:sz w:val="24"/>
          <w:szCs w:val="24"/>
        </w:rPr>
        <w:t xml:space="preserve"> </w:t>
      </w:r>
      <w:r>
        <w:rPr>
          <w:rStyle w:val="FootnoteReference"/>
          <w:sz w:val="24"/>
          <w:szCs w:val="24"/>
        </w:rPr>
        <w:footnoteReference w:id="11"/>
      </w:r>
      <w:r>
        <w:rPr>
          <w:sz w:val="24"/>
          <w:szCs w:val="24"/>
        </w:rPr>
        <w:t xml:space="preserve">, it was held that what is critical in customary arbitration is </w:t>
      </w:r>
      <w:r>
        <w:rPr>
          <w:sz w:val="24"/>
          <w:szCs w:val="24"/>
        </w:rPr>
        <w:lastRenderedPageBreak/>
        <w:t>that the parties voluntarily submit their matter in controversy to arbitration, agree expressly or by implication that the decision of the arbitrators would be final and binding. So the agreement to be so bound need not be express but may be by implication.</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 In Ehoche’s case, the acceptance of the decision of the arbitral panel at the time it was made was by implication as from the evidence deposed by the appellant which was not contradicted. The arbitral award was made “on the 11</w:t>
      </w:r>
      <w:r>
        <w:rPr>
          <w:sz w:val="24"/>
          <w:szCs w:val="24"/>
          <w:vertAlign w:val="superscript"/>
        </w:rPr>
        <w:t>th</w:t>
      </w:r>
      <w:r>
        <w:rPr>
          <w:sz w:val="24"/>
          <w:szCs w:val="24"/>
        </w:rPr>
        <w:t xml:space="preserve"> of January 1999 and the respondent did not do anything to show that he did not accept the decision. There cannot be any evidence of acceptance of the decision and the award than this respondent’s inaction against the decision for over two years.”Commenting further on when the decision of arbitrators is binding, the Supreme Court in </w:t>
      </w:r>
      <w:r>
        <w:rPr>
          <w:b/>
          <w:i/>
          <w:sz w:val="24"/>
          <w:szCs w:val="24"/>
        </w:rPr>
        <w:t>Egesimba v Onusuruike</w:t>
      </w:r>
      <w:r>
        <w:rPr>
          <w:rStyle w:val="FootnoteReference"/>
          <w:b/>
          <w:i/>
          <w:sz w:val="24"/>
          <w:szCs w:val="24"/>
        </w:rPr>
        <w:footnoteReference w:id="12"/>
      </w:r>
      <w:r>
        <w:rPr>
          <w:sz w:val="24"/>
          <w:szCs w:val="24"/>
        </w:rPr>
        <w:t xml:space="preserve">  stated that:</w:t>
      </w:r>
    </w:p>
    <w:p w:rsidR="000A53EA" w:rsidRDefault="000A53EA" w:rsidP="000A53EA">
      <w:pPr>
        <w:spacing w:after="0" w:line="360" w:lineRule="auto"/>
        <w:ind w:left="1418" w:right="794"/>
        <w:jc w:val="both"/>
        <w:rPr>
          <w:sz w:val="24"/>
          <w:szCs w:val="24"/>
        </w:rPr>
      </w:pPr>
      <w:r>
        <w:rPr>
          <w:sz w:val="24"/>
          <w:szCs w:val="24"/>
        </w:rPr>
        <w:t xml:space="preserve"> Where a body of men, be they Chiefs or otherwise act as arbitrators over a dispute between two parties, their decision shall have a binding effect if it is shown firstly that both parties submitted to the arbitration. Secondly, that the parties accepted the terms of the arbitration, and thirdly, that they agreed to be bound by the decision; such decision has the same authority as the judgment of a judicial body and will be binding on the parties and thus create an estoppels. </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It should however be noted that where the arbitral award is not accepted by a party to the dispute, it will not be legally binding on the parties. In </w:t>
      </w:r>
      <w:r>
        <w:rPr>
          <w:b/>
          <w:i/>
          <w:sz w:val="24"/>
          <w:szCs w:val="24"/>
        </w:rPr>
        <w:t>Okereke v Nwankwo,</w:t>
      </w:r>
      <w:r>
        <w:rPr>
          <w:rStyle w:val="FootnoteReference"/>
          <w:b/>
          <w:i/>
          <w:sz w:val="24"/>
          <w:szCs w:val="24"/>
        </w:rPr>
        <w:footnoteReference w:id="13"/>
      </w:r>
      <w:r>
        <w:rPr>
          <w:sz w:val="24"/>
          <w:szCs w:val="24"/>
        </w:rPr>
        <w:t xml:space="preserve"> the question before the Supreme Court was whether the award made by customary arbitration was binding on the parties having been rejected by the respondents at the time it was made. According to the court, the attempt at arbitration failed because the appellants from their evidence averred that the respondents did not accept the decision of the Umunna Okolobi Imoko and headed for the courts. So, by instituting this action, the respondents “demonstrated that they were not bound by that decision”.</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lastRenderedPageBreak/>
        <w:t>In a proceeding before the court, the existence of a decision of arbitration over the same matter would be relevant. What the law requires is that “any party relying on arbitration under customary law should clearly plead and convincingly prove that:</w:t>
      </w:r>
    </w:p>
    <w:p w:rsidR="000A53EA" w:rsidRDefault="000A53EA" w:rsidP="000A53EA">
      <w:pPr>
        <w:pStyle w:val="ListParagraph"/>
        <w:numPr>
          <w:ilvl w:val="0"/>
          <w:numId w:val="2"/>
        </w:numPr>
        <w:spacing w:after="0" w:line="360" w:lineRule="auto"/>
        <w:jc w:val="both"/>
        <w:rPr>
          <w:sz w:val="24"/>
          <w:szCs w:val="24"/>
        </w:rPr>
      </w:pPr>
      <w:r>
        <w:rPr>
          <w:sz w:val="24"/>
          <w:szCs w:val="24"/>
        </w:rPr>
        <w:t>those who sat over his dispute were under the customary law alleged, competent to adjudicate over that class of cases-in other words that they constituted a judicial tribunal under that law;</w:t>
      </w:r>
    </w:p>
    <w:p w:rsidR="000A53EA" w:rsidRDefault="000A53EA" w:rsidP="000A53EA">
      <w:pPr>
        <w:pStyle w:val="ListParagraph"/>
        <w:numPr>
          <w:ilvl w:val="0"/>
          <w:numId w:val="2"/>
        </w:numPr>
        <w:spacing w:after="0" w:line="360" w:lineRule="auto"/>
        <w:jc w:val="both"/>
        <w:rPr>
          <w:sz w:val="24"/>
          <w:szCs w:val="24"/>
        </w:rPr>
      </w:pPr>
      <w:r>
        <w:rPr>
          <w:sz w:val="24"/>
          <w:szCs w:val="24"/>
        </w:rPr>
        <w:t>the decision of the arbitrators or arbitrator was final in the sense that it left nothing to be determined or ascertained thereafter in order to make it effective and capable of execution;</w:t>
      </w:r>
    </w:p>
    <w:p w:rsidR="000A53EA" w:rsidRDefault="000A53EA" w:rsidP="000A53EA">
      <w:pPr>
        <w:pStyle w:val="ListParagraph"/>
        <w:numPr>
          <w:ilvl w:val="0"/>
          <w:numId w:val="2"/>
        </w:numPr>
        <w:spacing w:after="0" w:line="360" w:lineRule="auto"/>
        <w:jc w:val="both"/>
        <w:rPr>
          <w:sz w:val="24"/>
          <w:szCs w:val="24"/>
        </w:rPr>
      </w:pPr>
      <w:r>
        <w:rPr>
          <w:sz w:val="24"/>
          <w:szCs w:val="24"/>
        </w:rPr>
        <w:t>that the decision was not under some rule of the customary law of the parties, subject to subsequent review or modification by the panel of chiefs or elders who pronounced it.</w:t>
      </w:r>
    </w:p>
    <w:p w:rsidR="000A53EA" w:rsidRDefault="000A53EA" w:rsidP="000A53EA">
      <w:pPr>
        <w:pStyle w:val="ListParagraph"/>
        <w:numPr>
          <w:ilvl w:val="0"/>
          <w:numId w:val="2"/>
        </w:numPr>
        <w:spacing w:after="0" w:line="360" w:lineRule="auto"/>
        <w:jc w:val="both"/>
        <w:rPr>
          <w:sz w:val="24"/>
          <w:szCs w:val="24"/>
        </w:rPr>
      </w:pPr>
      <w:r>
        <w:rPr>
          <w:sz w:val="24"/>
          <w:szCs w:val="24"/>
        </w:rPr>
        <w:t>the peculiar incidents of the particular customary law on which the parties rely with regard to mediation or arbitration or the arbitral process or customary law arbitrament.”</w:t>
      </w:r>
      <w:r>
        <w:rPr>
          <w:rStyle w:val="FootnoteReference"/>
          <w:sz w:val="24"/>
          <w:szCs w:val="24"/>
        </w:rPr>
        <w:footnoteReference w:id="14"/>
      </w:r>
      <w:r>
        <w:rPr>
          <w:sz w:val="24"/>
          <w:szCs w:val="24"/>
        </w:rPr>
        <w:t xml:space="preserve"> </w:t>
      </w:r>
    </w:p>
    <w:p w:rsidR="000A53EA" w:rsidRDefault="000A53EA" w:rsidP="000A53EA">
      <w:pPr>
        <w:pStyle w:val="ListParagraph"/>
        <w:spacing w:after="0" w:line="360" w:lineRule="auto"/>
        <w:ind w:left="780"/>
        <w:jc w:val="both"/>
        <w:rPr>
          <w:sz w:val="24"/>
          <w:szCs w:val="24"/>
        </w:rPr>
      </w:pPr>
    </w:p>
    <w:p w:rsidR="000A53EA" w:rsidRPr="00F74813" w:rsidRDefault="000A53EA" w:rsidP="000A53EA">
      <w:pPr>
        <w:pStyle w:val="Heading1"/>
        <w:numPr>
          <w:ilvl w:val="0"/>
          <w:numId w:val="5"/>
        </w:numPr>
        <w:spacing w:line="240" w:lineRule="auto"/>
        <w:jc w:val="both"/>
        <w:rPr>
          <w:rFonts w:ascii="Times New Roman" w:hAnsi="Times New Roman"/>
          <w:b/>
          <w:color w:val="auto"/>
          <w:sz w:val="24"/>
        </w:rPr>
      </w:pPr>
      <w:r w:rsidRPr="00F74813">
        <w:rPr>
          <w:rFonts w:ascii="Times New Roman" w:hAnsi="Times New Roman"/>
          <w:b/>
          <w:color w:val="auto"/>
          <w:sz w:val="24"/>
        </w:rPr>
        <w:t>ARBITRAL PROCEDURES AND PRACTICE UNDER THE OGBA CUSTOMARY LAW</w:t>
      </w:r>
    </w:p>
    <w:p w:rsidR="000A53EA" w:rsidRDefault="000A53EA" w:rsidP="000A53EA">
      <w:pPr>
        <w:spacing w:after="0" w:line="360" w:lineRule="auto"/>
        <w:jc w:val="both"/>
        <w:rPr>
          <w:sz w:val="24"/>
          <w:szCs w:val="24"/>
        </w:rPr>
      </w:pPr>
      <w:r>
        <w:rPr>
          <w:sz w:val="24"/>
          <w:szCs w:val="24"/>
        </w:rPr>
        <w:t xml:space="preserve">Various forms of mediation by families and the community in disputes between persons are employed to ensure harmony in the communities. In </w:t>
      </w:r>
      <w:r>
        <w:rPr>
          <w:b/>
          <w:i/>
          <w:sz w:val="24"/>
          <w:szCs w:val="24"/>
        </w:rPr>
        <w:t>Nwankpa v Nwogu</w:t>
      </w:r>
      <w:r>
        <w:rPr>
          <w:rStyle w:val="FootnoteReference"/>
          <w:b/>
          <w:i/>
          <w:sz w:val="24"/>
          <w:szCs w:val="24"/>
        </w:rPr>
        <w:footnoteReference w:id="15"/>
      </w:r>
      <w:r>
        <w:rPr>
          <w:sz w:val="24"/>
          <w:szCs w:val="24"/>
        </w:rPr>
        <w:t>the court stated that “one of the many customary modes of settling disputes is to refer the dispute to the family head or an elder or elders of the community for a compromise solution based upon the subsequent acceptance by both parties of the suggested award which becomes binding only after such signification of its acceptance and from which either party is free to resile at any stage of the proceedings up to that point. This is the common method of settling disputes in all indigenous Nigerian societies.”</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Among the Ogba peoples of the Niger Delta, the nature and form of arbitral interventions that are deployable is a function of the genealogical tree of the disputants. Usually when the disputants are members of a nuclear family (which is not strictly the English concept of nuclear family as it may import a man and his immediate family in addition to his siblings and the families) it is usually the extended family (persons traceable to the same grandfather) that intervenes to handle the matter; while if it concerns persons from the extended family, members of the kindred group (persons </w:t>
      </w:r>
      <w:r>
        <w:rPr>
          <w:sz w:val="24"/>
          <w:szCs w:val="24"/>
        </w:rPr>
        <w:lastRenderedPageBreak/>
        <w:t>whose fathers have blood ties traceable to a great grandfather and beyond; and even outside the immediate community); and any dispute which involves one kindred group and another may attract arbitral interventions from inter or intra kindred groups. The degree of intervention in cases of disputes is usually a function of the nature of the dispute and complaint although arbitration is usually initiated by the parties’ kith and kin.</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p>
    <w:p w:rsidR="000A53EA" w:rsidRPr="00E37781" w:rsidRDefault="000A53EA" w:rsidP="000A53EA">
      <w:pPr>
        <w:pStyle w:val="Heading2"/>
        <w:numPr>
          <w:ilvl w:val="0"/>
          <w:numId w:val="6"/>
        </w:numPr>
        <w:spacing w:line="240" w:lineRule="auto"/>
        <w:jc w:val="both"/>
        <w:rPr>
          <w:rFonts w:ascii="Times New Roman" w:hAnsi="Times New Roman"/>
          <w:i w:val="0"/>
          <w:sz w:val="24"/>
        </w:rPr>
      </w:pPr>
      <w:r w:rsidRPr="00E37781">
        <w:rPr>
          <w:rFonts w:ascii="Times New Roman" w:hAnsi="Times New Roman"/>
          <w:i w:val="0"/>
          <w:sz w:val="24"/>
        </w:rPr>
        <w:t xml:space="preserve"> Arbitration by Family Members</w:t>
      </w:r>
    </w:p>
    <w:p w:rsidR="000A53EA" w:rsidRDefault="000A53EA" w:rsidP="000A53EA">
      <w:pPr>
        <w:spacing w:after="0" w:line="360" w:lineRule="auto"/>
        <w:jc w:val="both"/>
        <w:rPr>
          <w:sz w:val="24"/>
          <w:szCs w:val="24"/>
        </w:rPr>
      </w:pPr>
      <w:r>
        <w:rPr>
          <w:sz w:val="24"/>
          <w:szCs w:val="24"/>
        </w:rPr>
        <w:t>If the dispute is a matrimonial matter between a man and his wife, or between wives or children of the same man such as adultery, incest, theft, witchcraft etcetera, family members traceable to the same father would intervene first depending on the persons involved. The family members form the arbitration committee headed by the family head to intervene and settle the dispute following a complaint by either of the parties or any other interested member of the family who desires a resolution of the conflict. The family members invited as arbiters are usually the males who have come of age, are married and have a right to share in the family’s inheritance. The females are only permitted by custom to come into the arbitral arena upon the invitation of the male for the purpose of giving evidence except they are direct parties to the dispute.</w:t>
      </w:r>
      <w:r>
        <w:rPr>
          <w:rStyle w:val="FootnoteReference"/>
          <w:sz w:val="24"/>
          <w:szCs w:val="24"/>
        </w:rPr>
        <w:footnoteReference w:id="16"/>
      </w:r>
      <w:r>
        <w:rPr>
          <w:sz w:val="24"/>
          <w:szCs w:val="24"/>
        </w:rPr>
        <w:t xml:space="preserve"> To give validity to the family members called “nde obudo” to be constituted as an arbitration committee, the complainant is by custom required to submit to the jurisdiction of this body by bringing to the family head a bottle of hot drink and a sum of money to lay his complaint and ask that the party complained about be summoned on a given date. Where the disputing party answers the summons and presents himself on the named date, he has submit himself to the jurisdiction of the family arbitration committee and so would be bound by the decisions reached except he openly declines to so abide which may attract some customary sanctions and penalties such as not allocating farming portions to him or confiscating any rights accruable to him from the family wealth for a season.</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The procedure for the arbitration at the family level starts with the formal complaint and summons which leads to the hearing of the matter. Proceedings are usually oral and the hearing starts with </w:t>
      </w:r>
      <w:r>
        <w:rPr>
          <w:sz w:val="24"/>
          <w:szCs w:val="24"/>
        </w:rPr>
        <w:lastRenderedPageBreak/>
        <w:t>introductory remarks from the family head who is the chief arbitrator to keep everyone present abreast of the matter before them. After this, the complainant is asked to lay bare the nature of his or her complaint; and the defendant is subsequently asked to respond to the complaints against him. In fact he is required to ask the complainant questions after his address to establish the veracity of his claims by either contradicting him or accepting what is stated. It is after the interrogatories that the defendant is asked to state his own case. The defendant is free to ask the complainant questions or decline from saying anything or even cross examining the complainant. Where the defendant states his side of the story, the petitioner is allowed to ask him questions to contradict or puncture any defence he may put up. The arbitrators are also at liberty to question the parties and their witnesses on the issues at stake. Afterwards, both the complainant and the defendant are asked to step out of the vicinity of the hearing to allow the arbitrators to deliberate on the evidence before them and any other piece of evidence not necessarily emanating from the parties and their witnesses.</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 In acting as arbiters, the family members are by custom allowed to seek assessors who may be outside the immediate family to assist them reach a verdict which is usually be consensus and is usually targeted not strictly at fault finding but at restoring peace and harmony among the disputants. The verdict reached which may necessarily include elements of fault finding to deter future occurrences and the reeling out of some punitive measures is primarily targeted at peace making and the return of the parties to status quo ante. Faults and breaches of conduct by any of the parties are pronounced and reprimanded openly; and the defaulting party is asked to apologise and bow to the other party if he is the younger person, and bring drinks that would be shared by all present as a sign of bonding and brotherhood. If he is however older, he is required to apologise to the entire family or kindred group for his demeanour and then to the younger brother who by custom would still be required to bow to him.</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At other times however, the verdict reached may require some restitutive action by the defaulter to compensate the other party. Also where there were retaliatory acts carried out against each other for example, destruction of mutual farmland and crops, the arbitral body may weigh the losses suffered by both parties; and either allow the losses cancel each other or compensate the person with the greater loss from the family pool for peace to reign. Arbitration in matters concerning </w:t>
      </w:r>
      <w:r>
        <w:rPr>
          <w:sz w:val="24"/>
          <w:szCs w:val="24"/>
        </w:rPr>
        <w:lastRenderedPageBreak/>
        <w:t>death of a member of the family is usually targeted at averting the death of the accused as by custom anybody who takes the life of another person intentionally or inadvertently should take his or her own life. So arbiters from the immediate, extended and kindred families may be sought by any interested party to avert further deaths and plead for other forms of strict penalties like loss of family land and wealth as compensation for loss of life.</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If the dispute is at the kindred level, and again depending on the nature of the dispute, there are many arbitral procedures which can be adopted before amity is achieved. These procedures include interventions by recognized groups such as:</w:t>
      </w:r>
    </w:p>
    <w:p w:rsidR="000A53EA" w:rsidRDefault="000A53EA" w:rsidP="000A53EA">
      <w:pPr>
        <w:pStyle w:val="ListParagraph"/>
        <w:numPr>
          <w:ilvl w:val="0"/>
          <w:numId w:val="3"/>
        </w:numPr>
        <w:spacing w:after="0" w:line="360" w:lineRule="auto"/>
        <w:jc w:val="both"/>
        <w:rPr>
          <w:sz w:val="24"/>
          <w:szCs w:val="24"/>
        </w:rPr>
      </w:pPr>
      <w:r>
        <w:rPr>
          <w:sz w:val="24"/>
          <w:szCs w:val="24"/>
        </w:rPr>
        <w:t>A panel of the married daughters of the kindred family called the ‘nwunonwuno.’</w:t>
      </w:r>
    </w:p>
    <w:p w:rsidR="000A53EA" w:rsidRDefault="000A53EA" w:rsidP="000A53EA">
      <w:pPr>
        <w:pStyle w:val="ListParagraph"/>
        <w:numPr>
          <w:ilvl w:val="0"/>
          <w:numId w:val="3"/>
        </w:numPr>
        <w:spacing w:after="0" w:line="360" w:lineRule="auto"/>
        <w:jc w:val="both"/>
        <w:rPr>
          <w:sz w:val="24"/>
          <w:szCs w:val="24"/>
        </w:rPr>
      </w:pPr>
      <w:r>
        <w:rPr>
          <w:sz w:val="24"/>
          <w:szCs w:val="24"/>
        </w:rPr>
        <w:t>A panel of maternal uncles called ‘ndeokene.’</w:t>
      </w:r>
    </w:p>
    <w:p w:rsidR="000A53EA" w:rsidRDefault="000A53EA" w:rsidP="000A53EA">
      <w:pPr>
        <w:pStyle w:val="ListParagraph"/>
        <w:numPr>
          <w:ilvl w:val="0"/>
          <w:numId w:val="3"/>
        </w:numPr>
        <w:spacing w:after="0" w:line="360" w:lineRule="auto"/>
        <w:jc w:val="both"/>
        <w:rPr>
          <w:sz w:val="24"/>
          <w:szCs w:val="24"/>
        </w:rPr>
      </w:pPr>
      <w:r>
        <w:rPr>
          <w:sz w:val="24"/>
          <w:szCs w:val="24"/>
        </w:rPr>
        <w:t>A married woman’s biological family members usually men.</w:t>
      </w:r>
    </w:p>
    <w:p w:rsidR="000A53EA" w:rsidRDefault="000A53EA" w:rsidP="000A53EA">
      <w:pPr>
        <w:pStyle w:val="ListParagraph"/>
        <w:numPr>
          <w:ilvl w:val="0"/>
          <w:numId w:val="3"/>
        </w:numPr>
        <w:spacing w:after="0" w:line="360" w:lineRule="auto"/>
        <w:jc w:val="both"/>
        <w:rPr>
          <w:sz w:val="24"/>
          <w:szCs w:val="24"/>
        </w:rPr>
      </w:pPr>
      <w:r>
        <w:rPr>
          <w:sz w:val="24"/>
          <w:szCs w:val="24"/>
        </w:rPr>
        <w:t xml:space="preserve">The Age grade members of disputing parties </w:t>
      </w:r>
    </w:p>
    <w:p w:rsidR="000A53EA" w:rsidRDefault="000A53EA" w:rsidP="000A53EA">
      <w:pPr>
        <w:spacing w:after="0" w:line="360" w:lineRule="auto"/>
        <w:jc w:val="both"/>
        <w:rPr>
          <w:sz w:val="24"/>
          <w:szCs w:val="24"/>
        </w:rPr>
      </w:pPr>
      <w:r>
        <w:rPr>
          <w:sz w:val="24"/>
          <w:szCs w:val="24"/>
        </w:rPr>
        <w:tab/>
      </w:r>
    </w:p>
    <w:p w:rsidR="000A53EA" w:rsidRPr="00E37781" w:rsidRDefault="000A53EA" w:rsidP="000A53EA">
      <w:pPr>
        <w:pStyle w:val="Heading2"/>
        <w:numPr>
          <w:ilvl w:val="0"/>
          <w:numId w:val="6"/>
        </w:numPr>
        <w:spacing w:line="240" w:lineRule="auto"/>
        <w:jc w:val="both"/>
        <w:rPr>
          <w:rFonts w:ascii="Times New Roman" w:hAnsi="Times New Roman"/>
          <w:i w:val="0"/>
          <w:sz w:val="24"/>
        </w:rPr>
      </w:pPr>
      <w:r w:rsidRPr="00E37781">
        <w:rPr>
          <w:rFonts w:ascii="Times New Roman" w:hAnsi="Times New Roman"/>
          <w:i w:val="0"/>
          <w:sz w:val="24"/>
        </w:rPr>
        <w:t>Arbitrat</w:t>
      </w:r>
      <w:r>
        <w:rPr>
          <w:rFonts w:ascii="Times New Roman" w:hAnsi="Times New Roman"/>
          <w:i w:val="0"/>
          <w:sz w:val="24"/>
        </w:rPr>
        <w:t>ion b</w:t>
      </w:r>
      <w:r w:rsidRPr="00E37781">
        <w:rPr>
          <w:rFonts w:ascii="Times New Roman" w:hAnsi="Times New Roman"/>
          <w:i w:val="0"/>
          <w:sz w:val="24"/>
        </w:rPr>
        <w:t>y Married Daughters Called “Nwononwuno”</w:t>
      </w:r>
    </w:p>
    <w:p w:rsidR="000A53EA" w:rsidRDefault="000A53EA" w:rsidP="000A53EA">
      <w:pPr>
        <w:spacing w:after="0" w:line="360" w:lineRule="auto"/>
        <w:jc w:val="both"/>
        <w:rPr>
          <w:sz w:val="24"/>
          <w:szCs w:val="24"/>
        </w:rPr>
      </w:pPr>
      <w:r>
        <w:rPr>
          <w:sz w:val="24"/>
          <w:szCs w:val="24"/>
        </w:rPr>
        <w:t>The daughters born to a kindred family in Ogbaland and married to different families and communities are highly respected by their kinsmen and are usually invited to intervene when certain family disputes arise, although on their own they can also decide to initiate the peace moves by contacting the disputants or the family head to express their desire to wade into the crisis to find an amicable solution. At any arbitral session by these women commonly referred to as ‘nwununwuno,’ the hierarchy of seniority at attendance at meeting is maintained with the most senior person presiding. Sometimes however, the group may agree nominate a spokes person considered to be more articulate, charismatic, forthright and more neutral to lead the session.  This group also has the power with the consent of the parties especially the complainant to withdraw matters that have been taken to the shrine for native adjudication or to the traditional rulers’ council and native courts for judgment to be handled and settled by them.</w:t>
      </w:r>
      <w:r>
        <w:rPr>
          <w:rStyle w:val="FootnoteReference"/>
          <w:sz w:val="24"/>
          <w:szCs w:val="24"/>
        </w:rPr>
        <w:footnoteReference w:id="17"/>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Under this type of arbitration, all the married male members of the kindred group and their wives are invited to be in attendance depending on the nature of the dispute. The married sisters would </w:t>
      </w:r>
      <w:r>
        <w:rPr>
          <w:sz w:val="24"/>
          <w:szCs w:val="24"/>
        </w:rPr>
        <w:lastRenderedPageBreak/>
        <w:t xml:space="preserve">address the issues as it is brought to their notice, invite comments from any member of the family to clarify certain issues, corroborate the evidence or not and find a solution of the impasse. The disputing parties are equally allowed to state their positions especially areas of discord; words and acts considered offensive etc. </w:t>
      </w:r>
      <w:r>
        <w:rPr>
          <w:sz w:val="24"/>
          <w:szCs w:val="24"/>
        </w:rPr>
        <w:tab/>
        <w:t xml:space="preserve">At the end of the hearing, the </w:t>
      </w:r>
      <w:r>
        <w:rPr>
          <w:i/>
          <w:sz w:val="24"/>
          <w:szCs w:val="24"/>
        </w:rPr>
        <w:t>nwunonwuno</w:t>
      </w:r>
      <w:r>
        <w:rPr>
          <w:sz w:val="24"/>
          <w:szCs w:val="24"/>
        </w:rPr>
        <w:t xml:space="preserve"> relocate from the arbitration scene to deliberate and review proceedings before returning to give their verdict. Whilst a family arbitration panel of males would ask the disputants to go out of sight and hearing of the panelists, the female arbitrators in deference to the males would leave the arbitral scene to reach a consensus on the verdict aimed at returning parties to staus quo to maintain peace. Once the party causing the right is identified, restitution is demanded with the family head at liberty and with the support of other male members of the family to impose further penalties. It should however be noted that the interventions of the married daughters are not common place, not for mere domestic trivialities nor are they a frequent occurrence except on issues that are so critical and weighty that they may become life threatening; or generating bad blood among siblings and capable of causing irreparable dissentions within the kindred groups..  </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Under the Ogba customary law, oath taking is recognized as a valid part of arbitration to establish the veracity of averments of parties before it. This reliance on oath taking as part and parcel of native arbitration is to ensure that the parties speak the truth. Where parties have a dispute, recourse is in most cases had to resolutions by a recognized deity or shrine usually through the swearing to an oath. This practice is not exclusive to Ogba people. In fact in </w:t>
      </w:r>
      <w:r>
        <w:rPr>
          <w:b/>
          <w:i/>
          <w:sz w:val="24"/>
          <w:szCs w:val="24"/>
        </w:rPr>
        <w:t>Akpodike v Nwabueze</w:t>
      </w:r>
      <w:r>
        <w:rPr>
          <w:sz w:val="24"/>
          <w:szCs w:val="24"/>
        </w:rPr>
        <w:t>,</w:t>
      </w:r>
      <w:r>
        <w:rPr>
          <w:rStyle w:val="FootnoteReference"/>
          <w:sz w:val="24"/>
          <w:szCs w:val="24"/>
        </w:rPr>
        <w:footnoteReference w:id="18"/>
      </w:r>
      <w:r>
        <w:rPr>
          <w:sz w:val="24"/>
          <w:szCs w:val="24"/>
        </w:rPr>
        <w:t xml:space="preserve">where the dispute between the appellant and the respondent concerned questions of native law and custom especially as to who was the rightful head of the Umuduru-Onyiriagba kindred of Okorodurunka village in Umuchima town, the court held that “the evidence of the traditional ruler and custodian of the custom and tradition of Umuchima community of the parties show that consultation of a fortune teller is part of the custom of the parties. The contention of the appellant that belief in a juju is unreasonable and not part of our laws is therefore untenable…” The appellant as plaintiff sued the respondent as defendant claiming a declaration that under their native law and custom, he was the rightful head of his kindred, although he had asked PW1 to act in his stead from 1959 to 1983 when he retired from the civil service and took over from him. He averred further that the defendant started laying claim to the headship in 1981 and he took the matter to the Ndinze </w:t>
      </w:r>
      <w:r>
        <w:rPr>
          <w:sz w:val="24"/>
          <w:szCs w:val="24"/>
        </w:rPr>
        <w:lastRenderedPageBreak/>
        <w:t>Okoroduruaka to handle. The matter was sent to customary arbitration between 8</w:t>
      </w:r>
      <w:r>
        <w:rPr>
          <w:sz w:val="24"/>
          <w:szCs w:val="24"/>
          <w:vertAlign w:val="superscript"/>
        </w:rPr>
        <w:t>th</w:t>
      </w:r>
      <w:r>
        <w:rPr>
          <w:sz w:val="24"/>
          <w:szCs w:val="24"/>
        </w:rPr>
        <w:t xml:space="preserve"> and 11</w:t>
      </w:r>
      <w:r>
        <w:rPr>
          <w:sz w:val="24"/>
          <w:szCs w:val="24"/>
          <w:vertAlign w:val="superscript"/>
        </w:rPr>
        <w:t>th</w:t>
      </w:r>
      <w:r>
        <w:rPr>
          <w:sz w:val="24"/>
          <w:szCs w:val="24"/>
        </w:rPr>
        <w:t xml:space="preserve"> of November 1981 and the Umuduruonyiriagha kindred who arbitrated over the headship of the family put the decisions in writing stating that it was the ancestor of the respondent and not that of the appellant that succeeded their common ancestor. The Ndinze Okoroduruaka to whom the plaintiff referred the matter decided that the defendant according to their custom should be made to swear to an oath for the plaintiff who chose Oranzu Okija juju for the purpose. The delegates who were sent to take the defendant to Umuaka to swear the oath came back reporting that the fortune teller declared the defendant as head of the kindred. In dismissing the appeal, the court held that “there was proper and binding arbitration by the Umuduruonyiriagha kindred. This is more so in the absence of any evidence that the appellant appealed against the decision of the Umuduruonyiriagha kindred”.</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i/>
          <w:sz w:val="24"/>
          <w:szCs w:val="24"/>
        </w:rPr>
      </w:pPr>
      <w:r>
        <w:rPr>
          <w:sz w:val="24"/>
          <w:szCs w:val="24"/>
        </w:rPr>
        <w:t xml:space="preserve">In most disputes between parties under customary law, the veracity of the parties’ evidence are usually tested by subjecting same to the ritual of oath-taking which presents itself in different forms depending on the community in question. The efficacy of this remedial method was recognized in the case of </w:t>
      </w:r>
      <w:r>
        <w:rPr>
          <w:b/>
          <w:i/>
          <w:sz w:val="24"/>
          <w:szCs w:val="24"/>
        </w:rPr>
        <w:t>Okarike v Samuel,</w:t>
      </w:r>
      <w:r>
        <w:rPr>
          <w:rStyle w:val="FootnoteReference"/>
          <w:b/>
          <w:i/>
          <w:sz w:val="24"/>
          <w:szCs w:val="24"/>
        </w:rPr>
        <w:footnoteReference w:id="19"/>
      </w:r>
      <w:r>
        <w:rPr>
          <w:sz w:val="24"/>
          <w:szCs w:val="24"/>
        </w:rPr>
        <w:t xml:space="preserve"> where the court stated that </w:t>
      </w:r>
      <w:r>
        <w:rPr>
          <w:i/>
          <w:sz w:val="24"/>
          <w:szCs w:val="24"/>
        </w:rPr>
        <w:t>“oath taking is a valid process under customary law arbitration and it is one of the methods known to customary law for establishing the truth of a matter. Where two parties to a dispute voluntarily agree to the resolution of their dispute by oath taking in accordance with customary law, neither of them can thereafter resile from the exercise of oath taking”.</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 xml:space="preserve">Another body seised with the powers to act as arbitrators in virtually all matters civil and criminal brought before them are the traditional rulers’ council or the ‘amala’ as they are referred to among the villages in the Egi clan of Ogbaland. Land disputes within and outside families and communities are usually handed by this group. Also chieftaincy tussles and disputes under Ogba customary law which can be subjected to arbitration are usually undertaken by this body. What is important in such cases is that the parties are willing to submit to arbitration. </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lastRenderedPageBreak/>
        <w:t xml:space="preserve">In </w:t>
      </w:r>
      <w:r>
        <w:rPr>
          <w:b/>
          <w:i/>
          <w:sz w:val="24"/>
          <w:szCs w:val="24"/>
        </w:rPr>
        <w:t>Ndah v Chianuokwu</w:t>
      </w:r>
      <w:r>
        <w:rPr>
          <w:rStyle w:val="FootnoteReference"/>
          <w:b/>
          <w:i/>
          <w:sz w:val="24"/>
          <w:szCs w:val="24"/>
        </w:rPr>
        <w:footnoteReference w:id="20"/>
      </w:r>
      <w:r>
        <w:rPr>
          <w:b/>
          <w:i/>
          <w:sz w:val="24"/>
          <w:szCs w:val="24"/>
        </w:rPr>
        <w:t xml:space="preserve"> </w:t>
      </w:r>
      <w:r>
        <w:rPr>
          <w:sz w:val="24"/>
          <w:szCs w:val="24"/>
        </w:rPr>
        <w:t xml:space="preserve">the court in a case concerning Ibaa Chiefs (one of the close communities to Ogba people) and bordering on who is entitled to collect and hold the ‘owhor omusunu’(symbol of authority)according to custom restated the place of customary arbitration under our laws as being relevant and binding on the parties so long as the voluntarily submitted themselves to the jurisdiction of the body or panelists who after hearing the parties delivered an award which can act as an estoppel in a subsequent suit. In the above case when the dispute arose between brothers from the same kindred group, the appellant took the matter to customary arbitration before the Ibaa Council of Traditional Rulers (Oha Uvahu) the custodians of their customary laws, values and practices. </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Inherent in the arbitral interventions of the different groups in Ogbaland is the tacit understanding that the matter could always be better resolved through oath taking. In fact innocence of an allegation is better established by the alleged offender acquiescing to the administration of an oath usually procured by the arbitral committee or the accusing party. In the circumstances where the administration of an oath is demanded by the family members, any refusal to subject oneself to oath taking under the Ogba customary law would be viewed as an admission of guilt whereupon fines and other adequate forms of punishment would be administered on the offender.</w:t>
      </w:r>
    </w:p>
    <w:p w:rsidR="000A53EA" w:rsidRDefault="000A53EA" w:rsidP="000A53EA">
      <w:pPr>
        <w:spacing w:after="0" w:line="360" w:lineRule="auto"/>
        <w:jc w:val="both"/>
        <w:rPr>
          <w:sz w:val="24"/>
          <w:szCs w:val="24"/>
        </w:rPr>
      </w:pPr>
    </w:p>
    <w:p w:rsidR="000A53EA" w:rsidRDefault="000A53EA" w:rsidP="000A53EA">
      <w:pPr>
        <w:spacing w:after="0" w:line="360" w:lineRule="auto"/>
        <w:jc w:val="both"/>
        <w:rPr>
          <w:sz w:val="24"/>
          <w:szCs w:val="24"/>
        </w:rPr>
      </w:pPr>
      <w:r>
        <w:rPr>
          <w:sz w:val="24"/>
          <w:szCs w:val="24"/>
        </w:rPr>
        <w:t>The arbitral committees under Ogba customary law can intervene in a wide range of issues including land disputes, chieftaincy matters, farm boundary adjustments, matrimonial issues and other forms of fraternal disputes. The “nwononwono” are specially seised of matters of disputes between their brothers and their wives so as to limit family secrets within the family members. Once such arbitration parties are recognized by the relevant parties, they are conferred with the authority to punish the offending party and bring peace to the family. It should be noted however that the intervention of the nwunonwuno group on matrimonial matters may just be mediatory and a prelude to a higher level of arbitral intervention by select family members on both sides.</w:t>
      </w:r>
    </w:p>
    <w:p w:rsidR="000A53EA" w:rsidRDefault="000A53EA" w:rsidP="000A53EA">
      <w:pPr>
        <w:spacing w:after="0" w:line="360" w:lineRule="auto"/>
        <w:jc w:val="both"/>
        <w:rPr>
          <w:sz w:val="24"/>
          <w:szCs w:val="24"/>
        </w:rPr>
      </w:pPr>
    </w:p>
    <w:p w:rsidR="000A53EA" w:rsidRPr="00E37781" w:rsidRDefault="000A53EA" w:rsidP="000A53EA">
      <w:pPr>
        <w:pStyle w:val="Heading2"/>
        <w:numPr>
          <w:ilvl w:val="0"/>
          <w:numId w:val="6"/>
        </w:numPr>
        <w:spacing w:line="240" w:lineRule="auto"/>
        <w:jc w:val="both"/>
        <w:rPr>
          <w:rFonts w:ascii="Times New Roman" w:hAnsi="Times New Roman"/>
          <w:i w:val="0"/>
          <w:sz w:val="24"/>
        </w:rPr>
      </w:pPr>
      <w:r w:rsidRPr="00E37781">
        <w:rPr>
          <w:rFonts w:ascii="Times New Roman" w:hAnsi="Times New Roman"/>
          <w:i w:val="0"/>
          <w:sz w:val="24"/>
        </w:rPr>
        <w:lastRenderedPageBreak/>
        <w:t>A PANEL OF MATERNAL UNCLES CALLED ‘NDEOKENE.’</w:t>
      </w:r>
    </w:p>
    <w:p w:rsidR="000A53EA" w:rsidRDefault="000A53EA" w:rsidP="000A53EA">
      <w:pPr>
        <w:spacing w:after="0" w:line="360" w:lineRule="auto"/>
        <w:jc w:val="both"/>
        <w:rPr>
          <w:sz w:val="24"/>
          <w:szCs w:val="24"/>
        </w:rPr>
      </w:pPr>
      <w:r>
        <w:rPr>
          <w:sz w:val="24"/>
          <w:szCs w:val="24"/>
        </w:rPr>
        <w:t>Among the Ogba people, a person’s maternal uncles are usually held in high esteem as by custom they “own” the person’s head and such a person cannot be buried without a male from his maternal home giving his consent. So, in issues that concern this ‘head’ which belongs to them they are usually available to intervene but upon invitation. Where the dispute concerns persons who are products of their children they are usually more conciliatory than when it involves a stranger to their family. In their proceedings witnesses may be sworn to the family juju to speak the truth only and decisions given at the end of the process.</w:t>
      </w:r>
    </w:p>
    <w:p w:rsidR="000A53EA" w:rsidRDefault="000A53EA" w:rsidP="000A53EA">
      <w:pPr>
        <w:spacing w:after="0" w:line="360" w:lineRule="auto"/>
        <w:jc w:val="both"/>
        <w:rPr>
          <w:sz w:val="24"/>
          <w:szCs w:val="24"/>
        </w:rPr>
      </w:pPr>
    </w:p>
    <w:p w:rsidR="000A53EA" w:rsidRPr="00E37781" w:rsidRDefault="000A53EA" w:rsidP="000A53EA">
      <w:pPr>
        <w:pStyle w:val="Heading2"/>
        <w:numPr>
          <w:ilvl w:val="0"/>
          <w:numId w:val="6"/>
        </w:numPr>
        <w:spacing w:line="240" w:lineRule="auto"/>
        <w:jc w:val="both"/>
        <w:rPr>
          <w:rFonts w:ascii="Times New Roman" w:hAnsi="Times New Roman"/>
          <w:i w:val="0"/>
          <w:sz w:val="24"/>
        </w:rPr>
      </w:pPr>
      <w:r w:rsidRPr="00E37781">
        <w:rPr>
          <w:rFonts w:ascii="Times New Roman" w:hAnsi="Times New Roman"/>
          <w:i w:val="0"/>
          <w:sz w:val="24"/>
        </w:rPr>
        <w:t>A Married Woman’s Biological Family Members Usually Men.</w:t>
      </w:r>
    </w:p>
    <w:p w:rsidR="000A53EA" w:rsidRDefault="000A53EA" w:rsidP="000A53EA">
      <w:pPr>
        <w:spacing w:after="0" w:line="360" w:lineRule="auto"/>
        <w:jc w:val="both"/>
        <w:rPr>
          <w:sz w:val="24"/>
          <w:szCs w:val="24"/>
        </w:rPr>
      </w:pPr>
      <w:r>
        <w:rPr>
          <w:sz w:val="24"/>
          <w:szCs w:val="24"/>
        </w:rPr>
        <w:t>Under Ogba customary law, a married woman’s biological family may be invited by any interested member of the family including their own daughter to intervene in matrimonial disputes concerning their daughter and her husband as the primary purpose of such interventions is to save the marriage from dissolution. A woman who has also been accused of murder, witchcraft, adultery etcetera can also reach out to her family brothers to intervene on her behalf to establish her innocence. Under Ogba customary law, this type of arbitration ends in oath taking except where their sister’s husband refuses to subject his wife to such a process as oath taking is one major method of proving innocence.</w:t>
      </w:r>
    </w:p>
    <w:p w:rsidR="000A53EA" w:rsidRDefault="000A53EA" w:rsidP="000A53EA">
      <w:pPr>
        <w:spacing w:after="0" w:line="360" w:lineRule="auto"/>
        <w:jc w:val="both"/>
        <w:rPr>
          <w:sz w:val="24"/>
          <w:szCs w:val="24"/>
        </w:rPr>
      </w:pPr>
    </w:p>
    <w:p w:rsidR="000A53EA" w:rsidRPr="00E37781" w:rsidRDefault="000A53EA" w:rsidP="000A53EA">
      <w:pPr>
        <w:pStyle w:val="Heading2"/>
        <w:numPr>
          <w:ilvl w:val="0"/>
          <w:numId w:val="6"/>
        </w:numPr>
        <w:spacing w:line="240" w:lineRule="auto"/>
        <w:jc w:val="both"/>
        <w:rPr>
          <w:rFonts w:ascii="Times New Roman" w:hAnsi="Times New Roman"/>
          <w:i w:val="0"/>
          <w:sz w:val="24"/>
        </w:rPr>
      </w:pPr>
      <w:r w:rsidRPr="00E37781">
        <w:rPr>
          <w:rFonts w:ascii="Times New Roman" w:hAnsi="Times New Roman"/>
          <w:i w:val="0"/>
          <w:sz w:val="24"/>
        </w:rPr>
        <w:t xml:space="preserve">The Age Grade Members </w:t>
      </w:r>
      <w:r>
        <w:rPr>
          <w:rFonts w:ascii="Times New Roman" w:hAnsi="Times New Roman"/>
          <w:i w:val="0"/>
          <w:sz w:val="24"/>
        </w:rPr>
        <w:t>o</w:t>
      </w:r>
      <w:r w:rsidRPr="00E37781">
        <w:rPr>
          <w:rFonts w:ascii="Times New Roman" w:hAnsi="Times New Roman"/>
          <w:i w:val="0"/>
          <w:sz w:val="24"/>
        </w:rPr>
        <w:t>f Disputing Parties</w:t>
      </w:r>
    </w:p>
    <w:p w:rsidR="000A53EA" w:rsidRDefault="000A53EA" w:rsidP="000A53EA">
      <w:pPr>
        <w:spacing w:after="0" w:line="360" w:lineRule="auto"/>
        <w:jc w:val="both"/>
        <w:rPr>
          <w:sz w:val="24"/>
          <w:szCs w:val="24"/>
        </w:rPr>
      </w:pPr>
      <w:r>
        <w:rPr>
          <w:sz w:val="24"/>
          <w:szCs w:val="24"/>
        </w:rPr>
        <w:t>This group of arbitrators are unique in the sense that if the dispute concerns members of their age grades they assume jurisdiction and hear the matter as of right as age mates without the necessity of waiting to be invited by either party to intervene. It is usually sufficient if any other member brings the dispute to the notice of the age grade. The procedures adopted follow the general trend of customary arbitration where parties are allowed to give evidence, call witnesses and decisions are reached.  A significant factor amongst arbitration by age mates is that a party who belongs to the age grade and who refuses to submit self to the jurisdiction of the age grade members nor accept to abide by the decisions reached at the end of the deliberations is suspended from age grade participation and activities in addition to the payment of customary fines such as the killing of a fowl or goat depending on the gravity of the offence. The above punishment is for what to the age grade amounts to contempt of its ‘government and leadership’</w:t>
      </w:r>
    </w:p>
    <w:p w:rsidR="000A53EA" w:rsidRDefault="000A53EA" w:rsidP="000A53EA">
      <w:pPr>
        <w:spacing w:after="0" w:line="360" w:lineRule="auto"/>
        <w:jc w:val="both"/>
        <w:rPr>
          <w:sz w:val="24"/>
          <w:szCs w:val="24"/>
        </w:rPr>
      </w:pPr>
      <w:r>
        <w:rPr>
          <w:sz w:val="24"/>
          <w:szCs w:val="24"/>
        </w:rPr>
        <w:lastRenderedPageBreak/>
        <w:tab/>
      </w:r>
    </w:p>
    <w:p w:rsidR="000A53EA" w:rsidRPr="00F72246" w:rsidRDefault="000A53EA" w:rsidP="000A53EA">
      <w:pPr>
        <w:pStyle w:val="Heading1"/>
        <w:numPr>
          <w:ilvl w:val="0"/>
          <w:numId w:val="5"/>
        </w:numPr>
        <w:spacing w:line="240" w:lineRule="auto"/>
        <w:jc w:val="both"/>
        <w:rPr>
          <w:rFonts w:ascii="Times New Roman" w:hAnsi="Times New Roman"/>
          <w:b/>
          <w:color w:val="auto"/>
          <w:sz w:val="24"/>
        </w:rPr>
      </w:pPr>
      <w:r w:rsidRPr="00F72246">
        <w:rPr>
          <w:rFonts w:ascii="Times New Roman" w:hAnsi="Times New Roman"/>
          <w:b/>
          <w:color w:val="auto"/>
          <w:sz w:val="24"/>
        </w:rPr>
        <w:t>CONCLUSION &amp; RECOMMENDATIONS</w:t>
      </w:r>
    </w:p>
    <w:p w:rsidR="000A53EA" w:rsidRDefault="000A53EA" w:rsidP="000A53EA">
      <w:pPr>
        <w:spacing w:after="0" w:line="360" w:lineRule="auto"/>
        <w:jc w:val="both"/>
        <w:rPr>
          <w:sz w:val="24"/>
          <w:szCs w:val="24"/>
        </w:rPr>
      </w:pPr>
      <w:r>
        <w:rPr>
          <w:sz w:val="24"/>
          <w:szCs w:val="24"/>
        </w:rPr>
        <w:t>Customary arbitration exists among the Ogba people of the Niger Delta. Though unregulated; somewhat subjective and lacking viable means of ensuring objectivity the customary arbitral procedures have over the years assisted them to co-exist peacefully as a people and with their neighbours. Under the Ogba customary arbitration, there is no clear and specific method of ascertaining the parties’ willingness to be bound by the ensuing award or decision. Also subjection to the jurisdiction of the arbitral panel does not necessary mean acquiescence to the results emanating therefrom and since most of the arbitrators are persons who have blood links and have been closely associated for a long time, it is difficult to rule out incidence of personal biases, and collusion to achieve predetermined family interests. And most of the time these arbitral proceedings are oral, ad hoc and not properly co-ordinated to achieve results that can act as estoppels to foreclose future adjudication on the same matters. The efficacy of the Ogba customary arbitration methods has not been pronounced upon by the courts through cases; and therefore some form of judicial activism to improve the jurisprudence in this area is advocated.</w:t>
      </w:r>
    </w:p>
    <w:p w:rsidR="000A53EA" w:rsidRDefault="000A53EA" w:rsidP="000A53EA">
      <w:pPr>
        <w:spacing w:after="0" w:line="360" w:lineRule="auto"/>
        <w:jc w:val="both"/>
        <w:rPr>
          <w:sz w:val="24"/>
          <w:szCs w:val="24"/>
        </w:rPr>
      </w:pPr>
      <w:r>
        <w:rPr>
          <w:sz w:val="24"/>
          <w:szCs w:val="24"/>
        </w:rPr>
        <w:t xml:space="preserve"> This work therefore recommends the following to make the Ogba customary arbitration methods more efficacious, namely:</w:t>
      </w:r>
    </w:p>
    <w:p w:rsidR="000A53EA" w:rsidRDefault="000A53EA" w:rsidP="000A53EA">
      <w:pPr>
        <w:pStyle w:val="ListParagraph"/>
        <w:numPr>
          <w:ilvl w:val="0"/>
          <w:numId w:val="4"/>
        </w:numPr>
        <w:spacing w:after="0" w:line="360" w:lineRule="auto"/>
        <w:ind w:hanging="720"/>
        <w:jc w:val="both"/>
        <w:rPr>
          <w:sz w:val="24"/>
          <w:szCs w:val="24"/>
        </w:rPr>
      </w:pPr>
      <w:r>
        <w:rPr>
          <w:sz w:val="24"/>
          <w:szCs w:val="24"/>
        </w:rPr>
        <w:t>Codification of Ogba customary arbitration laws. The codes which will emanate from this process will become a collection of rules characteristic of the Ogba people on the subject matter. They may not have a binding force like legislations but will act as a guide in customary arbitration to avoid ambiguities and inconsistencies in the deployment of customary arbitration.</w:t>
      </w:r>
    </w:p>
    <w:p w:rsidR="000A53EA" w:rsidRDefault="000A53EA" w:rsidP="000A53EA">
      <w:pPr>
        <w:pStyle w:val="ListParagraph"/>
        <w:numPr>
          <w:ilvl w:val="0"/>
          <w:numId w:val="4"/>
        </w:numPr>
        <w:spacing w:after="0" w:line="360" w:lineRule="auto"/>
        <w:ind w:hanging="720"/>
        <w:jc w:val="both"/>
        <w:rPr>
          <w:sz w:val="24"/>
          <w:szCs w:val="24"/>
        </w:rPr>
      </w:pPr>
      <w:r>
        <w:rPr>
          <w:sz w:val="24"/>
          <w:szCs w:val="24"/>
        </w:rPr>
        <w:t>Standards should be set as to the number and category of witnesses to be called by the parties to encourage the dispute resolution intervention to take place within a reasonable time frame to be more meaningful.</w:t>
      </w:r>
    </w:p>
    <w:p w:rsidR="000A53EA" w:rsidRDefault="000A53EA" w:rsidP="000A53EA">
      <w:pPr>
        <w:pStyle w:val="ListParagraph"/>
        <w:numPr>
          <w:ilvl w:val="0"/>
          <w:numId w:val="4"/>
        </w:numPr>
        <w:spacing w:after="0" w:line="360" w:lineRule="auto"/>
        <w:ind w:hanging="720"/>
        <w:jc w:val="both"/>
        <w:rPr>
          <w:sz w:val="24"/>
          <w:szCs w:val="24"/>
        </w:rPr>
      </w:pPr>
      <w:r>
        <w:rPr>
          <w:sz w:val="24"/>
          <w:szCs w:val="24"/>
        </w:rPr>
        <w:t xml:space="preserve">Some form of documentation of procedure adopted and decisions reached should be encouraged in tandem with the realities of our time to help parties rely on such exercise in possible future adjudication on the same matter. </w:t>
      </w:r>
    </w:p>
    <w:p w:rsidR="000A53EA" w:rsidRDefault="000A53EA" w:rsidP="000A53EA">
      <w:pPr>
        <w:spacing w:after="0" w:line="360" w:lineRule="auto"/>
        <w:jc w:val="both"/>
        <w:rPr>
          <w:b/>
          <w:sz w:val="24"/>
          <w:szCs w:val="24"/>
        </w:rPr>
      </w:pPr>
    </w:p>
    <w:p w:rsidR="000A53EA" w:rsidRPr="00545017" w:rsidRDefault="000A53EA" w:rsidP="000A53EA">
      <w:pPr>
        <w:pStyle w:val="Heading1"/>
        <w:spacing w:line="240" w:lineRule="auto"/>
        <w:jc w:val="both"/>
        <w:rPr>
          <w:rFonts w:ascii="Times New Roman" w:hAnsi="Times New Roman"/>
          <w:b/>
          <w:color w:val="auto"/>
          <w:sz w:val="24"/>
          <w:szCs w:val="24"/>
        </w:rPr>
      </w:pPr>
      <w:r w:rsidRPr="00545017">
        <w:rPr>
          <w:rFonts w:ascii="Times New Roman" w:hAnsi="Times New Roman"/>
          <w:b/>
          <w:color w:val="auto"/>
          <w:sz w:val="24"/>
          <w:szCs w:val="24"/>
        </w:rPr>
        <w:lastRenderedPageBreak/>
        <w:t>REFERENCES</w:t>
      </w:r>
    </w:p>
    <w:p w:rsidR="000A53EA" w:rsidRDefault="000A53EA" w:rsidP="000A53EA">
      <w:pPr>
        <w:pStyle w:val="Bibliography"/>
        <w:ind w:left="720" w:hanging="720"/>
        <w:rPr>
          <w:noProof/>
          <w:sz w:val="24"/>
          <w:szCs w:val="24"/>
        </w:rPr>
      </w:pPr>
      <w:r>
        <w:rPr>
          <w:noProof/>
        </w:rPr>
        <w:t xml:space="preserve">Adepoju, A. (1997). </w:t>
      </w:r>
      <w:r>
        <w:rPr>
          <w:i/>
          <w:iCs/>
          <w:noProof/>
        </w:rPr>
        <w:t>Family Population and Development in Africa.</w:t>
      </w:r>
      <w:r>
        <w:rPr>
          <w:noProof/>
        </w:rPr>
        <w:t xml:space="preserve"> (D. S. Africa, Ed.) London: Zed Books Ltd.</w:t>
      </w:r>
    </w:p>
    <w:p w:rsidR="000A53EA" w:rsidRDefault="000A53EA" w:rsidP="000A53EA">
      <w:pPr>
        <w:pStyle w:val="Bibliography"/>
        <w:ind w:left="720" w:hanging="720"/>
        <w:rPr>
          <w:noProof/>
        </w:rPr>
      </w:pPr>
      <w:r>
        <w:rPr>
          <w:noProof/>
        </w:rPr>
        <w:t xml:space="preserve">Aguda, T. A. (1989). </w:t>
      </w:r>
      <w:r>
        <w:rPr>
          <w:i/>
          <w:iCs/>
          <w:noProof/>
        </w:rPr>
        <w:t>Human Rights and the Right to Development in Africa.</w:t>
      </w:r>
      <w:r>
        <w:rPr>
          <w:noProof/>
        </w:rPr>
        <w:t xml:space="preserve"> Lagos: Institute of International Affairs. .</w:t>
      </w:r>
    </w:p>
    <w:p w:rsidR="000A53EA" w:rsidRDefault="000A53EA" w:rsidP="000A53EA">
      <w:pPr>
        <w:pStyle w:val="Bibliography"/>
        <w:ind w:left="720" w:hanging="720"/>
        <w:rPr>
          <w:noProof/>
        </w:rPr>
      </w:pPr>
      <w:r>
        <w:rPr>
          <w:noProof/>
        </w:rPr>
        <w:t xml:space="preserve">Ajakarotu, V. (2009). </w:t>
      </w:r>
      <w:r>
        <w:rPr>
          <w:i/>
          <w:iCs/>
          <w:noProof/>
        </w:rPr>
        <w:t>Contending Issues in the Niger Delta Crisis of Nigeria.</w:t>
      </w:r>
      <w:r>
        <w:rPr>
          <w:noProof/>
        </w:rPr>
        <w:t xml:space="preserve"> Bangkok: Africa JAPSS </w:t>
      </w:r>
      <w:bookmarkStart w:id="0" w:name="_GoBack"/>
      <w:bookmarkEnd w:id="0"/>
      <w:r>
        <w:rPr>
          <w:noProof/>
        </w:rPr>
        <w:t>Press Inc. .</w:t>
      </w:r>
    </w:p>
    <w:p w:rsidR="000A53EA" w:rsidRDefault="000A53EA" w:rsidP="000A53EA">
      <w:pPr>
        <w:pStyle w:val="Bibliography"/>
        <w:ind w:left="720" w:hanging="720"/>
        <w:rPr>
          <w:noProof/>
        </w:rPr>
      </w:pPr>
      <w:r>
        <w:rPr>
          <w:noProof/>
        </w:rPr>
        <w:t xml:space="preserve">Akolokwu, G. O. (2015). </w:t>
      </w:r>
      <w:r>
        <w:rPr>
          <w:i/>
          <w:iCs/>
          <w:noProof/>
        </w:rPr>
        <w:t>Customary law Practices in Nigeria: The Case of the Niger Delta.</w:t>
      </w:r>
      <w:r>
        <w:rPr>
          <w:noProof/>
        </w:rPr>
        <w:t xml:space="preserve"> Germany: Lambert Academic Publishing.</w:t>
      </w:r>
    </w:p>
    <w:p w:rsidR="000A53EA" w:rsidRDefault="000A53EA" w:rsidP="000A53EA">
      <w:pPr>
        <w:pStyle w:val="Bibliography"/>
        <w:ind w:left="720" w:hanging="720"/>
        <w:rPr>
          <w:noProof/>
        </w:rPr>
      </w:pPr>
      <w:r>
        <w:rPr>
          <w:noProof/>
        </w:rPr>
        <w:t xml:space="preserve">Alagoa, E. A. (2002). </w:t>
      </w:r>
      <w:r>
        <w:rPr>
          <w:i/>
          <w:iCs/>
          <w:noProof/>
        </w:rPr>
        <w:t>The Land and People of Rivers State: Eastern Niger Delta.</w:t>
      </w:r>
      <w:r>
        <w:rPr>
          <w:noProof/>
        </w:rPr>
        <w:t xml:space="preserve"> Port Harcourt: Onyoma Research Publications.</w:t>
      </w:r>
    </w:p>
    <w:p w:rsidR="000A53EA" w:rsidRDefault="000A53EA" w:rsidP="000A53EA">
      <w:pPr>
        <w:pStyle w:val="Bibliography"/>
        <w:ind w:left="720" w:hanging="720"/>
        <w:rPr>
          <w:noProof/>
        </w:rPr>
      </w:pPr>
      <w:r>
        <w:rPr>
          <w:noProof/>
        </w:rPr>
        <w:t xml:space="preserve">Anyebe, A. P. (1985). </w:t>
      </w:r>
      <w:r>
        <w:rPr>
          <w:i/>
          <w:iCs/>
          <w:noProof/>
        </w:rPr>
        <w:t>Customary Law: The war without Arms.</w:t>
      </w:r>
      <w:r>
        <w:rPr>
          <w:noProof/>
        </w:rPr>
        <w:t xml:space="preserve"> Germany: Fourth Dimension Publishing Ltd.</w:t>
      </w:r>
    </w:p>
    <w:p w:rsidR="000A53EA" w:rsidRDefault="000A53EA" w:rsidP="000A53EA">
      <w:pPr>
        <w:pStyle w:val="Bibliography"/>
        <w:ind w:left="720" w:hanging="720"/>
        <w:rPr>
          <w:noProof/>
        </w:rPr>
      </w:pPr>
      <w:r>
        <w:rPr>
          <w:noProof/>
        </w:rPr>
        <w:t xml:space="preserve">Azinge, E. &amp;. (2012). </w:t>
      </w:r>
      <w:r>
        <w:rPr>
          <w:i/>
          <w:iCs/>
          <w:noProof/>
        </w:rPr>
        <w:t>Legal Pluralism in Africa: A Compendium of African Customary Law.</w:t>
      </w:r>
      <w:r>
        <w:rPr>
          <w:noProof/>
        </w:rPr>
        <w:t xml:space="preserve"> Lagos: Nigerian Institute of Advanced Legal Studies.</w:t>
      </w:r>
    </w:p>
    <w:p w:rsidR="000A53EA" w:rsidRDefault="000A53EA" w:rsidP="000A53EA">
      <w:pPr>
        <w:pStyle w:val="Bibliography"/>
        <w:ind w:left="720" w:hanging="720"/>
        <w:rPr>
          <w:noProof/>
        </w:rPr>
      </w:pPr>
      <w:r>
        <w:rPr>
          <w:noProof/>
        </w:rPr>
        <w:t xml:space="preserve">Ebeku, K. (2006). </w:t>
      </w:r>
      <w:r>
        <w:rPr>
          <w:i/>
          <w:iCs/>
          <w:noProof/>
        </w:rPr>
        <w:t>Oil and The Niger Delta People in International Law.</w:t>
      </w:r>
      <w:r>
        <w:rPr>
          <w:noProof/>
        </w:rPr>
        <w:t xml:space="preserve"> Germany: Rudiger Koppe Verlag.</w:t>
      </w:r>
    </w:p>
    <w:p w:rsidR="000A53EA" w:rsidRDefault="000A53EA" w:rsidP="000A53EA">
      <w:pPr>
        <w:pStyle w:val="Bibliography"/>
        <w:ind w:left="720" w:hanging="720"/>
        <w:rPr>
          <w:noProof/>
        </w:rPr>
      </w:pPr>
      <w:r>
        <w:rPr>
          <w:noProof/>
        </w:rPr>
        <w:t xml:space="preserve">Elias, T. O. (1956). </w:t>
      </w:r>
      <w:r>
        <w:rPr>
          <w:i/>
          <w:iCs/>
          <w:noProof/>
        </w:rPr>
        <w:t>The Nature of African Customary Law.</w:t>
      </w:r>
      <w:r>
        <w:rPr>
          <w:noProof/>
        </w:rPr>
        <w:t xml:space="preserve"> Manchester: Manchester University Press.</w:t>
      </w:r>
    </w:p>
    <w:p w:rsidR="000A53EA" w:rsidRDefault="000A53EA" w:rsidP="000A53EA">
      <w:pPr>
        <w:pStyle w:val="Bibliography"/>
        <w:ind w:left="720" w:hanging="720"/>
        <w:rPr>
          <w:noProof/>
        </w:rPr>
      </w:pPr>
      <w:r>
        <w:rPr>
          <w:noProof/>
        </w:rPr>
        <w:t xml:space="preserve">Ngwakwe, E. C. (2013). </w:t>
      </w:r>
      <w:r>
        <w:rPr>
          <w:i/>
          <w:iCs/>
          <w:noProof/>
        </w:rPr>
        <w:t>African Customary Law: Jurisprudence, Themes and Principles.</w:t>
      </w:r>
      <w:r>
        <w:rPr>
          <w:noProof/>
        </w:rPr>
        <w:t xml:space="preserve"> Ebonyi State, Nigeria: Ave Maria Academic Publishers.</w:t>
      </w:r>
    </w:p>
    <w:p w:rsidR="000A53EA" w:rsidRDefault="000A53EA" w:rsidP="000A53EA">
      <w:pPr>
        <w:pStyle w:val="Bibliography"/>
        <w:ind w:left="720" w:hanging="720"/>
        <w:rPr>
          <w:noProof/>
        </w:rPr>
      </w:pPr>
      <w:r>
        <w:rPr>
          <w:noProof/>
        </w:rPr>
        <w:t xml:space="preserve">Opuogulaya, E. D. (1975). </w:t>
      </w:r>
      <w:r>
        <w:rPr>
          <w:i/>
          <w:iCs/>
          <w:noProof/>
        </w:rPr>
        <w:t>The Cultural Heritage of the Wakirike.</w:t>
      </w:r>
      <w:r>
        <w:rPr>
          <w:noProof/>
        </w:rPr>
        <w:t xml:space="preserve"> Port Harcourt: Press Printers Ltd.</w:t>
      </w:r>
    </w:p>
    <w:p w:rsidR="005F6CC0" w:rsidRDefault="005F6CC0"/>
    <w:sectPr w:rsidR="005F6C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DA2" w:rsidRDefault="002E1DA2" w:rsidP="000A53EA">
      <w:pPr>
        <w:spacing w:after="0" w:line="240" w:lineRule="auto"/>
      </w:pPr>
      <w:r>
        <w:separator/>
      </w:r>
    </w:p>
  </w:endnote>
  <w:endnote w:type="continuationSeparator" w:id="0">
    <w:p w:rsidR="002E1DA2" w:rsidRDefault="002E1DA2" w:rsidP="000A5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DA2" w:rsidRDefault="002E1DA2" w:rsidP="000A53EA">
      <w:pPr>
        <w:spacing w:after="0" w:line="240" w:lineRule="auto"/>
      </w:pPr>
      <w:r>
        <w:separator/>
      </w:r>
    </w:p>
  </w:footnote>
  <w:footnote w:type="continuationSeparator" w:id="0">
    <w:p w:rsidR="002E1DA2" w:rsidRDefault="002E1DA2" w:rsidP="000A53EA">
      <w:pPr>
        <w:spacing w:after="0" w:line="240" w:lineRule="auto"/>
      </w:pPr>
      <w:r>
        <w:continuationSeparator/>
      </w:r>
    </w:p>
  </w:footnote>
  <w:footnote w:id="1">
    <w:p w:rsidR="000A53EA" w:rsidRDefault="000A53EA" w:rsidP="000A53EA">
      <w:pPr>
        <w:pStyle w:val="FootnoteText"/>
        <w:rPr>
          <w:lang w:val="en-GB"/>
        </w:rPr>
      </w:pPr>
      <w:r>
        <w:rPr>
          <w:rStyle w:val="FootnoteReference"/>
        </w:rPr>
        <w:footnoteRef/>
      </w:r>
      <w:r>
        <w:t xml:space="preserve"> </w:t>
      </w:r>
      <w:r>
        <w:rPr>
          <w:lang w:val="en-GB"/>
        </w:rPr>
        <w:t>(2006) 2 NWLR, (Part 964), 255</w:t>
      </w:r>
    </w:p>
  </w:footnote>
  <w:footnote w:id="2">
    <w:p w:rsidR="000A53EA" w:rsidRDefault="000A53EA" w:rsidP="000A53EA">
      <w:pPr>
        <w:pStyle w:val="FootnoteText"/>
      </w:pPr>
      <w:r>
        <w:rPr>
          <w:rStyle w:val="FootnoteReference"/>
        </w:rPr>
        <w:footnoteRef/>
      </w:r>
      <w:r>
        <w:t xml:space="preserve"> Garner B A; </w:t>
      </w:r>
      <w:r>
        <w:rPr>
          <w:i/>
        </w:rPr>
        <w:t xml:space="preserve">Black’s Law Dictionary </w:t>
      </w:r>
      <w:r>
        <w:t>, 7</w:t>
      </w:r>
      <w:r>
        <w:rPr>
          <w:vertAlign w:val="superscript"/>
        </w:rPr>
        <w:t>th</w:t>
      </w:r>
      <w:r>
        <w:t xml:space="preserve"> edition( United States of America: St Paul’s Minn, West Group, 1999)p.100.</w:t>
      </w:r>
    </w:p>
  </w:footnote>
  <w:footnote w:id="3">
    <w:p w:rsidR="000A53EA" w:rsidRDefault="000A53EA" w:rsidP="000A53EA">
      <w:pPr>
        <w:pStyle w:val="FootnoteText"/>
      </w:pPr>
      <w:r>
        <w:rPr>
          <w:rStyle w:val="FootnoteReference"/>
        </w:rPr>
        <w:footnoteRef/>
      </w:r>
      <w:r>
        <w:t xml:space="preserve"> (2003) FWLR, Part 158, page 1248</w:t>
      </w:r>
    </w:p>
  </w:footnote>
  <w:footnote w:id="4">
    <w:p w:rsidR="000A53EA" w:rsidRDefault="000A53EA" w:rsidP="000A53EA">
      <w:pPr>
        <w:pStyle w:val="FootnoteText"/>
      </w:pPr>
      <w:r>
        <w:rPr>
          <w:rStyle w:val="FootnoteReference"/>
        </w:rPr>
        <w:footnoteRef/>
      </w:r>
      <w:r>
        <w:t xml:space="preserve"> (2003) FWLR, Part 157, page1017</w:t>
      </w:r>
    </w:p>
  </w:footnote>
  <w:footnote w:id="5">
    <w:p w:rsidR="000A53EA" w:rsidRDefault="000A53EA" w:rsidP="000A53EA">
      <w:pPr>
        <w:pStyle w:val="FootnoteText"/>
      </w:pPr>
      <w:r>
        <w:rPr>
          <w:rStyle w:val="FootnoteReference"/>
        </w:rPr>
        <w:footnoteRef/>
      </w:r>
      <w:r>
        <w:t xml:space="preserve"> (2003) FWLR, Part 150, page 1688</w:t>
      </w:r>
    </w:p>
  </w:footnote>
  <w:footnote w:id="6">
    <w:p w:rsidR="000A53EA" w:rsidRDefault="000A53EA" w:rsidP="000A53EA">
      <w:pPr>
        <w:spacing w:after="0"/>
        <w:rPr>
          <w:lang w:val="en-GB"/>
        </w:rPr>
      </w:pPr>
      <w:r>
        <w:rPr>
          <w:rStyle w:val="FootnoteReference"/>
          <w:sz w:val="20"/>
          <w:szCs w:val="20"/>
        </w:rPr>
        <w:footnoteRef/>
      </w:r>
      <w:r>
        <w:rPr>
          <w:sz w:val="20"/>
          <w:szCs w:val="20"/>
        </w:rPr>
        <w:t xml:space="preserve"> Alagoa E A &amp; Derefaka A A (eds)</w:t>
      </w:r>
      <w:r>
        <w:rPr>
          <w:sz w:val="20"/>
          <w:szCs w:val="20"/>
          <w:lang w:val="en-GB"/>
        </w:rPr>
        <w:t xml:space="preserve">; </w:t>
      </w:r>
      <w:r>
        <w:rPr>
          <w:sz w:val="20"/>
          <w:szCs w:val="20"/>
        </w:rPr>
        <w:t xml:space="preserve"> </w:t>
      </w:r>
      <w:r>
        <w:rPr>
          <w:i/>
          <w:sz w:val="20"/>
          <w:szCs w:val="20"/>
        </w:rPr>
        <w:t xml:space="preserve">The Land And People Of Rivers State: Eastern Niger Delta </w:t>
      </w:r>
      <w:r>
        <w:rPr>
          <w:sz w:val="20"/>
          <w:szCs w:val="20"/>
        </w:rPr>
        <w:t>( Port Harcourt, Onyoma Research Publications,  202) pages 149-173</w:t>
      </w:r>
    </w:p>
  </w:footnote>
  <w:footnote w:id="7">
    <w:p w:rsidR="000A53EA" w:rsidRDefault="000A53EA" w:rsidP="000A53EA">
      <w:pPr>
        <w:pStyle w:val="FootnoteText"/>
      </w:pPr>
      <w:r>
        <w:rPr>
          <w:rStyle w:val="FootnoteReference"/>
        </w:rPr>
        <w:footnoteRef/>
      </w:r>
      <w:r>
        <w:t xml:space="preserve"> </w:t>
      </w:r>
      <w:r>
        <w:rPr>
          <w:i/>
        </w:rPr>
        <w:t>Mashuwareng v Abdu</w:t>
      </w:r>
      <w:r>
        <w:t xml:space="preserve"> (2003) 11 NWLR Part 831, page 409 </w:t>
      </w:r>
    </w:p>
  </w:footnote>
  <w:footnote w:id="8">
    <w:p w:rsidR="000A53EA" w:rsidRDefault="000A53EA" w:rsidP="000A53EA">
      <w:pPr>
        <w:pStyle w:val="FootnoteText"/>
      </w:pPr>
      <w:r>
        <w:rPr>
          <w:rStyle w:val="FootnoteReference"/>
        </w:rPr>
        <w:footnoteRef/>
      </w:r>
      <w:r>
        <w:t xml:space="preserve"> S.81 Customary Courts Law; Laws of Rivers State of Nigeria, vol.2, cap 40, 1999 whilst S.2 of the Customary Courts Law of Former Eastern Nigeria defines customary law as “a rule or body of rules regulating rights and imposing correlative duties being a rule or body of rules which obtain and is fortified by established usage and which is appropriate and applicable to any particular matter, dispute, issue or question.</w:t>
      </w:r>
    </w:p>
  </w:footnote>
  <w:footnote w:id="9">
    <w:p w:rsidR="000A53EA" w:rsidRDefault="000A53EA" w:rsidP="000A53EA">
      <w:pPr>
        <w:pStyle w:val="FootnoteText"/>
        <w:rPr>
          <w:lang w:val="en-GB"/>
        </w:rPr>
      </w:pPr>
      <w:r>
        <w:rPr>
          <w:rStyle w:val="FootnoteReference"/>
        </w:rPr>
        <w:footnoteRef/>
      </w:r>
      <w:r>
        <w:t xml:space="preserve"> </w:t>
      </w:r>
      <w:r>
        <w:rPr>
          <w:lang w:val="en-GB"/>
        </w:rPr>
        <w:t>See the High Court Laws of Rivers State, Vol. 3, Cap 62, 1999 which enjoins the courts “to observe and enforce the observance of every local custom and shall not deprive any person of the benefit thereof except when any such custom is repugnant to natural justice, equity and good conscience or incompatible either directly or by its implication with any law for the time being in force.”</w:t>
      </w:r>
    </w:p>
  </w:footnote>
  <w:footnote w:id="10">
    <w:p w:rsidR="000A53EA" w:rsidRDefault="000A53EA" w:rsidP="000A53EA">
      <w:pPr>
        <w:pStyle w:val="FootnoteText"/>
      </w:pPr>
      <w:r>
        <w:rPr>
          <w:rStyle w:val="FootnoteReference"/>
        </w:rPr>
        <w:footnoteRef/>
      </w:r>
      <w:r>
        <w:t xml:space="preserve"> (2003)FWLR, Part 154, page 588</w:t>
      </w:r>
    </w:p>
  </w:footnote>
  <w:footnote w:id="11">
    <w:p w:rsidR="000A53EA" w:rsidRDefault="000A53EA" w:rsidP="000A53EA">
      <w:pPr>
        <w:pStyle w:val="FootnoteText"/>
      </w:pPr>
      <w:r>
        <w:rPr>
          <w:rStyle w:val="FootnoteReference"/>
        </w:rPr>
        <w:footnoteRef/>
      </w:r>
      <w:r>
        <w:t xml:space="preserve"> (1991)5 NWLR, Part 191, page 602</w:t>
      </w:r>
    </w:p>
  </w:footnote>
  <w:footnote w:id="12">
    <w:p w:rsidR="000A53EA" w:rsidRDefault="000A53EA" w:rsidP="000A53EA">
      <w:pPr>
        <w:pStyle w:val="FootnoteText"/>
      </w:pPr>
      <w:r>
        <w:rPr>
          <w:rStyle w:val="FootnoteReference"/>
        </w:rPr>
        <w:footnoteRef/>
      </w:r>
      <w:r>
        <w:t xml:space="preserve"> (2002) FWLR, Part 128, page 1400</w:t>
      </w:r>
    </w:p>
  </w:footnote>
  <w:footnote w:id="13">
    <w:p w:rsidR="000A53EA" w:rsidRDefault="000A53EA" w:rsidP="000A53EA">
      <w:pPr>
        <w:pStyle w:val="FootnoteText"/>
      </w:pPr>
      <w:r>
        <w:rPr>
          <w:rStyle w:val="FootnoteReference"/>
          <w:i/>
        </w:rPr>
        <w:footnoteRef/>
      </w:r>
      <w:r>
        <w:rPr>
          <w:i/>
        </w:rPr>
        <w:t xml:space="preserve"> op.cit</w:t>
      </w:r>
      <w:r>
        <w:t xml:space="preserve"> 2</w:t>
      </w:r>
    </w:p>
  </w:footnote>
  <w:footnote w:id="14">
    <w:p w:rsidR="000A53EA" w:rsidRDefault="000A53EA" w:rsidP="000A53EA">
      <w:pPr>
        <w:pStyle w:val="FootnoteText"/>
      </w:pPr>
      <w:r>
        <w:rPr>
          <w:rStyle w:val="FootnoteReference"/>
        </w:rPr>
        <w:footnoteRef/>
      </w:r>
      <w:r>
        <w:t xml:space="preserve"> </w:t>
      </w:r>
      <w:r>
        <w:rPr>
          <w:i/>
        </w:rPr>
        <w:t>Nwankpa v Nwogu</w:t>
      </w:r>
      <w:r>
        <w:t>(2006)2NWLR, Part 964, page255</w:t>
      </w:r>
    </w:p>
  </w:footnote>
  <w:footnote w:id="15">
    <w:p w:rsidR="000A53EA" w:rsidRDefault="000A53EA" w:rsidP="000A53EA">
      <w:pPr>
        <w:pStyle w:val="FootnoteText"/>
        <w:rPr>
          <w:lang w:val="en-GB"/>
        </w:rPr>
      </w:pPr>
      <w:r>
        <w:rPr>
          <w:rStyle w:val="FootnoteReference"/>
          <w:i/>
        </w:rPr>
        <w:footnoteRef/>
      </w:r>
      <w:r>
        <w:rPr>
          <w:i/>
        </w:rPr>
        <w:t xml:space="preserve"> </w:t>
      </w:r>
      <w:r>
        <w:rPr>
          <w:i/>
          <w:lang w:val="en-GB"/>
        </w:rPr>
        <w:t>Supra</w:t>
      </w:r>
      <w:r>
        <w:rPr>
          <w:lang w:val="en-GB"/>
        </w:rPr>
        <w:t>.</w:t>
      </w:r>
    </w:p>
  </w:footnote>
  <w:footnote w:id="16">
    <w:p w:rsidR="000A53EA" w:rsidRDefault="000A53EA" w:rsidP="000A53EA">
      <w:pPr>
        <w:pStyle w:val="FootnoteText"/>
        <w:rPr>
          <w:lang w:val="en-GB"/>
        </w:rPr>
      </w:pPr>
      <w:r>
        <w:rPr>
          <w:rStyle w:val="FootnoteReference"/>
        </w:rPr>
        <w:footnoteRef/>
      </w:r>
      <w:r>
        <w:t xml:space="preserve"> </w:t>
      </w:r>
      <w:r>
        <w:rPr>
          <w:lang w:val="en-GB"/>
        </w:rPr>
        <w:t xml:space="preserve">Oral interview of Chief Meshack Nwoloko of Ede Community in the Ogba/ Egbema/Ndoni local Government Area of Rivers State on October 6, 2016. </w:t>
      </w:r>
    </w:p>
  </w:footnote>
  <w:footnote w:id="17">
    <w:p w:rsidR="000A53EA" w:rsidRDefault="000A53EA" w:rsidP="000A53EA">
      <w:pPr>
        <w:pStyle w:val="FootnoteText"/>
        <w:rPr>
          <w:lang w:val="en-GB"/>
        </w:rPr>
      </w:pPr>
      <w:r>
        <w:rPr>
          <w:rStyle w:val="FootnoteReference"/>
        </w:rPr>
        <w:footnoteRef/>
      </w:r>
      <w:r>
        <w:t xml:space="preserve"> </w:t>
      </w:r>
      <w:r>
        <w:rPr>
          <w:lang w:val="en-GB"/>
        </w:rPr>
        <w:t>Based on the oral interview of Prince Onwudiwe Abi on the custom of Ogba people on dispute settlements on April 15, 2017.</w:t>
      </w:r>
    </w:p>
  </w:footnote>
  <w:footnote w:id="18">
    <w:p w:rsidR="000A53EA" w:rsidRDefault="000A53EA" w:rsidP="000A53EA">
      <w:pPr>
        <w:pStyle w:val="FootnoteText"/>
        <w:rPr>
          <w:lang w:val="en-GB"/>
        </w:rPr>
      </w:pPr>
      <w:r>
        <w:rPr>
          <w:rStyle w:val="FootnoteReference"/>
        </w:rPr>
        <w:footnoteRef/>
      </w:r>
      <w:r>
        <w:t xml:space="preserve"> </w:t>
      </w:r>
      <w:r>
        <w:rPr>
          <w:lang w:val="en-GB"/>
        </w:rPr>
        <w:t>(2003)FWLR, Part 150,p.1688.</w:t>
      </w:r>
    </w:p>
  </w:footnote>
  <w:footnote w:id="19">
    <w:p w:rsidR="000A53EA" w:rsidRDefault="000A53EA" w:rsidP="000A53EA">
      <w:pPr>
        <w:pStyle w:val="FootnoteText"/>
        <w:rPr>
          <w:lang w:val="en-GB"/>
        </w:rPr>
      </w:pPr>
      <w:r>
        <w:rPr>
          <w:rStyle w:val="FootnoteReference"/>
        </w:rPr>
        <w:footnoteRef/>
      </w:r>
      <w:r>
        <w:t xml:space="preserve"> </w:t>
      </w:r>
      <w:r>
        <w:rPr>
          <w:lang w:val="en-GB"/>
        </w:rPr>
        <w:t>(2005)7 NWLR, Part 924, p. 370.</w:t>
      </w:r>
    </w:p>
  </w:footnote>
  <w:footnote w:id="20">
    <w:p w:rsidR="000A53EA" w:rsidRDefault="000A53EA" w:rsidP="000A53EA">
      <w:pPr>
        <w:pStyle w:val="FootnoteText"/>
        <w:rPr>
          <w:lang w:val="en-GB"/>
        </w:rPr>
      </w:pPr>
      <w:r>
        <w:rPr>
          <w:rStyle w:val="FootnoteReference"/>
        </w:rPr>
        <w:footnoteRef/>
      </w:r>
      <w:r>
        <w:t xml:space="preserve"> (2006) 17 NWLR, Part 1007, p. 74.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11CAD7FE"/>
    <w:lvl w:ilvl="0" w:tplc="949A5324">
      <w:start w:val="1"/>
      <w:numFmt w:val="lowerRoman"/>
      <w:lvlText w:val="%1."/>
      <w:lvlJc w:val="left"/>
      <w:pPr>
        <w:ind w:left="720" w:hanging="72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00000004"/>
    <w:multiLevelType w:val="hybridMultilevel"/>
    <w:tmpl w:val="CAF25D36"/>
    <w:lvl w:ilvl="0" w:tplc="54D02EE8">
      <w:start w:val="1"/>
      <w:numFmt w:val="lowerRoman"/>
      <w:lvlText w:val="(%1)"/>
      <w:lvlJc w:val="left"/>
      <w:pPr>
        <w:ind w:left="780" w:hanging="720"/>
      </w:pPr>
      <w:rPr>
        <w:rFonts w:hint="default"/>
      </w:rPr>
    </w:lvl>
    <w:lvl w:ilvl="1" w:tplc="04090019">
      <w:start w:val="1"/>
      <w:numFmt w:val="lowerLetter"/>
      <w:lvlRestart w:val="0"/>
      <w:lvlText w:val="%2."/>
      <w:lvlJc w:val="left"/>
      <w:pPr>
        <w:ind w:left="1140" w:hanging="360"/>
      </w:pPr>
    </w:lvl>
    <w:lvl w:ilvl="2" w:tplc="0409001B">
      <w:start w:val="1"/>
      <w:numFmt w:val="lowerRoman"/>
      <w:lvlRestart w:val="0"/>
      <w:lvlText w:val="%3."/>
      <w:lvlJc w:val="right"/>
      <w:pPr>
        <w:ind w:left="1860" w:hanging="180"/>
      </w:pPr>
    </w:lvl>
    <w:lvl w:ilvl="3" w:tplc="0409000F">
      <w:start w:val="1"/>
      <w:numFmt w:val="decimal"/>
      <w:lvlRestart w:val="0"/>
      <w:lvlText w:val="%4."/>
      <w:lvlJc w:val="left"/>
      <w:pPr>
        <w:ind w:left="2580" w:hanging="360"/>
      </w:pPr>
    </w:lvl>
    <w:lvl w:ilvl="4" w:tplc="04090019">
      <w:start w:val="1"/>
      <w:numFmt w:val="lowerLetter"/>
      <w:lvlRestart w:val="0"/>
      <w:lvlText w:val="%5."/>
      <w:lvlJc w:val="left"/>
      <w:pPr>
        <w:ind w:left="3300" w:hanging="360"/>
      </w:pPr>
    </w:lvl>
    <w:lvl w:ilvl="5" w:tplc="0409001B">
      <w:start w:val="1"/>
      <w:numFmt w:val="lowerRoman"/>
      <w:lvlRestart w:val="0"/>
      <w:lvlText w:val="%6."/>
      <w:lvlJc w:val="right"/>
      <w:pPr>
        <w:ind w:left="4020" w:hanging="180"/>
      </w:pPr>
    </w:lvl>
    <w:lvl w:ilvl="6" w:tplc="0409000F">
      <w:start w:val="1"/>
      <w:numFmt w:val="decimal"/>
      <w:lvlRestart w:val="0"/>
      <w:lvlText w:val="%7."/>
      <w:lvlJc w:val="left"/>
      <w:pPr>
        <w:ind w:left="4740" w:hanging="360"/>
      </w:pPr>
    </w:lvl>
    <w:lvl w:ilvl="7" w:tplc="04090019">
      <w:start w:val="1"/>
      <w:numFmt w:val="lowerLetter"/>
      <w:lvlRestart w:val="0"/>
      <w:lvlText w:val="%8."/>
      <w:lvlJc w:val="left"/>
      <w:pPr>
        <w:ind w:left="5460" w:hanging="360"/>
      </w:pPr>
    </w:lvl>
    <w:lvl w:ilvl="8" w:tplc="0409001B">
      <w:start w:val="1"/>
      <w:numFmt w:val="lowerRoman"/>
      <w:lvlRestart w:val="0"/>
      <w:lvlText w:val="%9."/>
      <w:lvlJc w:val="right"/>
      <w:pPr>
        <w:ind w:left="6180" w:hanging="180"/>
      </w:pPr>
    </w:lvl>
  </w:abstractNum>
  <w:abstractNum w:abstractNumId="2">
    <w:nsid w:val="00000007"/>
    <w:multiLevelType w:val="hybridMultilevel"/>
    <w:tmpl w:val="F1165F26"/>
    <w:lvl w:ilvl="0" w:tplc="B680DE26">
      <w:start w:val="1"/>
      <w:numFmt w:val="lowerRoman"/>
      <w:lvlText w:val="%1."/>
      <w:lvlJc w:val="left"/>
      <w:pPr>
        <w:ind w:left="720" w:hanging="720"/>
      </w:pPr>
      <w:rPr>
        <w:rFonts w:hint="default"/>
      </w:rPr>
    </w:lvl>
    <w:lvl w:ilvl="1" w:tplc="08090019">
      <w:start w:val="1"/>
      <w:numFmt w:val="lowerLetter"/>
      <w:lvlRestart w:val="0"/>
      <w:lvlText w:val="%2."/>
      <w:lvlJc w:val="left"/>
      <w:pPr>
        <w:ind w:left="1440" w:hanging="360"/>
      </w:pPr>
    </w:lvl>
    <w:lvl w:ilvl="2" w:tplc="0809001B">
      <w:start w:val="1"/>
      <w:numFmt w:val="lowerRoman"/>
      <w:lvlRestart w:val="0"/>
      <w:lvlText w:val="%3."/>
      <w:lvlJc w:val="right"/>
      <w:pPr>
        <w:ind w:left="2160" w:hanging="180"/>
      </w:pPr>
    </w:lvl>
    <w:lvl w:ilvl="3" w:tplc="0809000F">
      <w:start w:val="1"/>
      <w:numFmt w:val="decimal"/>
      <w:lvlRestart w:val="0"/>
      <w:lvlText w:val="%4."/>
      <w:lvlJc w:val="left"/>
      <w:pPr>
        <w:ind w:left="2880" w:hanging="360"/>
      </w:pPr>
    </w:lvl>
    <w:lvl w:ilvl="4" w:tplc="08090019">
      <w:start w:val="1"/>
      <w:numFmt w:val="lowerLetter"/>
      <w:lvlRestart w:val="0"/>
      <w:lvlText w:val="%5."/>
      <w:lvlJc w:val="left"/>
      <w:pPr>
        <w:ind w:left="3600" w:hanging="360"/>
      </w:pPr>
    </w:lvl>
    <w:lvl w:ilvl="5" w:tplc="0809001B">
      <w:start w:val="1"/>
      <w:numFmt w:val="lowerRoman"/>
      <w:lvlRestart w:val="0"/>
      <w:lvlText w:val="%6."/>
      <w:lvlJc w:val="right"/>
      <w:pPr>
        <w:ind w:left="4320" w:hanging="180"/>
      </w:pPr>
    </w:lvl>
    <w:lvl w:ilvl="6" w:tplc="0809000F">
      <w:start w:val="1"/>
      <w:numFmt w:val="decimal"/>
      <w:lvlRestart w:val="0"/>
      <w:lvlText w:val="%7."/>
      <w:lvlJc w:val="left"/>
      <w:pPr>
        <w:ind w:left="5040" w:hanging="360"/>
      </w:pPr>
    </w:lvl>
    <w:lvl w:ilvl="7" w:tplc="08090019">
      <w:start w:val="1"/>
      <w:numFmt w:val="lowerLetter"/>
      <w:lvlRestart w:val="0"/>
      <w:lvlText w:val="%8."/>
      <w:lvlJc w:val="left"/>
      <w:pPr>
        <w:ind w:left="5760" w:hanging="360"/>
      </w:pPr>
    </w:lvl>
    <w:lvl w:ilvl="8" w:tplc="0809001B">
      <w:start w:val="1"/>
      <w:numFmt w:val="lowerRoman"/>
      <w:lvlRestart w:val="0"/>
      <w:lvlText w:val="%9."/>
      <w:lvlJc w:val="right"/>
      <w:pPr>
        <w:ind w:left="6480" w:hanging="180"/>
      </w:pPr>
    </w:lvl>
  </w:abstractNum>
  <w:abstractNum w:abstractNumId="3">
    <w:nsid w:val="00000009"/>
    <w:multiLevelType w:val="hybridMultilevel"/>
    <w:tmpl w:val="2E70E190"/>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nsid w:val="4A8A484C"/>
    <w:multiLevelType w:val="hybridMultilevel"/>
    <w:tmpl w:val="39363BFC"/>
    <w:lvl w:ilvl="0" w:tplc="9836DE3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744068"/>
    <w:multiLevelType w:val="hybridMultilevel"/>
    <w:tmpl w:val="2674A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EA"/>
    <w:rsid w:val="000A53EA"/>
    <w:rsid w:val="002E1DA2"/>
    <w:rsid w:val="005F15F3"/>
    <w:rsid w:val="005F6CC0"/>
    <w:rsid w:val="00C5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A378D-A4BB-416C-A4E8-4107E18E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3EA"/>
    <w:pPr>
      <w:spacing w:after="200" w:line="276" w:lineRule="auto"/>
    </w:pPr>
    <w:rPr>
      <w:rFonts w:ascii="Times New Roman" w:eastAsia="SimSun" w:hAnsi="Times New Roman" w:cs="Times New Roman"/>
    </w:rPr>
  </w:style>
  <w:style w:type="paragraph" w:styleId="Heading1">
    <w:name w:val="heading 1"/>
    <w:basedOn w:val="Normal"/>
    <w:next w:val="Normal"/>
    <w:link w:val="Heading1Char"/>
    <w:uiPriority w:val="9"/>
    <w:qFormat/>
    <w:rsid w:val="000A53EA"/>
    <w:pPr>
      <w:keepNext/>
      <w:keepLines/>
      <w:spacing w:before="240" w:after="0" w:line="259"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3EA"/>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EA"/>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0A53EA"/>
    <w:rPr>
      <w:rFonts w:ascii="Calibri Light" w:eastAsia="Times New Roman" w:hAnsi="Calibri Light" w:cs="Times New Roman"/>
      <w:b/>
      <w:bCs/>
      <w:i/>
      <w:iCs/>
      <w:sz w:val="28"/>
      <w:szCs w:val="28"/>
    </w:rPr>
  </w:style>
  <w:style w:type="paragraph" w:styleId="ListParagraph">
    <w:name w:val="List Paragraph"/>
    <w:basedOn w:val="Normal"/>
    <w:qFormat/>
    <w:rsid w:val="000A53EA"/>
    <w:pPr>
      <w:ind w:left="720"/>
      <w:contextualSpacing/>
    </w:pPr>
  </w:style>
  <w:style w:type="paragraph" w:styleId="FootnoteText">
    <w:name w:val="footnote text"/>
    <w:basedOn w:val="Normal"/>
    <w:link w:val="FootnoteTextChar"/>
    <w:rsid w:val="000A53EA"/>
    <w:pPr>
      <w:spacing w:after="0" w:line="240" w:lineRule="auto"/>
    </w:pPr>
    <w:rPr>
      <w:sz w:val="20"/>
      <w:szCs w:val="20"/>
    </w:rPr>
  </w:style>
  <w:style w:type="character" w:customStyle="1" w:styleId="FootnoteTextChar">
    <w:name w:val="Footnote Text Char"/>
    <w:basedOn w:val="DefaultParagraphFont"/>
    <w:link w:val="FootnoteText"/>
    <w:rsid w:val="000A53EA"/>
    <w:rPr>
      <w:rFonts w:ascii="Times New Roman" w:eastAsia="SimSun" w:hAnsi="Times New Roman" w:cs="Times New Roman"/>
      <w:sz w:val="20"/>
      <w:szCs w:val="20"/>
    </w:rPr>
  </w:style>
  <w:style w:type="character" w:styleId="FootnoteReference">
    <w:name w:val="footnote reference"/>
    <w:rsid w:val="000A53EA"/>
    <w:rPr>
      <w:sz w:val="22"/>
      <w:szCs w:val="22"/>
      <w:vertAlign w:val="superscript"/>
      <w:lang w:val="en-US" w:eastAsia="en-US" w:bidi="ar-SA"/>
    </w:rPr>
  </w:style>
  <w:style w:type="paragraph" w:styleId="Bibliography">
    <w:name w:val="Bibliography"/>
    <w:basedOn w:val="Normal"/>
    <w:next w:val="Normal"/>
    <w:uiPriority w:val="37"/>
    <w:unhideWhenUsed/>
    <w:rsid w:val="000A5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5282</Words>
  <Characters>30113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2023-05-12T09:21:00Z</dcterms:created>
  <dcterms:modified xsi:type="dcterms:W3CDTF">2023-05-12T09:22:00Z</dcterms:modified>
</cp:coreProperties>
</file>