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2AC" w:rsidRDefault="00A46B5B" w:rsidP="004E7EB3">
      <w:pPr>
        <w:autoSpaceDE w:val="0"/>
        <w:autoSpaceDN w:val="0"/>
        <w:adjustRightInd w:val="0"/>
        <w:spacing w:after="240"/>
        <w:jc w:val="center"/>
        <w:rPr>
          <w:b/>
          <w:color w:val="000000"/>
          <w:sz w:val="24"/>
          <w:szCs w:val="24"/>
        </w:rPr>
      </w:pPr>
      <w:r>
        <w:rPr>
          <w:b/>
          <w:color w:val="000000"/>
          <w:sz w:val="24"/>
          <w:szCs w:val="24"/>
        </w:rPr>
        <w:t>Prevalence of Chronic Kidney D</w:t>
      </w:r>
      <w:bookmarkStart w:id="0" w:name="_GoBack"/>
      <w:bookmarkEnd w:id="0"/>
      <w:r>
        <w:rPr>
          <w:b/>
          <w:color w:val="000000"/>
          <w:sz w:val="24"/>
          <w:szCs w:val="24"/>
        </w:rPr>
        <w:t>isease in Patients with Type 2 Diabetes Mellitus attending A Secondary Care Hospital in North Central Nigeria</w:t>
      </w:r>
    </w:p>
    <w:p w:rsidR="004732AC" w:rsidRDefault="0050060B" w:rsidP="004732AC">
      <w:pPr>
        <w:tabs>
          <w:tab w:val="left" w:pos="1900"/>
          <w:tab w:val="center" w:pos="4320"/>
        </w:tabs>
        <w:autoSpaceDE w:val="0"/>
        <w:autoSpaceDN w:val="0"/>
        <w:adjustRightInd w:val="0"/>
        <w:spacing w:after="240"/>
        <w:jc w:val="center"/>
        <w:rPr>
          <w:color w:val="000000"/>
          <w:sz w:val="24"/>
          <w:szCs w:val="24"/>
        </w:rPr>
      </w:pPr>
      <w:r>
        <w:rPr>
          <w:sz w:val="24"/>
          <w:szCs w:val="24"/>
        </w:rPr>
        <w:t xml:space="preserve">F. O </w:t>
      </w:r>
      <w:r w:rsidR="004732AC">
        <w:rPr>
          <w:sz w:val="24"/>
          <w:szCs w:val="24"/>
        </w:rPr>
        <w:t>Aliyu</w:t>
      </w:r>
      <w:r w:rsidR="006D1CAB">
        <w:rPr>
          <w:sz w:val="24"/>
          <w:szCs w:val="24"/>
        </w:rPr>
        <w:t xml:space="preserve">, </w:t>
      </w:r>
      <w:r w:rsidR="00C468C0">
        <w:rPr>
          <w:sz w:val="24"/>
          <w:szCs w:val="24"/>
          <w:vertAlign w:val="superscript"/>
        </w:rPr>
        <w:t>1</w:t>
      </w:r>
      <w:r w:rsidR="00BA13E0">
        <w:rPr>
          <w:sz w:val="24"/>
          <w:szCs w:val="24"/>
        </w:rPr>
        <w:t xml:space="preserve">, </w:t>
      </w:r>
      <w:r>
        <w:rPr>
          <w:color w:val="000000"/>
          <w:sz w:val="24"/>
          <w:szCs w:val="24"/>
        </w:rPr>
        <w:t>O.</w:t>
      </w:r>
      <w:r w:rsidRPr="00022593">
        <w:rPr>
          <w:color w:val="000000"/>
          <w:sz w:val="24"/>
          <w:szCs w:val="24"/>
        </w:rPr>
        <w:t>T</w:t>
      </w:r>
      <w:r w:rsidR="004732AC" w:rsidRPr="00B5583B">
        <w:rPr>
          <w:color w:val="000000"/>
          <w:sz w:val="24"/>
          <w:szCs w:val="24"/>
        </w:rPr>
        <w:t>O</w:t>
      </w:r>
      <w:r w:rsidR="004732AC" w:rsidRPr="00022593">
        <w:rPr>
          <w:color w:val="000000"/>
          <w:sz w:val="24"/>
          <w:szCs w:val="24"/>
        </w:rPr>
        <w:t>lorunfemi</w:t>
      </w:r>
      <w:r w:rsidR="004732AC" w:rsidRPr="00022593">
        <w:rPr>
          <w:color w:val="000000"/>
          <w:sz w:val="24"/>
          <w:szCs w:val="24"/>
          <w:vertAlign w:val="superscript"/>
        </w:rPr>
        <w:t>2</w:t>
      </w:r>
      <w:r w:rsidR="004732AC">
        <w:rPr>
          <w:color w:val="000000"/>
          <w:sz w:val="24"/>
          <w:szCs w:val="24"/>
        </w:rPr>
        <w:t xml:space="preserve">, </w:t>
      </w:r>
      <w:r>
        <w:rPr>
          <w:color w:val="000000"/>
          <w:sz w:val="24"/>
          <w:szCs w:val="24"/>
        </w:rPr>
        <w:t>S.I</w:t>
      </w:r>
      <w:r w:rsidR="004732AC">
        <w:rPr>
          <w:color w:val="000000"/>
          <w:sz w:val="24"/>
          <w:szCs w:val="24"/>
        </w:rPr>
        <w:t>Bello</w:t>
      </w:r>
      <w:r w:rsidR="006D1CAB">
        <w:rPr>
          <w:color w:val="000000"/>
          <w:sz w:val="24"/>
          <w:szCs w:val="24"/>
          <w:vertAlign w:val="superscript"/>
        </w:rPr>
        <w:t>1</w:t>
      </w:r>
      <w:r w:rsidR="004732AC">
        <w:rPr>
          <w:color w:val="000000"/>
          <w:sz w:val="24"/>
          <w:szCs w:val="24"/>
        </w:rPr>
        <w:t xml:space="preserve">, </w:t>
      </w:r>
      <w:r>
        <w:rPr>
          <w:color w:val="000000"/>
          <w:sz w:val="24"/>
          <w:szCs w:val="24"/>
        </w:rPr>
        <w:t>M.O</w:t>
      </w:r>
      <w:r w:rsidR="004732AC">
        <w:rPr>
          <w:color w:val="000000"/>
          <w:sz w:val="24"/>
          <w:szCs w:val="24"/>
        </w:rPr>
        <w:t>Jamiu</w:t>
      </w:r>
      <w:r w:rsidR="006D1CAB">
        <w:rPr>
          <w:color w:val="000000"/>
          <w:sz w:val="24"/>
          <w:szCs w:val="24"/>
          <w:vertAlign w:val="superscript"/>
        </w:rPr>
        <w:t>1</w:t>
      </w:r>
      <w:r w:rsidR="004732AC">
        <w:rPr>
          <w:color w:val="000000"/>
          <w:sz w:val="24"/>
          <w:szCs w:val="24"/>
        </w:rPr>
        <w:t xml:space="preserve">, </w:t>
      </w:r>
      <w:r>
        <w:rPr>
          <w:color w:val="000000"/>
          <w:sz w:val="24"/>
          <w:szCs w:val="24"/>
        </w:rPr>
        <w:t>I.F</w:t>
      </w:r>
      <w:r w:rsidR="004732AC">
        <w:rPr>
          <w:color w:val="000000"/>
          <w:sz w:val="24"/>
          <w:szCs w:val="24"/>
        </w:rPr>
        <w:t>Abdulazeez</w:t>
      </w:r>
      <w:r w:rsidR="006D1CAB">
        <w:rPr>
          <w:color w:val="000000"/>
          <w:sz w:val="24"/>
          <w:szCs w:val="24"/>
          <w:vertAlign w:val="superscript"/>
        </w:rPr>
        <w:t>1</w:t>
      </w:r>
      <w:r w:rsidR="004732AC">
        <w:rPr>
          <w:color w:val="000000"/>
          <w:sz w:val="24"/>
          <w:szCs w:val="24"/>
        </w:rPr>
        <w:t xml:space="preserve">, </w:t>
      </w:r>
      <w:r>
        <w:rPr>
          <w:color w:val="000000"/>
          <w:sz w:val="24"/>
          <w:szCs w:val="24"/>
        </w:rPr>
        <w:t>F.E</w:t>
      </w:r>
      <w:r w:rsidR="004732AC">
        <w:rPr>
          <w:color w:val="000000"/>
          <w:sz w:val="24"/>
          <w:szCs w:val="24"/>
        </w:rPr>
        <w:t>Williams</w:t>
      </w:r>
      <w:r w:rsidR="006D1CAB">
        <w:rPr>
          <w:color w:val="000000"/>
          <w:sz w:val="24"/>
          <w:szCs w:val="24"/>
          <w:vertAlign w:val="superscript"/>
        </w:rPr>
        <w:t>1</w:t>
      </w:r>
      <w:r w:rsidR="00B5583B">
        <w:rPr>
          <w:color w:val="000000"/>
          <w:sz w:val="24"/>
          <w:szCs w:val="24"/>
        </w:rPr>
        <w:t xml:space="preserve">, </w:t>
      </w:r>
      <w:r w:rsidR="004732AC">
        <w:rPr>
          <w:color w:val="000000"/>
          <w:sz w:val="24"/>
          <w:szCs w:val="24"/>
        </w:rPr>
        <w:t>Abdulbaki M</w:t>
      </w:r>
      <w:r w:rsidR="006D1CAB">
        <w:rPr>
          <w:color w:val="000000"/>
          <w:sz w:val="24"/>
          <w:szCs w:val="24"/>
          <w:vertAlign w:val="superscript"/>
        </w:rPr>
        <w:t>3</w:t>
      </w:r>
    </w:p>
    <w:p w:rsidR="0050060B" w:rsidRDefault="0050060B" w:rsidP="00934F03">
      <w:pPr>
        <w:jc w:val="center"/>
        <w:rPr>
          <w:sz w:val="22"/>
          <w:szCs w:val="24"/>
        </w:rPr>
      </w:pPr>
      <w:r w:rsidRPr="0050060B">
        <w:rPr>
          <w:i/>
          <w:sz w:val="22"/>
          <w:szCs w:val="24"/>
          <w:vertAlign w:val="superscript"/>
        </w:rPr>
        <w:t xml:space="preserve">1. </w:t>
      </w:r>
      <w:r w:rsidR="004732AC" w:rsidRPr="0050060B">
        <w:rPr>
          <w:i/>
          <w:sz w:val="22"/>
          <w:szCs w:val="24"/>
        </w:rPr>
        <w:t>Department of Clinical Pharmacy</w:t>
      </w:r>
      <w:r w:rsidR="00C468C0" w:rsidRPr="0050060B">
        <w:rPr>
          <w:i/>
          <w:sz w:val="22"/>
          <w:szCs w:val="24"/>
        </w:rPr>
        <w:t xml:space="preserve"> and Pharmacy Practice</w:t>
      </w:r>
      <w:r w:rsidR="004732AC" w:rsidRPr="0050060B">
        <w:rPr>
          <w:i/>
          <w:sz w:val="22"/>
          <w:szCs w:val="24"/>
        </w:rPr>
        <w:t>, Faculty of</w:t>
      </w:r>
      <w:r w:rsidR="00C468C0" w:rsidRPr="0050060B">
        <w:rPr>
          <w:i/>
          <w:sz w:val="22"/>
          <w:szCs w:val="24"/>
        </w:rPr>
        <w:t xml:space="preserve"> Pharmaceutical sciences, University of Ilorin</w:t>
      </w:r>
      <w:r w:rsidR="004732AC" w:rsidRPr="0050060B">
        <w:rPr>
          <w:i/>
          <w:sz w:val="22"/>
          <w:szCs w:val="24"/>
        </w:rPr>
        <w:t>, Nigeria</w:t>
      </w:r>
      <w:r w:rsidR="00661E75" w:rsidRPr="0050060B">
        <w:rPr>
          <w:i/>
          <w:sz w:val="22"/>
          <w:szCs w:val="24"/>
        </w:rPr>
        <w:t>.</w:t>
      </w:r>
      <w:r w:rsidRPr="0050060B">
        <w:rPr>
          <w:i/>
          <w:sz w:val="22"/>
          <w:szCs w:val="24"/>
          <w:vertAlign w:val="superscript"/>
        </w:rPr>
        <w:t xml:space="preserve">2. </w:t>
      </w:r>
      <w:r w:rsidR="004732AC" w:rsidRPr="0050060B">
        <w:rPr>
          <w:i/>
          <w:sz w:val="22"/>
          <w:szCs w:val="24"/>
        </w:rPr>
        <w:t>Department of Clinical Pharmacy</w:t>
      </w:r>
      <w:r w:rsidR="00BA13E0" w:rsidRPr="0050060B">
        <w:rPr>
          <w:i/>
          <w:sz w:val="22"/>
          <w:szCs w:val="24"/>
        </w:rPr>
        <w:t xml:space="preserve"> and Pharmacy practice</w:t>
      </w:r>
      <w:r w:rsidR="004732AC" w:rsidRPr="0050060B">
        <w:rPr>
          <w:i/>
          <w:sz w:val="22"/>
          <w:szCs w:val="24"/>
        </w:rPr>
        <w:t>, Faculty of Pharmaceutical Sciences, University of Ilorin, Nigeria</w:t>
      </w:r>
      <w:r w:rsidR="00661E75" w:rsidRPr="0050060B">
        <w:rPr>
          <w:i/>
          <w:sz w:val="22"/>
          <w:szCs w:val="24"/>
        </w:rPr>
        <w:t>.</w:t>
      </w:r>
      <w:r w:rsidR="006D1CAB" w:rsidRPr="0050060B">
        <w:rPr>
          <w:i/>
          <w:sz w:val="22"/>
          <w:szCs w:val="24"/>
          <w:vertAlign w:val="superscript"/>
        </w:rPr>
        <w:t>3</w:t>
      </w:r>
      <w:r w:rsidRPr="0050060B">
        <w:rPr>
          <w:i/>
          <w:sz w:val="22"/>
          <w:szCs w:val="24"/>
          <w:vertAlign w:val="superscript"/>
        </w:rPr>
        <w:t xml:space="preserve">.  </w:t>
      </w:r>
      <w:r w:rsidR="004732AC" w:rsidRPr="0050060B">
        <w:rPr>
          <w:i/>
          <w:sz w:val="22"/>
          <w:szCs w:val="24"/>
        </w:rPr>
        <w:t>Department of Obstetrics and Gynaecology, General Hospital</w:t>
      </w:r>
      <w:r w:rsidR="00661E75" w:rsidRPr="0050060B">
        <w:rPr>
          <w:i/>
          <w:sz w:val="22"/>
          <w:szCs w:val="24"/>
        </w:rPr>
        <w:t>,</w:t>
      </w:r>
      <w:r w:rsidR="004732AC" w:rsidRPr="0050060B">
        <w:rPr>
          <w:i/>
          <w:sz w:val="22"/>
          <w:szCs w:val="24"/>
        </w:rPr>
        <w:t>Ilorin</w:t>
      </w:r>
      <w:r w:rsidR="00661E75" w:rsidRPr="0050060B">
        <w:rPr>
          <w:i/>
          <w:sz w:val="22"/>
          <w:szCs w:val="24"/>
        </w:rPr>
        <w:t>, Nigeria.</w:t>
      </w:r>
    </w:p>
    <w:p w:rsidR="00934F03" w:rsidRPr="0050060B" w:rsidRDefault="00934F03" w:rsidP="00934F03">
      <w:pPr>
        <w:rPr>
          <w:sz w:val="22"/>
          <w:szCs w:val="24"/>
        </w:rPr>
      </w:pPr>
      <w:r>
        <w:rPr>
          <w:sz w:val="22"/>
          <w:szCs w:val="24"/>
        </w:rPr>
        <w:t>____________________________________________________________________________</w:t>
      </w:r>
    </w:p>
    <w:p w:rsidR="0050060B" w:rsidRDefault="0050060B" w:rsidP="00934F03">
      <w:pPr>
        <w:pBdr>
          <w:bottom w:val="single" w:sz="12" w:space="1" w:color="auto"/>
        </w:pBdr>
        <w:tabs>
          <w:tab w:val="left" w:pos="1900"/>
          <w:tab w:val="center" w:pos="4320"/>
        </w:tabs>
        <w:autoSpaceDE w:val="0"/>
        <w:autoSpaceDN w:val="0"/>
        <w:adjustRightInd w:val="0"/>
        <w:rPr>
          <w:sz w:val="24"/>
          <w:szCs w:val="24"/>
        </w:rPr>
      </w:pPr>
      <w:r>
        <w:rPr>
          <w:sz w:val="24"/>
          <w:szCs w:val="24"/>
        </w:rPr>
        <w:t>*Corresponding Authors’ e-mail:</w:t>
      </w:r>
      <w:hyperlink r:id="rId7" w:history="1">
        <w:r w:rsidR="006A3F26" w:rsidRPr="00B81210">
          <w:rPr>
            <w:rStyle w:val="Hyperlink"/>
            <w:sz w:val="24"/>
            <w:szCs w:val="24"/>
          </w:rPr>
          <w:t>aliyu.fo@unilorin.edu.ng</w:t>
        </w:r>
      </w:hyperlink>
      <w:r w:rsidR="006A3F26">
        <w:rPr>
          <w:rStyle w:val="Hyperlink"/>
          <w:sz w:val="24"/>
          <w:szCs w:val="24"/>
        </w:rPr>
        <w:t>.</w:t>
      </w:r>
      <w:r w:rsidR="006A3F26" w:rsidRPr="00965646">
        <w:rPr>
          <w:rStyle w:val="Hyperlink"/>
          <w:sz w:val="24"/>
          <w:szCs w:val="24"/>
        </w:rPr>
        <w:t xml:space="preserve"> GSM:</w:t>
      </w:r>
      <w:r w:rsidR="006A3F26">
        <w:rPr>
          <w:rStyle w:val="Hyperlink"/>
          <w:sz w:val="24"/>
          <w:szCs w:val="24"/>
        </w:rPr>
        <w:t xml:space="preserve"> +2347039392913</w:t>
      </w:r>
    </w:p>
    <w:p w:rsidR="00934F03" w:rsidRDefault="00934F03" w:rsidP="00934F03">
      <w:pPr>
        <w:tabs>
          <w:tab w:val="left" w:pos="1900"/>
          <w:tab w:val="center" w:pos="4320"/>
        </w:tabs>
        <w:autoSpaceDE w:val="0"/>
        <w:autoSpaceDN w:val="0"/>
        <w:adjustRightInd w:val="0"/>
        <w:spacing w:line="360" w:lineRule="auto"/>
        <w:rPr>
          <w:sz w:val="24"/>
          <w:szCs w:val="24"/>
        </w:rPr>
      </w:pPr>
    </w:p>
    <w:p w:rsidR="004732AC" w:rsidRPr="0050060B" w:rsidRDefault="004732AC" w:rsidP="001253EB">
      <w:pPr>
        <w:rPr>
          <w:b/>
          <w:sz w:val="24"/>
          <w:szCs w:val="24"/>
          <w:shd w:val="clear" w:color="auto" w:fill="FFFFFF"/>
        </w:rPr>
      </w:pPr>
      <w:r w:rsidRPr="0050060B">
        <w:rPr>
          <w:b/>
          <w:sz w:val="24"/>
          <w:szCs w:val="24"/>
          <w:shd w:val="clear" w:color="auto" w:fill="FFFFFF"/>
        </w:rPr>
        <w:t>ABSTRACT</w:t>
      </w:r>
    </w:p>
    <w:p w:rsidR="004732AC" w:rsidRDefault="00BA173B" w:rsidP="001253EB">
      <w:pPr>
        <w:pStyle w:val="NoSpacing"/>
        <w:pBdr>
          <w:bottom w:val="single" w:sz="12" w:space="1" w:color="auto"/>
        </w:pBdr>
        <w:jc w:val="both"/>
        <w:rPr>
          <w:rFonts w:ascii="Times New Roman" w:hAnsi="Times New Roman" w:cs="Times New Roman"/>
          <w:sz w:val="24"/>
          <w:szCs w:val="24"/>
        </w:rPr>
      </w:pPr>
      <w:r w:rsidRPr="00686BB5">
        <w:rPr>
          <w:rFonts w:ascii="Times New Roman" w:hAnsi="Times New Roman" w:cs="Times New Roman"/>
          <w:sz w:val="24"/>
          <w:szCs w:val="24"/>
        </w:rPr>
        <w:t>Worldwide, Chronic Kidney Disease (CKD) is a public health problem that is associated with adverse outcomes of kidney failure, diseases of the cardiovascular system and untimely death.</w:t>
      </w:r>
      <w:r w:rsidR="000062D4">
        <w:rPr>
          <w:rFonts w:ascii="Times New Roman" w:hAnsi="Times New Roman" w:cs="Times New Roman"/>
          <w:sz w:val="24"/>
          <w:szCs w:val="24"/>
        </w:rPr>
        <w:t xml:space="preserve"> </w:t>
      </w:r>
      <w:r w:rsidR="004732AC" w:rsidRPr="00E51371">
        <w:rPr>
          <w:rFonts w:ascii="Times New Roman" w:hAnsi="Times New Roman" w:cs="Times New Roman"/>
          <w:sz w:val="24"/>
          <w:szCs w:val="24"/>
        </w:rPr>
        <w:t>The purpose of this study was to determine the prevalence of chronic kidney disease in type 2 diabetes mellitus (DM) patients and to determine kidney staging on the basis of estimated glomerular filtration rate (eGFR) values.</w:t>
      </w:r>
      <w:r w:rsidR="000062D4">
        <w:rPr>
          <w:rFonts w:ascii="Times New Roman" w:hAnsi="Times New Roman" w:cs="Times New Roman"/>
          <w:sz w:val="24"/>
          <w:szCs w:val="24"/>
        </w:rPr>
        <w:t xml:space="preserve"> </w:t>
      </w:r>
      <w:r w:rsidR="004732AC" w:rsidRPr="00E51371">
        <w:rPr>
          <w:rFonts w:ascii="Times New Roman" w:hAnsi="Times New Roman" w:cs="Times New Roman"/>
          <w:sz w:val="24"/>
          <w:szCs w:val="24"/>
        </w:rPr>
        <w:t xml:space="preserve">One hundred and twenty (120) patients were recruited for the study (mean age 54.7 ±14.701). This study was a prospective cross sectional study among out-patients with Diabetes mellitus in north central Nigeria. A validated questionnaire was used to capture socio-demographics. Informed consent was obtained from each patient and blood samples were collected in an EDTA vacutainer, after which the blood samples were sent to PATHCARE diagnostic center, </w:t>
      </w:r>
      <w:r w:rsidR="00F06497">
        <w:rPr>
          <w:rFonts w:ascii="Times New Roman" w:hAnsi="Times New Roman" w:cs="Times New Roman"/>
          <w:sz w:val="24"/>
          <w:szCs w:val="24"/>
        </w:rPr>
        <w:t xml:space="preserve"> to determine</w:t>
      </w:r>
      <w:r w:rsidR="000062D4">
        <w:rPr>
          <w:rFonts w:ascii="Times New Roman" w:hAnsi="Times New Roman" w:cs="Times New Roman"/>
          <w:sz w:val="24"/>
          <w:szCs w:val="24"/>
        </w:rPr>
        <w:t xml:space="preserve"> </w:t>
      </w:r>
      <w:r w:rsidR="00D809C3">
        <w:rPr>
          <w:rFonts w:ascii="Times New Roman" w:hAnsi="Times New Roman" w:cs="Times New Roman"/>
          <w:sz w:val="24"/>
          <w:szCs w:val="24"/>
        </w:rPr>
        <w:t xml:space="preserve">the </w:t>
      </w:r>
      <w:r w:rsidR="0023531A">
        <w:rPr>
          <w:rFonts w:ascii="Times New Roman" w:hAnsi="Times New Roman" w:cs="Times New Roman"/>
          <w:sz w:val="24"/>
          <w:szCs w:val="24"/>
        </w:rPr>
        <w:t>serum</w:t>
      </w:r>
      <w:r w:rsidR="000062D4">
        <w:rPr>
          <w:rFonts w:ascii="Times New Roman" w:hAnsi="Times New Roman" w:cs="Times New Roman"/>
          <w:sz w:val="24"/>
          <w:szCs w:val="24"/>
        </w:rPr>
        <w:t xml:space="preserve"> </w:t>
      </w:r>
      <w:r w:rsidR="004732AC" w:rsidRPr="00E51371">
        <w:rPr>
          <w:rFonts w:ascii="Times New Roman" w:hAnsi="Times New Roman" w:cs="Times New Roman"/>
          <w:sz w:val="24"/>
          <w:szCs w:val="24"/>
        </w:rPr>
        <w:t>creatinine</w:t>
      </w:r>
      <w:r w:rsidR="000062D4">
        <w:rPr>
          <w:rFonts w:ascii="Times New Roman" w:hAnsi="Times New Roman" w:cs="Times New Roman"/>
          <w:sz w:val="24"/>
          <w:szCs w:val="24"/>
        </w:rPr>
        <w:t xml:space="preserve"> </w:t>
      </w:r>
      <w:r w:rsidR="00F06497">
        <w:rPr>
          <w:rFonts w:ascii="Times New Roman" w:hAnsi="Times New Roman" w:cs="Times New Roman"/>
          <w:sz w:val="24"/>
          <w:szCs w:val="24"/>
        </w:rPr>
        <w:t xml:space="preserve">and </w:t>
      </w:r>
      <w:r w:rsidR="00F06497" w:rsidRPr="00E51371">
        <w:rPr>
          <w:rFonts w:ascii="Times New Roman" w:hAnsi="Times New Roman" w:cs="Times New Roman"/>
          <w:sz w:val="24"/>
          <w:szCs w:val="24"/>
        </w:rPr>
        <w:t>eGFR</w:t>
      </w:r>
      <w:r w:rsidR="000062D4">
        <w:rPr>
          <w:rFonts w:ascii="Times New Roman" w:hAnsi="Times New Roman" w:cs="Times New Roman"/>
          <w:sz w:val="24"/>
          <w:szCs w:val="24"/>
        </w:rPr>
        <w:t xml:space="preserve"> </w:t>
      </w:r>
      <w:r w:rsidR="004732AC" w:rsidRPr="00E51371">
        <w:rPr>
          <w:rFonts w:ascii="Times New Roman" w:hAnsi="Times New Roman" w:cs="Times New Roman"/>
          <w:sz w:val="24"/>
          <w:szCs w:val="24"/>
        </w:rPr>
        <w:t>levels</w:t>
      </w:r>
      <w:r w:rsidR="0023531A">
        <w:rPr>
          <w:rFonts w:ascii="Times New Roman" w:hAnsi="Times New Roman" w:cs="Times New Roman"/>
          <w:sz w:val="24"/>
          <w:szCs w:val="24"/>
        </w:rPr>
        <w:t>.</w:t>
      </w:r>
      <w:r w:rsidR="00AC2DA0">
        <w:rPr>
          <w:rFonts w:ascii="Times New Roman" w:hAnsi="Times New Roman" w:cs="Times New Roman"/>
          <w:sz w:val="24"/>
          <w:szCs w:val="24"/>
        </w:rPr>
        <w:t>Most of the subjects were f</w:t>
      </w:r>
      <w:r w:rsidR="00D809C3">
        <w:rPr>
          <w:rFonts w:ascii="Times New Roman" w:hAnsi="Times New Roman" w:cs="Times New Roman"/>
          <w:sz w:val="24"/>
          <w:szCs w:val="24"/>
        </w:rPr>
        <w:t xml:space="preserve">emale </w:t>
      </w:r>
      <w:r w:rsidR="00AC2DA0">
        <w:rPr>
          <w:rFonts w:ascii="Times New Roman" w:hAnsi="Times New Roman" w:cs="Times New Roman"/>
          <w:sz w:val="24"/>
          <w:szCs w:val="24"/>
        </w:rPr>
        <w:t>(</w:t>
      </w:r>
      <w:r w:rsidR="004732AC" w:rsidRPr="00E51371">
        <w:rPr>
          <w:rFonts w:ascii="Times New Roman" w:hAnsi="Times New Roman" w:cs="Times New Roman"/>
          <w:sz w:val="24"/>
          <w:szCs w:val="24"/>
        </w:rPr>
        <w:t>75</w:t>
      </w:r>
      <w:r w:rsidR="00AC2DA0">
        <w:rPr>
          <w:rFonts w:ascii="Times New Roman" w:hAnsi="Times New Roman" w:cs="Times New Roman"/>
          <w:sz w:val="24"/>
          <w:szCs w:val="24"/>
        </w:rPr>
        <w:t>.0</w:t>
      </w:r>
      <w:r w:rsidR="004732AC" w:rsidRPr="00E51371">
        <w:rPr>
          <w:rFonts w:ascii="Times New Roman" w:hAnsi="Times New Roman" w:cs="Times New Roman"/>
          <w:sz w:val="24"/>
          <w:szCs w:val="24"/>
        </w:rPr>
        <w:t>%</w:t>
      </w:r>
      <w:r w:rsidR="00AC2DA0">
        <w:rPr>
          <w:rFonts w:ascii="Times New Roman" w:hAnsi="Times New Roman" w:cs="Times New Roman"/>
          <w:sz w:val="24"/>
          <w:szCs w:val="24"/>
        </w:rPr>
        <w:t>)</w:t>
      </w:r>
      <w:r w:rsidR="004732AC" w:rsidRPr="00E51371">
        <w:rPr>
          <w:rFonts w:ascii="Times New Roman" w:hAnsi="Times New Roman" w:cs="Times New Roman"/>
          <w:sz w:val="24"/>
          <w:szCs w:val="24"/>
        </w:rPr>
        <w:t xml:space="preserve"> whi</w:t>
      </w:r>
      <w:r w:rsidR="004732AC">
        <w:rPr>
          <w:rFonts w:ascii="Times New Roman" w:hAnsi="Times New Roman" w:cs="Times New Roman"/>
          <w:sz w:val="24"/>
          <w:szCs w:val="24"/>
        </w:rPr>
        <w:t>le only 25</w:t>
      </w:r>
      <w:r w:rsidR="00EE0287">
        <w:rPr>
          <w:rFonts w:ascii="Times New Roman" w:hAnsi="Times New Roman" w:cs="Times New Roman"/>
          <w:sz w:val="24"/>
          <w:szCs w:val="24"/>
        </w:rPr>
        <w:t>.0</w:t>
      </w:r>
      <w:r w:rsidR="004732AC">
        <w:rPr>
          <w:rFonts w:ascii="Times New Roman" w:hAnsi="Times New Roman" w:cs="Times New Roman"/>
          <w:sz w:val="24"/>
          <w:szCs w:val="24"/>
        </w:rPr>
        <w:t xml:space="preserve">% </w:t>
      </w:r>
      <w:r w:rsidR="00AC2DA0">
        <w:rPr>
          <w:rFonts w:ascii="Times New Roman" w:hAnsi="Times New Roman" w:cs="Times New Roman"/>
          <w:sz w:val="24"/>
          <w:szCs w:val="24"/>
        </w:rPr>
        <w:t>were m</w:t>
      </w:r>
      <w:r w:rsidR="004732AC" w:rsidRPr="00E51371">
        <w:rPr>
          <w:rFonts w:ascii="Times New Roman" w:hAnsi="Times New Roman" w:cs="Times New Roman"/>
          <w:sz w:val="24"/>
          <w:szCs w:val="24"/>
        </w:rPr>
        <w:t>ales.</w:t>
      </w:r>
      <w:r w:rsidR="007A1573">
        <w:rPr>
          <w:rFonts w:ascii="Times New Roman" w:hAnsi="Times New Roman" w:cs="Times New Roman"/>
          <w:sz w:val="24"/>
          <w:szCs w:val="24"/>
        </w:rPr>
        <w:t xml:space="preserve"> More than one half(</w:t>
      </w:r>
      <w:r w:rsidR="004732AC" w:rsidRPr="00E51371">
        <w:rPr>
          <w:rFonts w:ascii="Times New Roman" w:hAnsi="Times New Roman" w:cs="Times New Roman"/>
          <w:sz w:val="24"/>
          <w:szCs w:val="24"/>
        </w:rPr>
        <w:t>67.5%</w:t>
      </w:r>
      <w:r w:rsidR="007A1573">
        <w:rPr>
          <w:rFonts w:ascii="Times New Roman" w:hAnsi="Times New Roman" w:cs="Times New Roman"/>
          <w:sz w:val="24"/>
          <w:szCs w:val="24"/>
        </w:rPr>
        <w:t xml:space="preserve">) </w:t>
      </w:r>
      <w:r w:rsidR="004732AC" w:rsidRPr="00E51371">
        <w:rPr>
          <w:rFonts w:ascii="Times New Roman" w:hAnsi="Times New Roman" w:cs="Times New Roman"/>
          <w:sz w:val="24"/>
          <w:szCs w:val="24"/>
        </w:rPr>
        <w:t xml:space="preserve">of the subjects have Stage I, 21.7% have Stage 2, 7.5% </w:t>
      </w:r>
      <w:r w:rsidR="007A1573">
        <w:rPr>
          <w:rFonts w:ascii="Times New Roman" w:hAnsi="Times New Roman" w:cs="Times New Roman"/>
          <w:sz w:val="24"/>
          <w:szCs w:val="24"/>
        </w:rPr>
        <w:t xml:space="preserve"> were on </w:t>
      </w:r>
      <w:r w:rsidR="004732AC" w:rsidRPr="00E51371">
        <w:rPr>
          <w:rFonts w:ascii="Times New Roman" w:hAnsi="Times New Roman" w:cs="Times New Roman"/>
          <w:sz w:val="24"/>
          <w:szCs w:val="24"/>
        </w:rPr>
        <w:t xml:space="preserve"> Stage 3, 1.7% </w:t>
      </w:r>
      <w:r w:rsidR="007A1573">
        <w:rPr>
          <w:rFonts w:ascii="Times New Roman" w:hAnsi="Times New Roman" w:cs="Times New Roman"/>
          <w:sz w:val="24"/>
          <w:szCs w:val="24"/>
        </w:rPr>
        <w:t xml:space="preserve"> on </w:t>
      </w:r>
      <w:r w:rsidR="004732AC" w:rsidRPr="00E51371">
        <w:rPr>
          <w:rFonts w:ascii="Times New Roman" w:hAnsi="Times New Roman" w:cs="Times New Roman"/>
          <w:sz w:val="24"/>
          <w:szCs w:val="24"/>
        </w:rPr>
        <w:t>Stage 4 and  1.7% of the subjects have Stage 5 kidney disease.</w:t>
      </w:r>
      <w:r w:rsidR="004732AC" w:rsidRPr="00FF0106">
        <w:rPr>
          <w:rFonts w:ascii="Times New Roman" w:hAnsi="Times New Roman" w:cs="Times New Roman"/>
          <w:sz w:val="24"/>
          <w:szCs w:val="24"/>
        </w:rPr>
        <w:t>The prevalence of CKD</w:t>
      </w:r>
      <w:r w:rsidR="007A1573">
        <w:rPr>
          <w:rFonts w:ascii="Times New Roman" w:hAnsi="Times New Roman" w:cs="Times New Roman"/>
          <w:sz w:val="24"/>
          <w:szCs w:val="24"/>
        </w:rPr>
        <w:t xml:space="preserve"> among the</w:t>
      </w:r>
      <w:r w:rsidR="00770943">
        <w:rPr>
          <w:rFonts w:ascii="Times New Roman" w:hAnsi="Times New Roman" w:cs="Times New Roman"/>
          <w:sz w:val="24"/>
          <w:szCs w:val="24"/>
        </w:rPr>
        <w:t xml:space="preserve"> type 2 Diabetes Mellitus </w:t>
      </w:r>
      <w:r w:rsidR="007A1573">
        <w:rPr>
          <w:rFonts w:ascii="Times New Roman" w:hAnsi="Times New Roman" w:cs="Times New Roman"/>
          <w:sz w:val="24"/>
          <w:szCs w:val="24"/>
        </w:rPr>
        <w:t>patients studied</w:t>
      </w:r>
      <w:r w:rsidR="008E6C41">
        <w:rPr>
          <w:rFonts w:ascii="Times New Roman" w:hAnsi="Times New Roman" w:cs="Times New Roman"/>
          <w:sz w:val="24"/>
          <w:szCs w:val="24"/>
        </w:rPr>
        <w:t>was 10.8</w:t>
      </w:r>
      <w:r w:rsidR="00770943">
        <w:rPr>
          <w:rFonts w:ascii="Times New Roman" w:hAnsi="Times New Roman" w:cs="Times New Roman"/>
          <w:sz w:val="24"/>
          <w:szCs w:val="24"/>
        </w:rPr>
        <w:t>%.</w:t>
      </w:r>
      <w:r w:rsidR="004732AC" w:rsidRPr="00FF0106">
        <w:rPr>
          <w:rFonts w:ascii="Times New Roman" w:hAnsi="Times New Roman" w:cs="Times New Roman"/>
          <w:sz w:val="24"/>
          <w:szCs w:val="24"/>
        </w:rPr>
        <w:t>There is a need for studies</w:t>
      </w:r>
      <w:r w:rsidR="00EE0287">
        <w:rPr>
          <w:rFonts w:ascii="Times New Roman" w:hAnsi="Times New Roman" w:cs="Times New Roman"/>
          <w:sz w:val="24"/>
          <w:szCs w:val="24"/>
        </w:rPr>
        <w:t xml:space="preserve"> with larger sample size. Routine e</w:t>
      </w:r>
      <w:r w:rsidR="004732AC" w:rsidRPr="00FF0106">
        <w:rPr>
          <w:rFonts w:ascii="Times New Roman" w:hAnsi="Times New Roman" w:cs="Times New Roman"/>
          <w:sz w:val="24"/>
          <w:szCs w:val="24"/>
        </w:rPr>
        <w:t>GFR</w:t>
      </w:r>
      <w:r w:rsidR="000062D4">
        <w:rPr>
          <w:rFonts w:ascii="Times New Roman" w:hAnsi="Times New Roman" w:cs="Times New Roman"/>
          <w:sz w:val="24"/>
          <w:szCs w:val="24"/>
        </w:rPr>
        <w:t xml:space="preserve"> </w:t>
      </w:r>
      <w:r w:rsidR="00EE0287">
        <w:rPr>
          <w:rFonts w:ascii="Times New Roman" w:hAnsi="Times New Roman" w:cs="Times New Roman"/>
          <w:sz w:val="24"/>
          <w:szCs w:val="24"/>
        </w:rPr>
        <w:t xml:space="preserve">assessment </w:t>
      </w:r>
      <w:r w:rsidR="004732AC" w:rsidRPr="00FF0106">
        <w:rPr>
          <w:rFonts w:ascii="Times New Roman" w:hAnsi="Times New Roman" w:cs="Times New Roman"/>
          <w:sz w:val="24"/>
          <w:szCs w:val="24"/>
        </w:rPr>
        <w:t xml:space="preserve">after 3 months in subjects with </w:t>
      </w:r>
      <w:r w:rsidR="00EE0287">
        <w:rPr>
          <w:rFonts w:ascii="Times New Roman" w:hAnsi="Times New Roman" w:cs="Times New Roman"/>
          <w:sz w:val="24"/>
          <w:szCs w:val="24"/>
        </w:rPr>
        <w:t>e</w:t>
      </w:r>
      <w:r w:rsidR="004732AC" w:rsidRPr="00FF0106">
        <w:rPr>
          <w:rFonts w:ascii="Times New Roman" w:hAnsi="Times New Roman" w:cs="Times New Roman"/>
          <w:sz w:val="24"/>
          <w:szCs w:val="24"/>
        </w:rPr>
        <w:t>GFR</w:t>
      </w:r>
      <w:r w:rsidR="00F8139E">
        <w:rPr>
          <w:rFonts w:ascii="Times New Roman" w:hAnsi="Times New Roman" w:cs="Times New Roman"/>
          <w:sz w:val="24"/>
          <w:szCs w:val="24"/>
        </w:rPr>
        <w:t>less than</w:t>
      </w:r>
      <w:r w:rsidR="004732AC" w:rsidRPr="00FF0106">
        <w:rPr>
          <w:rFonts w:ascii="Times New Roman" w:hAnsi="Times New Roman" w:cs="Times New Roman"/>
          <w:sz w:val="24"/>
          <w:szCs w:val="24"/>
        </w:rPr>
        <w:t>60 mL/min/1.7 m</w:t>
      </w:r>
      <w:r w:rsidR="004732AC" w:rsidRPr="00FF0106">
        <w:rPr>
          <w:rFonts w:ascii="Times New Roman" w:hAnsi="Times New Roman" w:cs="Times New Roman"/>
          <w:sz w:val="24"/>
          <w:szCs w:val="24"/>
          <w:vertAlign w:val="superscript"/>
        </w:rPr>
        <w:t>2</w:t>
      </w:r>
      <w:r>
        <w:rPr>
          <w:rFonts w:ascii="Times New Roman" w:hAnsi="Times New Roman" w:cs="Times New Roman"/>
          <w:sz w:val="24"/>
          <w:szCs w:val="24"/>
        </w:rPr>
        <w:t>should be</w:t>
      </w:r>
      <w:r w:rsidR="000062D4">
        <w:rPr>
          <w:rFonts w:ascii="Times New Roman" w:hAnsi="Times New Roman" w:cs="Times New Roman"/>
          <w:sz w:val="24"/>
          <w:szCs w:val="24"/>
        </w:rPr>
        <w:t xml:space="preserve"> </w:t>
      </w:r>
      <w:r>
        <w:rPr>
          <w:rFonts w:ascii="Times New Roman" w:hAnsi="Times New Roman" w:cs="Times New Roman"/>
          <w:sz w:val="24"/>
          <w:szCs w:val="24"/>
        </w:rPr>
        <w:t>emphazised</w:t>
      </w:r>
      <w:r w:rsidR="004732AC" w:rsidRPr="00FF0106">
        <w:rPr>
          <w:rFonts w:ascii="Times New Roman" w:hAnsi="Times New Roman" w:cs="Times New Roman"/>
          <w:sz w:val="24"/>
          <w:szCs w:val="24"/>
        </w:rPr>
        <w:t>.</w:t>
      </w:r>
    </w:p>
    <w:p w:rsidR="00671B5E" w:rsidRPr="00F33B35" w:rsidRDefault="00BA173B" w:rsidP="00B5583B">
      <w:pPr>
        <w:spacing w:line="360" w:lineRule="auto"/>
        <w:rPr>
          <w:sz w:val="22"/>
          <w:szCs w:val="24"/>
        </w:rPr>
      </w:pPr>
      <w:r w:rsidRPr="001253EB">
        <w:rPr>
          <w:i/>
          <w:sz w:val="22"/>
          <w:szCs w:val="24"/>
        </w:rPr>
        <w:t>Keywords:</w:t>
      </w:r>
      <w:r w:rsidR="00A24425" w:rsidRPr="001253EB">
        <w:rPr>
          <w:sz w:val="22"/>
          <w:szCs w:val="24"/>
        </w:rPr>
        <w:t xml:space="preserve"> Chronic Kidney disease (CKD), Diabetes mellitus, estimated glomerular filtration rate (eGFR)</w:t>
      </w:r>
      <w:r w:rsidR="00671B5E" w:rsidRPr="001253EB">
        <w:rPr>
          <w:sz w:val="22"/>
          <w:szCs w:val="24"/>
        </w:rPr>
        <w:t>.</w:t>
      </w:r>
    </w:p>
    <w:p w:rsidR="00F33B35" w:rsidRDefault="00F33B35" w:rsidP="00A61854">
      <w:pPr>
        <w:rPr>
          <w:b/>
          <w:sz w:val="24"/>
          <w:szCs w:val="24"/>
        </w:rPr>
        <w:sectPr w:rsidR="00F33B35" w:rsidSect="00302801">
          <w:headerReference w:type="even" r:id="rId8"/>
          <w:headerReference w:type="default" r:id="rId9"/>
          <w:footerReference w:type="default" r:id="rId10"/>
          <w:headerReference w:type="first" r:id="rId11"/>
          <w:pgSz w:w="11906" w:h="16838"/>
          <w:pgMar w:top="1440" w:right="1440" w:bottom="1440" w:left="1440" w:header="708" w:footer="708" w:gutter="0"/>
          <w:pgNumType w:start="36"/>
          <w:cols w:space="708"/>
          <w:docGrid w:linePitch="360"/>
        </w:sectPr>
      </w:pPr>
    </w:p>
    <w:p w:rsidR="004732AC" w:rsidRPr="00B5583B" w:rsidRDefault="004732AC" w:rsidP="00A61854">
      <w:pPr>
        <w:rPr>
          <w:b/>
          <w:sz w:val="24"/>
          <w:szCs w:val="24"/>
        </w:rPr>
      </w:pPr>
      <w:r w:rsidRPr="00B5583B">
        <w:rPr>
          <w:b/>
          <w:sz w:val="24"/>
          <w:szCs w:val="24"/>
        </w:rPr>
        <w:lastRenderedPageBreak/>
        <w:t>INTRODUCTION</w:t>
      </w:r>
    </w:p>
    <w:p w:rsidR="00014D42" w:rsidRDefault="00014D42" w:rsidP="00A61854">
      <w:pPr>
        <w:rPr>
          <w:sz w:val="24"/>
          <w:szCs w:val="24"/>
        </w:rPr>
      </w:pPr>
      <w:r w:rsidRPr="004732AC">
        <w:rPr>
          <w:sz w:val="24"/>
          <w:szCs w:val="24"/>
        </w:rPr>
        <w:t>Chronic kidney disease (CKD) is an important contributor to morbidity and mortality from non-communicable diseases, and this disease should be actively addressed to meet the U</w:t>
      </w:r>
      <w:r w:rsidR="008931FE">
        <w:rPr>
          <w:sz w:val="24"/>
          <w:szCs w:val="24"/>
        </w:rPr>
        <w:t xml:space="preserve">nited </w:t>
      </w:r>
      <w:r w:rsidRPr="004732AC">
        <w:rPr>
          <w:sz w:val="24"/>
          <w:szCs w:val="24"/>
        </w:rPr>
        <w:t>N</w:t>
      </w:r>
      <w:r w:rsidR="008931FE">
        <w:rPr>
          <w:sz w:val="24"/>
          <w:szCs w:val="24"/>
        </w:rPr>
        <w:t>ation</w:t>
      </w:r>
      <w:r w:rsidRPr="004732AC">
        <w:rPr>
          <w:sz w:val="24"/>
          <w:szCs w:val="24"/>
        </w:rPr>
        <w:t xml:space="preserve">'s </w:t>
      </w:r>
      <w:hyperlink r:id="rId12" w:tgtFrame="_blank" w:history="1">
        <w:r w:rsidRPr="004732AC">
          <w:rPr>
            <w:rStyle w:val="Hyperlink"/>
            <w:color w:val="auto"/>
            <w:sz w:val="24"/>
            <w:szCs w:val="24"/>
            <w:u w:val="none"/>
          </w:rPr>
          <w:t>SustainableDevelopmentGoal</w:t>
        </w:r>
      </w:hyperlink>
      <w:r w:rsidRPr="004732AC">
        <w:rPr>
          <w:sz w:val="24"/>
          <w:szCs w:val="24"/>
        </w:rPr>
        <w:t xml:space="preserve"> target</w:t>
      </w:r>
      <w:r w:rsidR="008931FE">
        <w:rPr>
          <w:sz w:val="24"/>
          <w:szCs w:val="24"/>
        </w:rPr>
        <w:t>. This was</w:t>
      </w:r>
      <w:r w:rsidRPr="004732AC">
        <w:rPr>
          <w:sz w:val="24"/>
          <w:szCs w:val="24"/>
        </w:rPr>
        <w:t xml:space="preserve"> to reduce premature mortality from non-communicable diseases by a third by 2030</w:t>
      </w:r>
      <w:r w:rsidRPr="004732AC">
        <w:rPr>
          <w:sz w:val="24"/>
          <w:szCs w:val="24"/>
          <w:vertAlign w:val="superscript"/>
        </w:rPr>
        <w:t>1</w:t>
      </w:r>
      <w:r w:rsidRPr="004732AC">
        <w:rPr>
          <w:sz w:val="24"/>
          <w:szCs w:val="24"/>
        </w:rPr>
        <w:t>. Worldwide, CKDis a public health problem that is associated with adverse outcomes of kidney failure, diseases of the cardiovascular system and untimely death</w:t>
      </w:r>
      <w:r w:rsidRPr="004732AC">
        <w:rPr>
          <w:sz w:val="24"/>
          <w:szCs w:val="24"/>
          <w:vertAlign w:val="superscript"/>
        </w:rPr>
        <w:t>2</w:t>
      </w:r>
      <w:r w:rsidRPr="004732AC">
        <w:rPr>
          <w:sz w:val="24"/>
          <w:szCs w:val="24"/>
        </w:rPr>
        <w:t>. The causes of CKD that are most frequent are diabetic nephropathy, hypertens</w:t>
      </w:r>
      <w:r w:rsidR="0070042B">
        <w:rPr>
          <w:sz w:val="24"/>
          <w:szCs w:val="24"/>
        </w:rPr>
        <w:t>ion, </w:t>
      </w:r>
      <w:r w:rsidRPr="004732AC">
        <w:rPr>
          <w:sz w:val="24"/>
          <w:szCs w:val="24"/>
        </w:rPr>
        <w:t xml:space="preserve">glomerulonephritis, </w:t>
      </w:r>
      <w:r w:rsidRPr="004732AC">
        <w:rPr>
          <w:sz w:val="24"/>
          <w:szCs w:val="24"/>
        </w:rPr>
        <w:lastRenderedPageBreak/>
        <w:t xml:space="preserve">pyelonephritis, polycystic kidney disease, obstructive nephropathy and interstitial nephritis. Also, CKD can be the final outcome of untreated acute kidney injury (AKI) that is caused by medicines, infections, toxic substances </w:t>
      </w:r>
      <w:r w:rsidR="007D614C">
        <w:rPr>
          <w:sz w:val="24"/>
          <w:szCs w:val="24"/>
        </w:rPr>
        <w:t xml:space="preserve">and </w:t>
      </w:r>
      <w:r w:rsidRPr="004732AC">
        <w:rPr>
          <w:sz w:val="24"/>
          <w:szCs w:val="24"/>
        </w:rPr>
        <w:t>heavy metals including cadmium, lead, mercury and chromium</w:t>
      </w:r>
      <w:r w:rsidR="00E748DA" w:rsidRPr="0078332A">
        <w:rPr>
          <w:sz w:val="24"/>
          <w:szCs w:val="24"/>
          <w:vertAlign w:val="superscript"/>
        </w:rPr>
        <w:t>3</w:t>
      </w:r>
      <w:r w:rsidR="00E748DA" w:rsidRPr="004732AC">
        <w:rPr>
          <w:sz w:val="24"/>
          <w:szCs w:val="24"/>
        </w:rPr>
        <w:t>. CKD diagnosis is commonly made when the symptoms become worsened, or after chance findings from screening tests (urinary dipstick or blood tests). The best indicator to determine overall kidney function is estimated Glumerular Filtration Rate (eGFR), which is determined either via exogenous markers (egiohexol) or calculated using equations</w:t>
      </w:r>
      <w:r w:rsidR="00E748DA" w:rsidRPr="004732AC">
        <w:rPr>
          <w:sz w:val="24"/>
          <w:szCs w:val="24"/>
          <w:vertAlign w:val="superscript"/>
        </w:rPr>
        <w:t>4</w:t>
      </w:r>
      <w:r w:rsidR="00A478C2" w:rsidRPr="004732AC">
        <w:rPr>
          <w:sz w:val="24"/>
          <w:szCs w:val="24"/>
        </w:rPr>
        <w:t xml:space="preserve">. The primary </w:t>
      </w:r>
      <w:r w:rsidR="00A478C2" w:rsidRPr="004732AC">
        <w:rPr>
          <w:sz w:val="24"/>
          <w:szCs w:val="24"/>
        </w:rPr>
        <w:lastRenderedPageBreak/>
        <w:t>cause of CKD varies by setting, with hypertension and diabetes being the most common causes</w:t>
      </w:r>
      <w:r w:rsidR="00A478C2" w:rsidRPr="004732AC">
        <w:rPr>
          <w:sz w:val="24"/>
          <w:szCs w:val="24"/>
          <w:vertAlign w:val="superscript"/>
        </w:rPr>
        <w:t>5</w:t>
      </w:r>
      <w:r w:rsidR="00A478C2" w:rsidRPr="004732AC">
        <w:rPr>
          <w:sz w:val="24"/>
          <w:szCs w:val="24"/>
        </w:rPr>
        <w:t xml:space="preserve">. </w:t>
      </w:r>
      <w:r w:rsidR="00A478C2" w:rsidRPr="004732AC">
        <w:rPr>
          <w:rStyle w:val="display"/>
          <w:sz w:val="24"/>
          <w:szCs w:val="24"/>
        </w:rPr>
        <w:t>Overall,</w:t>
      </w:r>
      <w:r w:rsidR="00947AC5">
        <w:rPr>
          <w:rStyle w:val="display"/>
          <w:sz w:val="24"/>
          <w:szCs w:val="24"/>
        </w:rPr>
        <w:t xml:space="preserve"> the p</w:t>
      </w:r>
      <w:r w:rsidR="00947AC5" w:rsidRPr="004732AC">
        <w:rPr>
          <w:rStyle w:val="display"/>
          <w:sz w:val="24"/>
          <w:szCs w:val="24"/>
        </w:rPr>
        <w:t>revalence of CKDis high (9·1% of the global population)</w:t>
      </w:r>
      <w:r w:rsidR="00947AC5">
        <w:rPr>
          <w:rStyle w:val="display"/>
          <w:sz w:val="24"/>
          <w:szCs w:val="24"/>
        </w:rPr>
        <w:t xml:space="preserve"> with</w:t>
      </w:r>
      <w:r w:rsidR="00A478C2" w:rsidRPr="004732AC">
        <w:rPr>
          <w:rStyle w:val="display"/>
          <w:sz w:val="24"/>
          <w:szCs w:val="24"/>
        </w:rPr>
        <w:t>CKD and its effect on cardiovascular disease result</w:t>
      </w:r>
      <w:r w:rsidR="00766EFA">
        <w:rPr>
          <w:rStyle w:val="display"/>
          <w:sz w:val="24"/>
          <w:szCs w:val="24"/>
        </w:rPr>
        <w:t>ing</w:t>
      </w:r>
      <w:r w:rsidR="00CA746E">
        <w:rPr>
          <w:rStyle w:val="display"/>
          <w:sz w:val="24"/>
          <w:szCs w:val="24"/>
        </w:rPr>
        <w:t xml:space="preserve"> in 2·6 million deaths and 35·8 million </w:t>
      </w:r>
      <w:r w:rsidR="00A478C2" w:rsidRPr="004732AC">
        <w:rPr>
          <w:rStyle w:val="display"/>
          <w:sz w:val="24"/>
          <w:szCs w:val="24"/>
        </w:rPr>
        <w:t>disabili</w:t>
      </w:r>
      <w:r w:rsidR="00CA746E">
        <w:rPr>
          <w:rStyle w:val="display"/>
          <w:sz w:val="24"/>
          <w:szCs w:val="24"/>
        </w:rPr>
        <w:t xml:space="preserve">ty-adjusted life-years (DALYs), </w:t>
      </w:r>
      <w:r w:rsidR="00A478C2" w:rsidRPr="004732AC">
        <w:rPr>
          <w:rStyle w:val="display"/>
          <w:sz w:val="24"/>
          <w:szCs w:val="24"/>
        </w:rPr>
        <w:t xml:space="preserve">with most DALYs attributable to CKD occurring </w:t>
      </w:r>
      <w:r w:rsidR="0070042B">
        <w:rPr>
          <w:rStyle w:val="display"/>
          <w:sz w:val="24"/>
          <w:szCs w:val="24"/>
        </w:rPr>
        <w:t>in middle </w:t>
      </w:r>
      <w:r w:rsidR="00A478C2" w:rsidRPr="004732AC">
        <w:rPr>
          <w:rStyle w:val="display"/>
          <w:sz w:val="24"/>
          <w:szCs w:val="24"/>
        </w:rPr>
        <w:t>and</w:t>
      </w:r>
      <w:r w:rsidR="0070042B">
        <w:rPr>
          <w:rStyle w:val="display"/>
          <w:sz w:val="24"/>
          <w:szCs w:val="24"/>
        </w:rPr>
        <w:t> </w:t>
      </w:r>
      <w:r w:rsidR="00A478C2" w:rsidRPr="004732AC">
        <w:rPr>
          <w:rStyle w:val="display"/>
          <w:sz w:val="24"/>
          <w:szCs w:val="24"/>
        </w:rPr>
        <w:t>low-middle</w:t>
      </w:r>
      <w:r w:rsidR="0070042B">
        <w:rPr>
          <w:rStyle w:val="display"/>
          <w:sz w:val="24"/>
          <w:szCs w:val="24"/>
        </w:rPr>
        <w:t> </w:t>
      </w:r>
      <w:r w:rsidR="00A478C2" w:rsidRPr="004732AC">
        <w:rPr>
          <w:rStyle w:val="display"/>
          <w:sz w:val="24"/>
          <w:szCs w:val="24"/>
        </w:rPr>
        <w:t>Socio-demographic Index (SDI) quintiles. Importantly, CKD has continued to rise in rank among leading causes of death over the 27-year period studied, because of ageing and an increasing burden of risk factors for CKD (including diabetes and hypertension) that, together, contributed to more than half the deaths from CKD in 2017</w:t>
      </w:r>
      <w:r w:rsidR="00A478C2" w:rsidRPr="004732AC">
        <w:rPr>
          <w:rStyle w:val="display"/>
          <w:sz w:val="24"/>
          <w:szCs w:val="24"/>
          <w:vertAlign w:val="superscript"/>
        </w:rPr>
        <w:t>6</w:t>
      </w:r>
      <w:r w:rsidR="00A478C2" w:rsidRPr="004732AC">
        <w:rPr>
          <w:rStyle w:val="display"/>
          <w:sz w:val="24"/>
          <w:szCs w:val="24"/>
        </w:rPr>
        <w:t xml:space="preserve">. </w:t>
      </w:r>
      <w:r w:rsidR="00A478C2" w:rsidRPr="004732AC">
        <w:rPr>
          <w:sz w:val="24"/>
          <w:szCs w:val="24"/>
        </w:rPr>
        <w:t>CKD is associated with an increased risk for cardiovascular disease mortality and is a risk multiplier in patients with hypertension and diabetes</w:t>
      </w:r>
      <w:r w:rsidR="00A478C2" w:rsidRPr="004732AC">
        <w:rPr>
          <w:sz w:val="24"/>
          <w:szCs w:val="24"/>
          <w:vertAlign w:val="superscript"/>
        </w:rPr>
        <w:t>7-9</w:t>
      </w:r>
      <w:r w:rsidR="00077BED" w:rsidRPr="004732AC">
        <w:rPr>
          <w:sz w:val="24"/>
          <w:szCs w:val="24"/>
        </w:rPr>
        <w:t>. The prevalence of CKD is also increasing at a more rapid rate in developing countries. These differences between the developed and the developing countries are due to the fact that the burden of CKD is moving away from communicable diseases and toward chronic NCDs in the developed countries of the world. However, in developing countries, there is a double burden of communicable diseases and NCDs. The prevalence of some diseases such as obesity, hypertension, and diabetes mellitus has increased in the developing countries of the world such as Nigeria due to many factors</w:t>
      </w:r>
      <w:r w:rsidR="00077BED" w:rsidRPr="004732AC">
        <w:rPr>
          <w:sz w:val="24"/>
          <w:szCs w:val="24"/>
          <w:vertAlign w:val="superscript"/>
        </w:rPr>
        <w:t>10-12</w:t>
      </w:r>
      <w:r w:rsidR="00077BED" w:rsidRPr="004732AC">
        <w:rPr>
          <w:sz w:val="24"/>
          <w:szCs w:val="24"/>
        </w:rPr>
        <w:t>. CKD has a huge financial burden on families of subjects with the medical condition in Nigeria</w:t>
      </w:r>
      <w:r w:rsidR="00077BED" w:rsidRPr="004732AC">
        <w:rPr>
          <w:sz w:val="24"/>
          <w:szCs w:val="24"/>
          <w:vertAlign w:val="superscript"/>
        </w:rPr>
        <w:t>13-14</w:t>
      </w:r>
      <w:r w:rsidR="00077BED" w:rsidRPr="004732AC">
        <w:rPr>
          <w:sz w:val="24"/>
          <w:szCs w:val="24"/>
        </w:rPr>
        <w:t xml:space="preserve">. </w:t>
      </w:r>
      <w:r w:rsidR="00225820">
        <w:rPr>
          <w:sz w:val="24"/>
          <w:szCs w:val="24"/>
        </w:rPr>
        <w:t xml:space="preserve"> Based on the aforementioned and </w:t>
      </w:r>
      <w:r w:rsidR="00225820" w:rsidRPr="004732AC">
        <w:rPr>
          <w:sz w:val="24"/>
          <w:szCs w:val="24"/>
        </w:rPr>
        <w:t xml:space="preserve">paucity of data on the prevalence of CKD </w:t>
      </w:r>
      <w:r w:rsidR="00225820">
        <w:rPr>
          <w:sz w:val="24"/>
          <w:szCs w:val="24"/>
        </w:rPr>
        <w:t xml:space="preserve">in Kwara State. Hence,  there is need to conduct a study on the prevalence of CKD </w:t>
      </w:r>
      <w:r w:rsidR="008E06A7">
        <w:rPr>
          <w:sz w:val="24"/>
          <w:szCs w:val="24"/>
        </w:rPr>
        <w:t xml:space="preserve">among </w:t>
      </w:r>
      <w:r w:rsidR="00077BED" w:rsidRPr="004732AC">
        <w:rPr>
          <w:sz w:val="24"/>
          <w:szCs w:val="24"/>
        </w:rPr>
        <w:t>patients with</w:t>
      </w:r>
      <w:r w:rsidR="004732AC" w:rsidRPr="004732AC">
        <w:rPr>
          <w:sz w:val="24"/>
          <w:szCs w:val="24"/>
        </w:rPr>
        <w:t xml:space="preserve"> type 2 diabetes mellitus in </w:t>
      </w:r>
      <w:r w:rsidR="00225820">
        <w:rPr>
          <w:sz w:val="24"/>
          <w:szCs w:val="24"/>
        </w:rPr>
        <w:t xml:space="preserve">Ilorin, Kwara State, </w:t>
      </w:r>
      <w:r w:rsidR="004732AC" w:rsidRPr="004732AC">
        <w:rPr>
          <w:sz w:val="24"/>
          <w:szCs w:val="24"/>
        </w:rPr>
        <w:t>Nigeria.</w:t>
      </w:r>
    </w:p>
    <w:p w:rsidR="00BA13E0" w:rsidRDefault="00BA13E0" w:rsidP="00A55D5B">
      <w:pPr>
        <w:rPr>
          <w:b/>
          <w:sz w:val="24"/>
          <w:szCs w:val="24"/>
        </w:rPr>
      </w:pPr>
    </w:p>
    <w:p w:rsidR="004732AC" w:rsidRPr="00596777" w:rsidRDefault="00671B5E" w:rsidP="00A61854">
      <w:pPr>
        <w:rPr>
          <w:b/>
          <w:sz w:val="24"/>
          <w:szCs w:val="24"/>
        </w:rPr>
      </w:pPr>
      <w:r>
        <w:rPr>
          <w:b/>
          <w:sz w:val="24"/>
          <w:szCs w:val="24"/>
        </w:rPr>
        <w:t>METHOD</w:t>
      </w:r>
    </w:p>
    <w:p w:rsidR="004732AC" w:rsidRPr="00596777" w:rsidRDefault="004732AC" w:rsidP="00A61854">
      <w:pPr>
        <w:rPr>
          <w:b/>
          <w:sz w:val="24"/>
          <w:szCs w:val="24"/>
        </w:rPr>
      </w:pPr>
      <w:r w:rsidRPr="00596777">
        <w:rPr>
          <w:b/>
          <w:sz w:val="24"/>
          <w:szCs w:val="24"/>
        </w:rPr>
        <w:t>Study design</w:t>
      </w:r>
    </w:p>
    <w:p w:rsidR="004732AC" w:rsidRDefault="004732AC" w:rsidP="00A61854">
      <w:pPr>
        <w:rPr>
          <w:sz w:val="24"/>
          <w:szCs w:val="24"/>
        </w:rPr>
      </w:pPr>
      <w:r w:rsidRPr="00596777">
        <w:rPr>
          <w:sz w:val="24"/>
          <w:szCs w:val="24"/>
        </w:rPr>
        <w:t xml:space="preserve">This study is a prospective cross sectional study among </w:t>
      </w:r>
      <w:r>
        <w:rPr>
          <w:sz w:val="24"/>
          <w:szCs w:val="24"/>
        </w:rPr>
        <w:t>out-</w:t>
      </w:r>
      <w:r w:rsidRPr="00596777">
        <w:rPr>
          <w:sz w:val="24"/>
          <w:szCs w:val="24"/>
        </w:rPr>
        <w:t>patients with</w:t>
      </w:r>
      <w:r>
        <w:rPr>
          <w:sz w:val="24"/>
          <w:szCs w:val="24"/>
        </w:rPr>
        <w:t xml:space="preserve"> Diabetes </w:t>
      </w:r>
      <w:r>
        <w:rPr>
          <w:sz w:val="24"/>
          <w:szCs w:val="24"/>
        </w:rPr>
        <w:lastRenderedPageBreak/>
        <w:t>mellitus</w:t>
      </w:r>
      <w:r w:rsidR="007B4B5C">
        <w:rPr>
          <w:sz w:val="24"/>
          <w:szCs w:val="24"/>
        </w:rPr>
        <w:t>.</w:t>
      </w:r>
    </w:p>
    <w:p w:rsidR="004732AC" w:rsidRDefault="004732AC" w:rsidP="00A61854">
      <w:pPr>
        <w:rPr>
          <w:b/>
          <w:sz w:val="24"/>
          <w:szCs w:val="24"/>
        </w:rPr>
      </w:pPr>
      <w:r w:rsidRPr="00596777">
        <w:rPr>
          <w:b/>
          <w:sz w:val="24"/>
          <w:szCs w:val="24"/>
        </w:rPr>
        <w:t>Study site description</w:t>
      </w:r>
    </w:p>
    <w:p w:rsidR="004732AC" w:rsidRDefault="004732AC" w:rsidP="00A61854">
      <w:pPr>
        <w:rPr>
          <w:sz w:val="24"/>
          <w:szCs w:val="24"/>
        </w:rPr>
      </w:pPr>
      <w:r>
        <w:rPr>
          <w:sz w:val="24"/>
          <w:szCs w:val="24"/>
        </w:rPr>
        <w:t>The study was conducted at G</w:t>
      </w:r>
      <w:r w:rsidR="008E06A7">
        <w:rPr>
          <w:sz w:val="24"/>
          <w:szCs w:val="24"/>
        </w:rPr>
        <w:t xml:space="preserve">eneral </w:t>
      </w:r>
      <w:r>
        <w:rPr>
          <w:sz w:val="24"/>
          <w:szCs w:val="24"/>
        </w:rPr>
        <w:t>O</w:t>
      </w:r>
      <w:r w:rsidR="008E06A7">
        <w:rPr>
          <w:sz w:val="24"/>
          <w:szCs w:val="24"/>
        </w:rPr>
        <w:t>ut</w:t>
      </w:r>
      <w:r>
        <w:rPr>
          <w:sz w:val="24"/>
          <w:szCs w:val="24"/>
        </w:rPr>
        <w:t>P</w:t>
      </w:r>
      <w:r w:rsidR="008E06A7">
        <w:rPr>
          <w:sz w:val="24"/>
          <w:szCs w:val="24"/>
        </w:rPr>
        <w:t xml:space="preserve">atients </w:t>
      </w:r>
      <w:r>
        <w:rPr>
          <w:sz w:val="24"/>
          <w:szCs w:val="24"/>
        </w:rPr>
        <w:t>D</w:t>
      </w:r>
      <w:r w:rsidR="008E06A7">
        <w:rPr>
          <w:sz w:val="24"/>
          <w:szCs w:val="24"/>
        </w:rPr>
        <w:t>epartment</w:t>
      </w:r>
      <w:r w:rsidR="007B4B5C">
        <w:rPr>
          <w:sz w:val="24"/>
          <w:szCs w:val="24"/>
        </w:rPr>
        <w:t xml:space="preserve">(GOPD) </w:t>
      </w:r>
      <w:r>
        <w:rPr>
          <w:sz w:val="24"/>
          <w:szCs w:val="24"/>
        </w:rPr>
        <w:t>clinic, General Hospital, Ilorin, Kwara State. General Hospital is located along college of education road, opposite Queen Elizabeth School, Ilorin.  Ilorin is the state cap</w:t>
      </w:r>
      <w:r w:rsidR="007B4B5C">
        <w:rPr>
          <w:sz w:val="24"/>
          <w:szCs w:val="24"/>
        </w:rPr>
        <w:t>ital of Kwara in North-C</w:t>
      </w:r>
      <w:r>
        <w:rPr>
          <w:sz w:val="24"/>
          <w:szCs w:val="24"/>
        </w:rPr>
        <w:t>entral, Nigeria. The newly remodeled general hospital is a 500-bedded hospital that was commissioned on the 10</w:t>
      </w:r>
      <w:r>
        <w:rPr>
          <w:sz w:val="24"/>
          <w:szCs w:val="24"/>
          <w:vertAlign w:val="superscript"/>
        </w:rPr>
        <w:t>th</w:t>
      </w:r>
      <w:r>
        <w:rPr>
          <w:sz w:val="24"/>
          <w:szCs w:val="24"/>
        </w:rPr>
        <w:t xml:space="preserve"> of June, 2014. Its mandate is to provide primary, secondary and tertiary healthcare services. </w:t>
      </w:r>
    </w:p>
    <w:p w:rsidR="004732AC" w:rsidRDefault="004732AC" w:rsidP="00A61854">
      <w:pPr>
        <w:rPr>
          <w:b/>
          <w:sz w:val="24"/>
          <w:szCs w:val="24"/>
        </w:rPr>
      </w:pPr>
      <w:r w:rsidRPr="00596777">
        <w:rPr>
          <w:b/>
          <w:sz w:val="24"/>
          <w:szCs w:val="24"/>
        </w:rPr>
        <w:t>Study population:</w:t>
      </w:r>
    </w:p>
    <w:p w:rsidR="004732AC" w:rsidRDefault="004732AC" w:rsidP="00A61854">
      <w:pPr>
        <w:rPr>
          <w:sz w:val="24"/>
          <w:szCs w:val="24"/>
        </w:rPr>
      </w:pPr>
      <w:r w:rsidRPr="00596777">
        <w:rPr>
          <w:sz w:val="24"/>
          <w:szCs w:val="24"/>
        </w:rPr>
        <w:t xml:space="preserve">Subjects were patients with </w:t>
      </w:r>
      <w:r>
        <w:rPr>
          <w:sz w:val="24"/>
          <w:szCs w:val="24"/>
        </w:rPr>
        <w:t>diabetes mellitus attend</w:t>
      </w:r>
      <w:r w:rsidR="0093445B">
        <w:rPr>
          <w:sz w:val="24"/>
          <w:szCs w:val="24"/>
        </w:rPr>
        <w:t xml:space="preserve">ing </w:t>
      </w:r>
      <w:r w:rsidR="00437F1E">
        <w:rPr>
          <w:sz w:val="24"/>
          <w:szCs w:val="24"/>
        </w:rPr>
        <w:t>GOPD.</w:t>
      </w:r>
    </w:p>
    <w:p w:rsidR="004732AC" w:rsidRDefault="004732AC" w:rsidP="00A61854">
      <w:pPr>
        <w:pStyle w:val="Heading3"/>
        <w:rPr>
          <w:color w:val="auto"/>
          <w:sz w:val="24"/>
          <w:szCs w:val="24"/>
        </w:rPr>
      </w:pPr>
      <w:r>
        <w:rPr>
          <w:color w:val="auto"/>
          <w:sz w:val="24"/>
          <w:szCs w:val="24"/>
        </w:rPr>
        <w:t>Inclusion Criteria</w:t>
      </w:r>
    </w:p>
    <w:p w:rsidR="004732AC" w:rsidRDefault="004732AC" w:rsidP="00A61854">
      <w:pPr>
        <w:pStyle w:val="ListParagraph"/>
        <w:numPr>
          <w:ilvl w:val="0"/>
          <w:numId w:val="4"/>
        </w:numPr>
        <w:rPr>
          <w:sz w:val="24"/>
          <w:szCs w:val="24"/>
        </w:rPr>
      </w:pPr>
      <w:r>
        <w:rPr>
          <w:sz w:val="24"/>
          <w:szCs w:val="24"/>
        </w:rPr>
        <w:t>Type 2 DM patients</w:t>
      </w:r>
      <w:r w:rsidR="008E06A7">
        <w:rPr>
          <w:sz w:val="24"/>
          <w:szCs w:val="24"/>
        </w:rPr>
        <w:t>.</w:t>
      </w:r>
    </w:p>
    <w:p w:rsidR="004732AC" w:rsidRPr="00C86224" w:rsidRDefault="004732AC" w:rsidP="00A61854">
      <w:pPr>
        <w:pStyle w:val="ListParagraph"/>
        <w:numPr>
          <w:ilvl w:val="0"/>
          <w:numId w:val="4"/>
        </w:numPr>
        <w:rPr>
          <w:sz w:val="24"/>
          <w:szCs w:val="24"/>
        </w:rPr>
      </w:pPr>
      <w:r>
        <w:rPr>
          <w:sz w:val="24"/>
          <w:szCs w:val="24"/>
        </w:rPr>
        <w:t>Male</w:t>
      </w:r>
      <w:r w:rsidR="008E06A7">
        <w:rPr>
          <w:sz w:val="24"/>
          <w:szCs w:val="24"/>
        </w:rPr>
        <w:t xml:space="preserve"> and </w:t>
      </w:r>
      <w:r>
        <w:rPr>
          <w:sz w:val="24"/>
          <w:szCs w:val="24"/>
        </w:rPr>
        <w:t xml:space="preserve">female </w:t>
      </w:r>
      <w:r w:rsidR="008E06A7" w:rsidRPr="00C86224">
        <w:rPr>
          <w:sz w:val="24"/>
          <w:szCs w:val="24"/>
        </w:rPr>
        <w:t>patients</w:t>
      </w:r>
      <w:r w:rsidRPr="00C86224">
        <w:rPr>
          <w:sz w:val="24"/>
          <w:szCs w:val="24"/>
        </w:rPr>
        <w:t>above 18 years of age</w:t>
      </w:r>
      <w:r w:rsidR="008E06A7" w:rsidRPr="00C86224">
        <w:rPr>
          <w:sz w:val="24"/>
          <w:szCs w:val="24"/>
        </w:rPr>
        <w:t>.</w:t>
      </w:r>
    </w:p>
    <w:p w:rsidR="004732AC" w:rsidRDefault="008E06A7" w:rsidP="00A61854">
      <w:pPr>
        <w:pStyle w:val="ListParagraph"/>
        <w:numPr>
          <w:ilvl w:val="0"/>
          <w:numId w:val="4"/>
        </w:numPr>
        <w:rPr>
          <w:sz w:val="24"/>
          <w:szCs w:val="24"/>
        </w:rPr>
      </w:pPr>
      <w:r>
        <w:rPr>
          <w:sz w:val="24"/>
          <w:szCs w:val="24"/>
        </w:rPr>
        <w:t>Patients with diabet</w:t>
      </w:r>
      <w:r w:rsidR="00FB3D42">
        <w:rPr>
          <w:sz w:val="24"/>
          <w:szCs w:val="24"/>
        </w:rPr>
        <w:t>es mellitus and hypertension co</w:t>
      </w:r>
      <w:r>
        <w:rPr>
          <w:sz w:val="24"/>
          <w:szCs w:val="24"/>
        </w:rPr>
        <w:t>mo</w:t>
      </w:r>
      <w:r w:rsidR="00FB3D42">
        <w:rPr>
          <w:sz w:val="24"/>
          <w:szCs w:val="24"/>
        </w:rPr>
        <w:t>r</w:t>
      </w:r>
      <w:r>
        <w:rPr>
          <w:sz w:val="24"/>
          <w:szCs w:val="24"/>
        </w:rPr>
        <w:t>bidities</w:t>
      </w:r>
      <w:r w:rsidR="004732AC">
        <w:rPr>
          <w:sz w:val="24"/>
          <w:szCs w:val="24"/>
        </w:rPr>
        <w:t xml:space="preserve"> or patients with not more than 3 comorbidities. </w:t>
      </w:r>
    </w:p>
    <w:p w:rsidR="004732AC" w:rsidRDefault="004732AC" w:rsidP="00A61854">
      <w:pPr>
        <w:pStyle w:val="Heading3"/>
        <w:rPr>
          <w:color w:val="auto"/>
          <w:sz w:val="24"/>
          <w:szCs w:val="24"/>
        </w:rPr>
      </w:pPr>
      <w:r>
        <w:rPr>
          <w:color w:val="auto"/>
          <w:sz w:val="24"/>
          <w:szCs w:val="24"/>
        </w:rPr>
        <w:t>Exclusion Criteria</w:t>
      </w:r>
    </w:p>
    <w:p w:rsidR="004732AC" w:rsidRDefault="004732AC" w:rsidP="00A61854">
      <w:pPr>
        <w:pStyle w:val="ListParagraph"/>
        <w:numPr>
          <w:ilvl w:val="0"/>
          <w:numId w:val="5"/>
        </w:numPr>
        <w:rPr>
          <w:sz w:val="24"/>
          <w:szCs w:val="24"/>
        </w:rPr>
      </w:pPr>
      <w:r>
        <w:rPr>
          <w:sz w:val="24"/>
          <w:szCs w:val="24"/>
        </w:rPr>
        <w:t>Type 1 DM patients</w:t>
      </w:r>
    </w:p>
    <w:p w:rsidR="004732AC" w:rsidRDefault="004732AC" w:rsidP="00A61854">
      <w:pPr>
        <w:pStyle w:val="ListParagraph"/>
        <w:numPr>
          <w:ilvl w:val="0"/>
          <w:numId w:val="5"/>
        </w:numPr>
        <w:rPr>
          <w:sz w:val="24"/>
          <w:szCs w:val="24"/>
        </w:rPr>
      </w:pPr>
      <w:r>
        <w:rPr>
          <w:sz w:val="24"/>
          <w:szCs w:val="24"/>
        </w:rPr>
        <w:t>&lt;18 years old patients</w:t>
      </w:r>
    </w:p>
    <w:p w:rsidR="004732AC" w:rsidRDefault="004732AC" w:rsidP="00A61854">
      <w:pPr>
        <w:pStyle w:val="ListParagraph"/>
        <w:numPr>
          <w:ilvl w:val="0"/>
          <w:numId w:val="5"/>
        </w:numPr>
        <w:rPr>
          <w:sz w:val="24"/>
          <w:szCs w:val="24"/>
        </w:rPr>
      </w:pPr>
      <w:r>
        <w:rPr>
          <w:sz w:val="24"/>
          <w:szCs w:val="24"/>
        </w:rPr>
        <w:t>Emergency patients</w:t>
      </w:r>
    </w:p>
    <w:p w:rsidR="004732AC" w:rsidRDefault="004732AC" w:rsidP="00A61854">
      <w:pPr>
        <w:pStyle w:val="ListParagraph"/>
        <w:numPr>
          <w:ilvl w:val="0"/>
          <w:numId w:val="5"/>
        </w:numPr>
        <w:rPr>
          <w:sz w:val="24"/>
          <w:szCs w:val="24"/>
        </w:rPr>
      </w:pPr>
      <w:r>
        <w:rPr>
          <w:sz w:val="24"/>
          <w:szCs w:val="24"/>
        </w:rPr>
        <w:t xml:space="preserve">Patients with more than 3 comorbidities </w:t>
      </w:r>
    </w:p>
    <w:p w:rsidR="004732AC" w:rsidRDefault="004732AC" w:rsidP="00A61854">
      <w:pPr>
        <w:pStyle w:val="ListParagraph"/>
        <w:numPr>
          <w:ilvl w:val="0"/>
          <w:numId w:val="5"/>
        </w:numPr>
        <w:rPr>
          <w:sz w:val="24"/>
          <w:szCs w:val="24"/>
        </w:rPr>
      </w:pPr>
      <w:r>
        <w:rPr>
          <w:sz w:val="24"/>
          <w:szCs w:val="24"/>
        </w:rPr>
        <w:t xml:space="preserve">Pregnant women </w:t>
      </w:r>
    </w:p>
    <w:p w:rsidR="002055A8" w:rsidRDefault="002055A8" w:rsidP="00A61854">
      <w:pPr>
        <w:pStyle w:val="ListParagraph"/>
        <w:ind w:left="720"/>
        <w:rPr>
          <w:sz w:val="24"/>
          <w:szCs w:val="24"/>
        </w:rPr>
      </w:pPr>
    </w:p>
    <w:p w:rsidR="004732AC" w:rsidRPr="004732AC" w:rsidRDefault="004732AC" w:rsidP="00A61854">
      <w:pPr>
        <w:ind w:left="360"/>
        <w:rPr>
          <w:b/>
          <w:sz w:val="24"/>
          <w:szCs w:val="24"/>
        </w:rPr>
      </w:pPr>
      <w:r w:rsidRPr="004732AC">
        <w:rPr>
          <w:b/>
          <w:sz w:val="24"/>
          <w:szCs w:val="24"/>
        </w:rPr>
        <w:t>Sampling Technique</w:t>
      </w:r>
    </w:p>
    <w:p w:rsidR="004732AC" w:rsidRDefault="002055A8" w:rsidP="00A61854">
      <w:pPr>
        <w:pStyle w:val="ListParagraph"/>
        <w:ind w:left="720"/>
        <w:rPr>
          <w:sz w:val="24"/>
          <w:szCs w:val="24"/>
        </w:rPr>
      </w:pPr>
      <w:r>
        <w:rPr>
          <w:sz w:val="24"/>
          <w:szCs w:val="24"/>
        </w:rPr>
        <w:t>C</w:t>
      </w:r>
      <w:r w:rsidR="004732AC" w:rsidRPr="004732AC">
        <w:rPr>
          <w:sz w:val="24"/>
          <w:szCs w:val="24"/>
        </w:rPr>
        <w:t>onvenient sampling</w:t>
      </w:r>
      <w:r>
        <w:rPr>
          <w:sz w:val="24"/>
          <w:szCs w:val="24"/>
        </w:rPr>
        <w:t xml:space="preserve"> method was used to enrol</w:t>
      </w:r>
      <w:r w:rsidR="00FB3D42">
        <w:rPr>
          <w:sz w:val="24"/>
          <w:szCs w:val="24"/>
        </w:rPr>
        <w:t>l</w:t>
      </w:r>
      <w:r w:rsidR="004732AC" w:rsidRPr="004732AC">
        <w:rPr>
          <w:sz w:val="24"/>
          <w:szCs w:val="24"/>
        </w:rPr>
        <w:t xml:space="preserve"> eligible patient</w:t>
      </w:r>
      <w:r>
        <w:rPr>
          <w:sz w:val="24"/>
          <w:szCs w:val="24"/>
        </w:rPr>
        <w:t>s</w:t>
      </w:r>
      <w:r w:rsidR="004732AC" w:rsidRPr="004732AC">
        <w:rPr>
          <w:sz w:val="24"/>
          <w:szCs w:val="24"/>
        </w:rPr>
        <w:t>who consented to p</w:t>
      </w:r>
      <w:r w:rsidR="004732AC">
        <w:rPr>
          <w:sz w:val="24"/>
          <w:szCs w:val="24"/>
        </w:rPr>
        <w:t>articipate</w:t>
      </w:r>
      <w:r>
        <w:rPr>
          <w:sz w:val="24"/>
          <w:szCs w:val="24"/>
        </w:rPr>
        <w:t xml:space="preserve"> in the study.</w:t>
      </w:r>
    </w:p>
    <w:p w:rsidR="004732AC" w:rsidRPr="00596777" w:rsidRDefault="004732AC" w:rsidP="00A61854">
      <w:pPr>
        <w:rPr>
          <w:b/>
          <w:sz w:val="24"/>
          <w:szCs w:val="24"/>
        </w:rPr>
      </w:pPr>
      <w:r w:rsidRPr="00596777">
        <w:rPr>
          <w:b/>
          <w:sz w:val="24"/>
          <w:szCs w:val="24"/>
        </w:rPr>
        <w:t>Sample size determination</w:t>
      </w:r>
    </w:p>
    <w:p w:rsidR="004732AC" w:rsidRDefault="004732AC" w:rsidP="00A61854">
      <w:pPr>
        <w:rPr>
          <w:sz w:val="24"/>
          <w:szCs w:val="24"/>
        </w:rPr>
      </w:pPr>
      <w:r>
        <w:rPr>
          <w:sz w:val="24"/>
          <w:szCs w:val="24"/>
        </w:rPr>
        <w:t>The minimum sample size of T2DM patients attending GOPD</w:t>
      </w:r>
      <w:r w:rsidR="00FB3D42">
        <w:rPr>
          <w:sz w:val="24"/>
          <w:szCs w:val="24"/>
        </w:rPr>
        <w:t>,</w:t>
      </w:r>
      <w:r>
        <w:rPr>
          <w:sz w:val="24"/>
          <w:szCs w:val="24"/>
        </w:rPr>
        <w:t xml:space="preserve"> General Hospital, </w:t>
      </w:r>
      <w:r w:rsidR="00FB3D42">
        <w:rPr>
          <w:sz w:val="24"/>
          <w:szCs w:val="24"/>
        </w:rPr>
        <w:t xml:space="preserve">Ilorin, </w:t>
      </w:r>
      <w:r>
        <w:rPr>
          <w:sz w:val="24"/>
          <w:szCs w:val="24"/>
        </w:rPr>
        <w:t>was determined by using the statistical formula of Fisher as described by Araoye, 2003</w:t>
      </w:r>
      <w:r w:rsidR="001264B3" w:rsidRPr="001264B3">
        <w:rPr>
          <w:sz w:val="24"/>
          <w:szCs w:val="24"/>
          <w:vertAlign w:val="superscript"/>
        </w:rPr>
        <w:t>15</w:t>
      </w:r>
      <w:r w:rsidR="001264B3">
        <w:rPr>
          <w:sz w:val="24"/>
          <w:szCs w:val="24"/>
        </w:rPr>
        <w:t>.</w:t>
      </w:r>
      <w:r>
        <w:rPr>
          <w:sz w:val="24"/>
          <w:szCs w:val="24"/>
        </w:rPr>
        <w:t>Thus, the sample size for this study was 120 subjects.</w:t>
      </w:r>
    </w:p>
    <w:p w:rsidR="0005208D" w:rsidRDefault="0005208D" w:rsidP="00A61854">
      <w:pPr>
        <w:rPr>
          <w:b/>
          <w:sz w:val="24"/>
          <w:szCs w:val="24"/>
        </w:rPr>
      </w:pPr>
      <w:r w:rsidRPr="00596777">
        <w:rPr>
          <w:b/>
          <w:sz w:val="24"/>
          <w:szCs w:val="24"/>
        </w:rPr>
        <w:t>D</w:t>
      </w:r>
      <w:r w:rsidRPr="00D8511D">
        <w:rPr>
          <w:b/>
          <w:sz w:val="24"/>
          <w:szCs w:val="24"/>
        </w:rPr>
        <w:t>ata</w:t>
      </w:r>
      <w:r w:rsidRPr="00596777">
        <w:rPr>
          <w:b/>
          <w:sz w:val="24"/>
          <w:szCs w:val="24"/>
        </w:rPr>
        <w:t xml:space="preserve"> Collection</w:t>
      </w:r>
    </w:p>
    <w:p w:rsidR="0070042B" w:rsidRDefault="0005208D" w:rsidP="00A61854">
      <w:pPr>
        <w:rPr>
          <w:sz w:val="24"/>
          <w:szCs w:val="24"/>
        </w:rPr>
      </w:pPr>
      <w:r>
        <w:rPr>
          <w:sz w:val="24"/>
          <w:szCs w:val="24"/>
        </w:rPr>
        <w:t>Patient recruitment was done at GOPD clinic</w:t>
      </w:r>
      <w:r w:rsidR="00FB3D42">
        <w:rPr>
          <w:sz w:val="24"/>
          <w:szCs w:val="24"/>
        </w:rPr>
        <w:t xml:space="preserve"> in collaboration</w:t>
      </w:r>
      <w:r>
        <w:rPr>
          <w:sz w:val="24"/>
          <w:szCs w:val="24"/>
        </w:rPr>
        <w:t xml:space="preserve"> with</w:t>
      </w:r>
      <w:r w:rsidR="00BF35B3">
        <w:rPr>
          <w:sz w:val="24"/>
          <w:szCs w:val="24"/>
        </w:rPr>
        <w:t xml:space="preserve"> the</w:t>
      </w:r>
      <w:r>
        <w:rPr>
          <w:sz w:val="24"/>
          <w:szCs w:val="24"/>
        </w:rPr>
        <w:t xml:space="preserve"> doctors. All </w:t>
      </w:r>
      <w:r>
        <w:rPr>
          <w:sz w:val="24"/>
          <w:szCs w:val="24"/>
        </w:rPr>
        <w:lastRenderedPageBreak/>
        <w:t>those who met the inclusion criteria were selected. Informed consent was obtained and patients were counselled appropriately. A validated questionnaire was administered to obtain all relevant information on socio-demographics. With the help of a phlebotomist, blood samples were collected in an EDTA vacutainer, after which blood samples were sent to PATHCARE diagnostic center, where creatinine levels were calculated and eGFR values determined.</w:t>
      </w:r>
    </w:p>
    <w:p w:rsidR="0005208D" w:rsidRDefault="0005208D" w:rsidP="00A61854">
      <w:pPr>
        <w:rPr>
          <w:sz w:val="24"/>
          <w:szCs w:val="24"/>
        </w:rPr>
      </w:pPr>
    </w:p>
    <w:p w:rsidR="0005208D" w:rsidRDefault="0005208D" w:rsidP="00A61854">
      <w:pPr>
        <w:rPr>
          <w:b/>
          <w:sz w:val="24"/>
          <w:szCs w:val="24"/>
        </w:rPr>
      </w:pPr>
      <w:r w:rsidRPr="00596777">
        <w:rPr>
          <w:b/>
          <w:sz w:val="24"/>
          <w:szCs w:val="24"/>
        </w:rPr>
        <w:t>Data analysis</w:t>
      </w:r>
    </w:p>
    <w:p w:rsidR="0005208D" w:rsidRDefault="00BF35B3" w:rsidP="00A61854">
      <w:pPr>
        <w:rPr>
          <w:sz w:val="24"/>
          <w:szCs w:val="24"/>
        </w:rPr>
      </w:pPr>
      <w:r>
        <w:rPr>
          <w:sz w:val="24"/>
          <w:szCs w:val="24"/>
        </w:rPr>
        <w:t xml:space="preserve">Descriptive analysis was used </w:t>
      </w:r>
      <w:r w:rsidR="00EE0BEE">
        <w:rPr>
          <w:sz w:val="24"/>
          <w:szCs w:val="24"/>
        </w:rPr>
        <w:t>f</w:t>
      </w:r>
      <w:r w:rsidR="0005208D">
        <w:rPr>
          <w:sz w:val="24"/>
          <w:szCs w:val="24"/>
        </w:rPr>
        <w:t xml:space="preserve">or continuous </w:t>
      </w:r>
      <w:r w:rsidR="00FB3D42">
        <w:rPr>
          <w:sz w:val="24"/>
          <w:szCs w:val="24"/>
        </w:rPr>
        <w:t xml:space="preserve">variables </w:t>
      </w:r>
      <w:r w:rsidR="0005208D">
        <w:rPr>
          <w:sz w:val="24"/>
          <w:szCs w:val="24"/>
        </w:rPr>
        <w:t>such as age</w:t>
      </w:r>
      <w:r w:rsidR="00FB3D42">
        <w:rPr>
          <w:sz w:val="24"/>
          <w:szCs w:val="24"/>
        </w:rPr>
        <w:t xml:space="preserve">. </w:t>
      </w:r>
      <w:r w:rsidR="00EE0BEE">
        <w:rPr>
          <w:sz w:val="24"/>
          <w:szCs w:val="24"/>
        </w:rPr>
        <w:t>T</w:t>
      </w:r>
      <w:r w:rsidR="0005208D">
        <w:rPr>
          <w:sz w:val="24"/>
          <w:szCs w:val="24"/>
        </w:rPr>
        <w:t>he mean, median, standard deviation and range</w:t>
      </w:r>
      <w:r w:rsidR="00EE0BEE">
        <w:rPr>
          <w:sz w:val="24"/>
          <w:szCs w:val="24"/>
        </w:rPr>
        <w:t xml:space="preserve"> were</w:t>
      </w:r>
      <w:r w:rsidR="0005208D">
        <w:rPr>
          <w:sz w:val="24"/>
          <w:szCs w:val="24"/>
        </w:rPr>
        <w:t xml:space="preserve"> tabulated. For categorical measurements such as gender; the frequencies were computed. Data was analyzed using the SPSS version 21. P-value &lt; 0.05 was considered as statistically significant. </w:t>
      </w:r>
    </w:p>
    <w:p w:rsidR="0070042B" w:rsidRDefault="0070042B" w:rsidP="00A61854">
      <w:pPr>
        <w:tabs>
          <w:tab w:val="right" w:pos="9026"/>
        </w:tabs>
        <w:rPr>
          <w:rFonts w:eastAsiaTheme="minorEastAsia"/>
          <w:b/>
          <w:sz w:val="24"/>
          <w:szCs w:val="24"/>
        </w:rPr>
      </w:pPr>
    </w:p>
    <w:p w:rsidR="0005208D" w:rsidRDefault="0005208D" w:rsidP="00A61854">
      <w:pPr>
        <w:tabs>
          <w:tab w:val="right" w:pos="9026"/>
        </w:tabs>
        <w:rPr>
          <w:rFonts w:eastAsiaTheme="minorEastAsia"/>
          <w:b/>
          <w:sz w:val="24"/>
          <w:szCs w:val="24"/>
        </w:rPr>
      </w:pPr>
      <w:r>
        <w:rPr>
          <w:rFonts w:eastAsiaTheme="minorEastAsia"/>
          <w:b/>
          <w:sz w:val="24"/>
          <w:szCs w:val="24"/>
        </w:rPr>
        <w:t>Ethical consideration</w:t>
      </w:r>
      <w:r>
        <w:rPr>
          <w:rFonts w:eastAsiaTheme="minorEastAsia"/>
          <w:b/>
          <w:sz w:val="24"/>
          <w:szCs w:val="24"/>
        </w:rPr>
        <w:tab/>
      </w:r>
    </w:p>
    <w:p w:rsidR="0005208D" w:rsidRDefault="0005208D" w:rsidP="00A61854">
      <w:pPr>
        <w:rPr>
          <w:sz w:val="24"/>
          <w:szCs w:val="24"/>
        </w:rPr>
      </w:pPr>
      <w:r>
        <w:rPr>
          <w:sz w:val="24"/>
          <w:szCs w:val="24"/>
        </w:rPr>
        <w:t xml:space="preserve">Ethical approval was obtained from the Ministry of Health and General Hospital, </w:t>
      </w:r>
      <w:r>
        <w:rPr>
          <w:sz w:val="24"/>
          <w:szCs w:val="24"/>
        </w:rPr>
        <w:lastRenderedPageBreak/>
        <w:t>Ilorin. Any significant change(s) that was made to the study, was communicated to the ethical committee as appropriate. Written and oral consents of the patients w</w:t>
      </w:r>
      <w:r w:rsidR="00EE0BEE">
        <w:rPr>
          <w:sz w:val="24"/>
          <w:szCs w:val="24"/>
        </w:rPr>
        <w:t>ere</w:t>
      </w:r>
      <w:r>
        <w:rPr>
          <w:sz w:val="24"/>
          <w:szCs w:val="24"/>
        </w:rPr>
        <w:t xml:space="preserve"> sought before enrolment. </w:t>
      </w:r>
    </w:p>
    <w:p w:rsidR="00FB3D42" w:rsidRDefault="00FB3D42" w:rsidP="00A55D5B">
      <w:pPr>
        <w:rPr>
          <w:b/>
          <w:sz w:val="24"/>
          <w:szCs w:val="24"/>
        </w:rPr>
      </w:pPr>
    </w:p>
    <w:p w:rsidR="007861AC" w:rsidRDefault="007861AC" w:rsidP="00A55D5B">
      <w:pPr>
        <w:rPr>
          <w:b/>
          <w:sz w:val="24"/>
          <w:szCs w:val="24"/>
        </w:rPr>
      </w:pPr>
      <w:r>
        <w:rPr>
          <w:b/>
          <w:sz w:val="24"/>
          <w:szCs w:val="24"/>
        </w:rPr>
        <w:t>RESULTS</w:t>
      </w:r>
    </w:p>
    <w:p w:rsidR="007861AC" w:rsidRDefault="007861AC" w:rsidP="00A61854">
      <w:pPr>
        <w:rPr>
          <w:b/>
          <w:sz w:val="24"/>
          <w:szCs w:val="24"/>
        </w:rPr>
      </w:pPr>
      <w:r w:rsidRPr="00192225">
        <w:rPr>
          <w:b/>
          <w:sz w:val="24"/>
          <w:szCs w:val="24"/>
        </w:rPr>
        <w:t xml:space="preserve">Socio- </w:t>
      </w:r>
      <w:r w:rsidRPr="00D1023E">
        <w:rPr>
          <w:b/>
          <w:sz w:val="24"/>
          <w:szCs w:val="24"/>
        </w:rPr>
        <w:t>Demographic Informat</w:t>
      </w:r>
      <w:r>
        <w:rPr>
          <w:b/>
          <w:sz w:val="24"/>
          <w:szCs w:val="24"/>
        </w:rPr>
        <w:t>ion of Subjects</w:t>
      </w:r>
    </w:p>
    <w:p w:rsidR="007861AC" w:rsidRDefault="007861AC" w:rsidP="00A61854">
      <w:pPr>
        <w:rPr>
          <w:sz w:val="24"/>
          <w:szCs w:val="24"/>
        </w:rPr>
      </w:pPr>
      <w:r>
        <w:rPr>
          <w:sz w:val="24"/>
          <w:szCs w:val="24"/>
        </w:rPr>
        <w:t xml:space="preserve">The mean age of the subjects was 54.7 ±14.701 with the minimum age of 22 years while the maximum age </w:t>
      </w:r>
      <w:r w:rsidR="00FB3D42">
        <w:rPr>
          <w:sz w:val="24"/>
          <w:szCs w:val="24"/>
        </w:rPr>
        <w:t xml:space="preserve">was </w:t>
      </w:r>
      <w:r>
        <w:rPr>
          <w:sz w:val="24"/>
          <w:szCs w:val="24"/>
        </w:rPr>
        <w:t xml:space="preserve">100 years. There were more </w:t>
      </w:r>
      <w:r w:rsidR="00EE0BEE">
        <w:rPr>
          <w:sz w:val="24"/>
          <w:szCs w:val="24"/>
        </w:rPr>
        <w:t>f</w:t>
      </w:r>
      <w:r>
        <w:rPr>
          <w:sz w:val="24"/>
          <w:szCs w:val="24"/>
        </w:rPr>
        <w:t xml:space="preserve">emale subjects 75% while only 25% of the subjects were </w:t>
      </w:r>
      <w:r w:rsidR="00EE0BEE">
        <w:rPr>
          <w:sz w:val="24"/>
          <w:szCs w:val="24"/>
        </w:rPr>
        <w:t>m</w:t>
      </w:r>
      <w:r>
        <w:rPr>
          <w:sz w:val="24"/>
          <w:szCs w:val="24"/>
        </w:rPr>
        <w:t xml:space="preserve">ales. Majority of the subjects (50.8%) are Muslims, while the remaining 49.2%, are Christians. The data obtained reveals that 61.7% of the subjects </w:t>
      </w:r>
      <w:r w:rsidR="00EE0BEE">
        <w:rPr>
          <w:sz w:val="24"/>
          <w:szCs w:val="24"/>
        </w:rPr>
        <w:t xml:space="preserve">were </w:t>
      </w:r>
      <w:r>
        <w:rPr>
          <w:sz w:val="24"/>
          <w:szCs w:val="24"/>
        </w:rPr>
        <w:t>Yoruba</w:t>
      </w:r>
      <w:r w:rsidR="00EE0BEE">
        <w:rPr>
          <w:sz w:val="24"/>
          <w:szCs w:val="24"/>
        </w:rPr>
        <w:t>s</w:t>
      </w:r>
      <w:r>
        <w:rPr>
          <w:sz w:val="24"/>
          <w:szCs w:val="24"/>
        </w:rPr>
        <w:t>, 25% Igbo</w:t>
      </w:r>
      <w:r w:rsidR="00EE0BEE">
        <w:rPr>
          <w:sz w:val="24"/>
          <w:szCs w:val="24"/>
        </w:rPr>
        <w:t>s</w:t>
      </w:r>
      <w:r>
        <w:rPr>
          <w:sz w:val="24"/>
          <w:szCs w:val="24"/>
        </w:rPr>
        <w:t xml:space="preserve"> and only 13.3%</w:t>
      </w:r>
      <w:r w:rsidR="00EE0BEE">
        <w:rPr>
          <w:sz w:val="24"/>
          <w:szCs w:val="24"/>
        </w:rPr>
        <w:t xml:space="preserve"> were</w:t>
      </w:r>
      <w:r>
        <w:rPr>
          <w:sz w:val="24"/>
          <w:szCs w:val="24"/>
        </w:rPr>
        <w:t xml:space="preserve"> Hausa</w:t>
      </w:r>
      <w:r w:rsidR="00EE0BEE">
        <w:rPr>
          <w:sz w:val="24"/>
          <w:szCs w:val="24"/>
        </w:rPr>
        <w:t>s</w:t>
      </w:r>
      <w:r>
        <w:rPr>
          <w:sz w:val="24"/>
          <w:szCs w:val="24"/>
        </w:rPr>
        <w:t xml:space="preserve">. </w:t>
      </w:r>
      <w:r>
        <w:rPr>
          <w:iCs/>
          <w:sz w:val="24"/>
          <w:szCs w:val="24"/>
        </w:rPr>
        <w:t xml:space="preserve">Based on </w:t>
      </w:r>
      <w:r>
        <w:rPr>
          <w:sz w:val="24"/>
          <w:szCs w:val="24"/>
        </w:rPr>
        <w:t>Educational Status</w:t>
      </w:r>
      <w:r w:rsidR="00EE0BEE">
        <w:rPr>
          <w:sz w:val="24"/>
          <w:szCs w:val="24"/>
        </w:rPr>
        <w:t xml:space="preserve">, </w:t>
      </w:r>
      <w:r>
        <w:rPr>
          <w:sz w:val="24"/>
          <w:szCs w:val="24"/>
        </w:rPr>
        <w:t xml:space="preserve">37.5% of the subjects have secondary educational status while 28.3% have </w:t>
      </w:r>
      <w:r w:rsidR="00EE0BEE">
        <w:rPr>
          <w:sz w:val="24"/>
          <w:szCs w:val="24"/>
        </w:rPr>
        <w:t>p</w:t>
      </w:r>
      <w:r>
        <w:rPr>
          <w:sz w:val="24"/>
          <w:szCs w:val="24"/>
        </w:rPr>
        <w:t>rimary</w:t>
      </w:r>
      <w:r w:rsidR="00EE0BEE">
        <w:rPr>
          <w:sz w:val="24"/>
          <w:szCs w:val="24"/>
        </w:rPr>
        <w:t xml:space="preserve"> education</w:t>
      </w:r>
      <w:r>
        <w:rPr>
          <w:sz w:val="24"/>
          <w:szCs w:val="24"/>
        </w:rPr>
        <w:t xml:space="preserve">, 29.2% have the tertiary level and the remaining 6% do not have </w:t>
      </w:r>
      <w:r w:rsidR="00931034">
        <w:rPr>
          <w:sz w:val="24"/>
          <w:szCs w:val="24"/>
        </w:rPr>
        <w:t xml:space="preserve"> formal</w:t>
      </w:r>
      <w:r>
        <w:rPr>
          <w:sz w:val="24"/>
          <w:szCs w:val="24"/>
        </w:rPr>
        <w:t xml:space="preserve"> educational</w:t>
      </w:r>
      <w:r w:rsidR="00931034">
        <w:rPr>
          <w:sz w:val="24"/>
          <w:szCs w:val="24"/>
        </w:rPr>
        <w:t>.</w:t>
      </w:r>
      <w:r>
        <w:rPr>
          <w:sz w:val="24"/>
          <w:szCs w:val="24"/>
        </w:rPr>
        <w:t xml:space="preserve">. </w:t>
      </w:r>
      <w:r w:rsidR="00EE0BEE">
        <w:rPr>
          <w:sz w:val="24"/>
          <w:szCs w:val="24"/>
        </w:rPr>
        <w:t xml:space="preserve">Also, </w:t>
      </w:r>
      <w:r>
        <w:rPr>
          <w:sz w:val="24"/>
          <w:szCs w:val="24"/>
        </w:rPr>
        <w:t>70% are married, 23.3% are single while 6.7% of the subjects are widowed</w:t>
      </w:r>
      <w:r w:rsidR="00931034">
        <w:rPr>
          <w:sz w:val="24"/>
          <w:szCs w:val="24"/>
        </w:rPr>
        <w:t xml:space="preserve"> (Table 1)</w:t>
      </w:r>
      <w:r>
        <w:rPr>
          <w:sz w:val="24"/>
          <w:szCs w:val="24"/>
        </w:rPr>
        <w:t>.</w:t>
      </w:r>
    </w:p>
    <w:p w:rsidR="00F33B35" w:rsidRDefault="00F33B35" w:rsidP="00A61854">
      <w:pPr>
        <w:rPr>
          <w:b/>
          <w:sz w:val="24"/>
          <w:szCs w:val="24"/>
        </w:rPr>
        <w:sectPr w:rsidR="00F33B35" w:rsidSect="00F33B35">
          <w:type w:val="continuous"/>
          <w:pgSz w:w="11906" w:h="16838"/>
          <w:pgMar w:top="1440" w:right="1440" w:bottom="1440" w:left="1440" w:header="708" w:footer="708" w:gutter="0"/>
          <w:cols w:num="2" w:space="708"/>
          <w:docGrid w:linePitch="360"/>
        </w:sectPr>
      </w:pPr>
    </w:p>
    <w:p w:rsidR="003916EA" w:rsidRDefault="003916EA" w:rsidP="00A61854">
      <w:pPr>
        <w:rPr>
          <w:b/>
          <w:sz w:val="24"/>
          <w:szCs w:val="24"/>
        </w:rPr>
      </w:pPr>
    </w:p>
    <w:p w:rsidR="008D0C4D" w:rsidRDefault="008D0C4D" w:rsidP="00A61854">
      <w:pPr>
        <w:rPr>
          <w:b/>
          <w:sz w:val="24"/>
          <w:szCs w:val="24"/>
        </w:rPr>
      </w:pPr>
      <w:r>
        <w:rPr>
          <w:b/>
          <w:sz w:val="24"/>
          <w:szCs w:val="24"/>
        </w:rPr>
        <w:t>Table 1</w:t>
      </w:r>
      <w:r w:rsidR="00931034">
        <w:rPr>
          <w:b/>
          <w:sz w:val="24"/>
          <w:szCs w:val="24"/>
        </w:rPr>
        <w:t>:</w:t>
      </w:r>
      <w:r w:rsidR="005B30A8">
        <w:rPr>
          <w:b/>
          <w:sz w:val="24"/>
          <w:szCs w:val="24"/>
        </w:rPr>
        <w:t xml:space="preserve"> Socio-</w:t>
      </w:r>
      <w:r w:rsidRPr="00D1023E">
        <w:rPr>
          <w:b/>
          <w:sz w:val="24"/>
          <w:szCs w:val="24"/>
        </w:rPr>
        <w:t>Demographic Informat</w:t>
      </w:r>
      <w:r>
        <w:rPr>
          <w:b/>
          <w:sz w:val="24"/>
          <w:szCs w:val="24"/>
        </w:rPr>
        <w:t>ion of</w:t>
      </w:r>
      <w:r w:rsidR="00931034">
        <w:rPr>
          <w:b/>
          <w:sz w:val="24"/>
          <w:szCs w:val="24"/>
        </w:rPr>
        <w:t xml:space="preserve"> the</w:t>
      </w:r>
      <w:r>
        <w:rPr>
          <w:b/>
          <w:sz w:val="24"/>
          <w:szCs w:val="24"/>
        </w:rPr>
        <w:t xml:space="preserve"> Subjects</w:t>
      </w:r>
    </w:p>
    <w:p w:rsidR="008D0C4D" w:rsidRDefault="008D0C4D" w:rsidP="00A61854">
      <w:pPr>
        <w:pBdr>
          <w:bottom w:val="single" w:sz="4" w:space="1" w:color="auto"/>
        </w:pBdr>
        <w:rPr>
          <w:b/>
          <w:sz w:val="24"/>
          <w:szCs w:val="24"/>
        </w:rPr>
      </w:pPr>
    </w:p>
    <w:p w:rsidR="008D0C4D" w:rsidRPr="00A55D5B" w:rsidRDefault="008D0C4D" w:rsidP="00A55D5B">
      <w:pPr>
        <w:pBdr>
          <w:bottom w:val="single" w:sz="4" w:space="1" w:color="auto"/>
        </w:pBdr>
        <w:ind w:left="1440" w:firstLine="720"/>
        <w:rPr>
          <w:b/>
          <w:sz w:val="20"/>
          <w:szCs w:val="24"/>
        </w:rPr>
      </w:pPr>
      <w:r w:rsidRPr="00A55D5B">
        <w:rPr>
          <w:b/>
          <w:sz w:val="20"/>
          <w:szCs w:val="24"/>
        </w:rPr>
        <w:t>N=120</w:t>
      </w:r>
      <w:r w:rsidRPr="00A55D5B">
        <w:rPr>
          <w:b/>
          <w:sz w:val="20"/>
          <w:szCs w:val="24"/>
        </w:rPr>
        <w:tab/>
      </w:r>
      <w:r w:rsidRPr="00A55D5B">
        <w:rPr>
          <w:b/>
          <w:sz w:val="20"/>
          <w:szCs w:val="24"/>
        </w:rPr>
        <w:tab/>
      </w:r>
      <w:r w:rsidRPr="00A55D5B">
        <w:rPr>
          <w:b/>
          <w:sz w:val="20"/>
          <w:szCs w:val="24"/>
        </w:rPr>
        <w:tab/>
        <w:t>Frequency (F)</w:t>
      </w:r>
      <w:r w:rsidRPr="00A55D5B">
        <w:rPr>
          <w:b/>
          <w:sz w:val="20"/>
          <w:szCs w:val="24"/>
        </w:rPr>
        <w:tab/>
        <w:t>Percentage (%)</w:t>
      </w:r>
    </w:p>
    <w:p w:rsidR="008D0C4D" w:rsidRPr="00A55D5B" w:rsidRDefault="009A7357" w:rsidP="00A55D5B">
      <w:pPr>
        <w:rPr>
          <w:b/>
          <w:sz w:val="20"/>
          <w:szCs w:val="24"/>
        </w:rPr>
      </w:pPr>
      <w:r>
        <w:rPr>
          <w:b/>
          <w:sz w:val="20"/>
          <w:szCs w:val="24"/>
        </w:rPr>
        <w:t xml:space="preserve">Age </w:t>
      </w:r>
      <w:r w:rsidR="008D0C4D" w:rsidRPr="00A55D5B">
        <w:rPr>
          <w:b/>
          <w:sz w:val="20"/>
          <w:szCs w:val="24"/>
        </w:rPr>
        <w:t>mean</w:t>
      </w:r>
      <w:r w:rsidR="008D0C4D" w:rsidRPr="00A55D5B">
        <w:rPr>
          <w:b/>
          <w:sz w:val="20"/>
          <w:szCs w:val="24"/>
        </w:rPr>
        <w:tab/>
      </w:r>
      <w:r w:rsidR="008D0C4D" w:rsidRPr="00A55D5B">
        <w:rPr>
          <w:b/>
          <w:sz w:val="20"/>
          <w:szCs w:val="24"/>
        </w:rPr>
        <w:tab/>
      </w:r>
      <w:r w:rsidR="008D0C4D" w:rsidRPr="00A55D5B">
        <w:rPr>
          <w:rFonts w:eastAsia="Times New Roman"/>
          <w:color w:val="000000"/>
          <w:sz w:val="20"/>
          <w:szCs w:val="24"/>
        </w:rPr>
        <w:t>54.70±14.701</w:t>
      </w:r>
      <w:r w:rsidR="008D0C4D" w:rsidRPr="00A55D5B">
        <w:rPr>
          <w:b/>
          <w:sz w:val="20"/>
          <w:szCs w:val="24"/>
        </w:rPr>
        <w:tab/>
      </w:r>
      <w:r w:rsidR="008D0C4D" w:rsidRPr="00A55D5B">
        <w:rPr>
          <w:b/>
          <w:sz w:val="20"/>
          <w:szCs w:val="24"/>
        </w:rPr>
        <w:tab/>
      </w:r>
    </w:p>
    <w:p w:rsidR="008D0C4D" w:rsidRPr="00A55D5B" w:rsidRDefault="008D0C4D" w:rsidP="00A55D5B">
      <w:pPr>
        <w:rPr>
          <w:b/>
          <w:sz w:val="20"/>
          <w:szCs w:val="24"/>
        </w:rPr>
      </w:pPr>
    </w:p>
    <w:p w:rsidR="008D0C4D" w:rsidRPr="00A55D5B" w:rsidRDefault="008D0C4D" w:rsidP="00A55D5B">
      <w:pPr>
        <w:rPr>
          <w:sz w:val="20"/>
          <w:szCs w:val="24"/>
        </w:rPr>
      </w:pPr>
      <w:r w:rsidRPr="00A55D5B">
        <w:rPr>
          <w:b/>
          <w:sz w:val="20"/>
          <w:szCs w:val="24"/>
        </w:rPr>
        <w:t xml:space="preserve">Gender </w:t>
      </w:r>
      <w:r w:rsidRPr="00A55D5B">
        <w:rPr>
          <w:b/>
          <w:sz w:val="20"/>
          <w:szCs w:val="24"/>
        </w:rPr>
        <w:tab/>
      </w:r>
      <w:r w:rsidRPr="00A55D5B">
        <w:rPr>
          <w:b/>
          <w:sz w:val="20"/>
          <w:szCs w:val="24"/>
        </w:rPr>
        <w:tab/>
      </w:r>
      <w:r w:rsidRPr="00A55D5B">
        <w:rPr>
          <w:sz w:val="20"/>
          <w:szCs w:val="24"/>
        </w:rPr>
        <w:t>Male</w:t>
      </w:r>
      <w:r w:rsidRPr="00A55D5B">
        <w:rPr>
          <w:sz w:val="20"/>
          <w:szCs w:val="24"/>
        </w:rPr>
        <w:tab/>
      </w:r>
      <w:r w:rsidRPr="00A55D5B">
        <w:rPr>
          <w:sz w:val="20"/>
          <w:szCs w:val="24"/>
        </w:rPr>
        <w:tab/>
      </w:r>
      <w:r w:rsidRPr="00A55D5B">
        <w:rPr>
          <w:sz w:val="20"/>
          <w:szCs w:val="24"/>
        </w:rPr>
        <w:tab/>
        <w:t>30</w:t>
      </w:r>
      <w:r w:rsidRPr="00A55D5B">
        <w:rPr>
          <w:sz w:val="20"/>
          <w:szCs w:val="24"/>
        </w:rPr>
        <w:tab/>
      </w:r>
      <w:r w:rsidRPr="00A55D5B">
        <w:rPr>
          <w:sz w:val="20"/>
          <w:szCs w:val="24"/>
        </w:rPr>
        <w:tab/>
      </w:r>
      <w:r w:rsidRPr="00A55D5B">
        <w:rPr>
          <w:sz w:val="20"/>
          <w:szCs w:val="24"/>
        </w:rPr>
        <w:tab/>
        <w:t>25</w:t>
      </w:r>
    </w:p>
    <w:p w:rsidR="008D0C4D" w:rsidRPr="00A55D5B" w:rsidRDefault="008D0C4D" w:rsidP="00A55D5B">
      <w:pPr>
        <w:rPr>
          <w:sz w:val="20"/>
          <w:szCs w:val="24"/>
        </w:rPr>
      </w:pPr>
      <w:r w:rsidRPr="00A55D5B">
        <w:rPr>
          <w:sz w:val="20"/>
          <w:szCs w:val="24"/>
        </w:rPr>
        <w:tab/>
      </w:r>
      <w:r w:rsidRPr="00A55D5B">
        <w:rPr>
          <w:sz w:val="20"/>
          <w:szCs w:val="24"/>
        </w:rPr>
        <w:tab/>
      </w:r>
      <w:r w:rsidRPr="00A55D5B">
        <w:rPr>
          <w:sz w:val="20"/>
          <w:szCs w:val="24"/>
        </w:rPr>
        <w:tab/>
        <w:t xml:space="preserve">Female </w:t>
      </w:r>
      <w:r w:rsidRPr="00A55D5B">
        <w:rPr>
          <w:sz w:val="20"/>
          <w:szCs w:val="24"/>
        </w:rPr>
        <w:tab/>
      </w:r>
      <w:r w:rsidRPr="00A55D5B">
        <w:rPr>
          <w:sz w:val="20"/>
          <w:szCs w:val="24"/>
        </w:rPr>
        <w:tab/>
      </w:r>
      <w:r w:rsidRPr="00A55D5B">
        <w:rPr>
          <w:sz w:val="20"/>
          <w:szCs w:val="24"/>
        </w:rPr>
        <w:tab/>
        <w:t>90</w:t>
      </w:r>
      <w:r w:rsidRPr="00A55D5B">
        <w:rPr>
          <w:sz w:val="20"/>
          <w:szCs w:val="24"/>
        </w:rPr>
        <w:tab/>
      </w:r>
      <w:r w:rsidRPr="00A55D5B">
        <w:rPr>
          <w:sz w:val="20"/>
          <w:szCs w:val="24"/>
        </w:rPr>
        <w:tab/>
      </w:r>
      <w:r w:rsidRPr="00A55D5B">
        <w:rPr>
          <w:sz w:val="20"/>
          <w:szCs w:val="24"/>
        </w:rPr>
        <w:tab/>
        <w:t>75</w:t>
      </w:r>
    </w:p>
    <w:p w:rsidR="008D0C4D" w:rsidRPr="008D48E4" w:rsidRDefault="008D0C4D" w:rsidP="00A55D5B">
      <w:pPr>
        <w:rPr>
          <w:b/>
          <w:sz w:val="16"/>
          <w:szCs w:val="24"/>
        </w:rPr>
      </w:pPr>
    </w:p>
    <w:p w:rsidR="008D0C4D" w:rsidRPr="00A55D5B" w:rsidRDefault="008D0C4D" w:rsidP="00A55D5B">
      <w:pPr>
        <w:rPr>
          <w:sz w:val="20"/>
          <w:szCs w:val="24"/>
        </w:rPr>
      </w:pPr>
      <w:r w:rsidRPr="00A55D5B">
        <w:rPr>
          <w:b/>
          <w:sz w:val="20"/>
          <w:szCs w:val="24"/>
        </w:rPr>
        <w:t xml:space="preserve">Religion </w:t>
      </w:r>
      <w:r w:rsidRPr="00A55D5B">
        <w:rPr>
          <w:b/>
          <w:sz w:val="20"/>
          <w:szCs w:val="24"/>
        </w:rPr>
        <w:tab/>
      </w:r>
      <w:r w:rsidRPr="00A55D5B">
        <w:rPr>
          <w:b/>
          <w:sz w:val="20"/>
          <w:szCs w:val="24"/>
        </w:rPr>
        <w:tab/>
      </w:r>
      <w:r w:rsidRPr="00A55D5B">
        <w:rPr>
          <w:sz w:val="20"/>
          <w:szCs w:val="24"/>
        </w:rPr>
        <w:t>Islam</w:t>
      </w:r>
      <w:r w:rsidRPr="00A55D5B">
        <w:rPr>
          <w:sz w:val="20"/>
          <w:szCs w:val="24"/>
        </w:rPr>
        <w:tab/>
      </w:r>
      <w:r w:rsidRPr="00A55D5B">
        <w:rPr>
          <w:sz w:val="20"/>
          <w:szCs w:val="24"/>
        </w:rPr>
        <w:tab/>
      </w:r>
      <w:r w:rsidRPr="00A55D5B">
        <w:rPr>
          <w:sz w:val="20"/>
          <w:szCs w:val="24"/>
        </w:rPr>
        <w:tab/>
        <w:t>61</w:t>
      </w:r>
      <w:r w:rsidRPr="00A55D5B">
        <w:rPr>
          <w:sz w:val="20"/>
          <w:szCs w:val="24"/>
        </w:rPr>
        <w:tab/>
      </w:r>
      <w:r w:rsidRPr="00A55D5B">
        <w:rPr>
          <w:sz w:val="20"/>
          <w:szCs w:val="24"/>
        </w:rPr>
        <w:tab/>
      </w:r>
      <w:r w:rsidRPr="00A55D5B">
        <w:rPr>
          <w:sz w:val="20"/>
          <w:szCs w:val="24"/>
        </w:rPr>
        <w:tab/>
        <w:t>50.8</w:t>
      </w:r>
    </w:p>
    <w:p w:rsidR="008D0C4D" w:rsidRPr="00A55D5B" w:rsidRDefault="008D0C4D" w:rsidP="00A55D5B">
      <w:pPr>
        <w:rPr>
          <w:sz w:val="20"/>
          <w:szCs w:val="24"/>
        </w:rPr>
      </w:pPr>
      <w:r w:rsidRPr="00A55D5B">
        <w:rPr>
          <w:sz w:val="20"/>
          <w:szCs w:val="24"/>
        </w:rPr>
        <w:tab/>
      </w:r>
      <w:r w:rsidRPr="00A55D5B">
        <w:rPr>
          <w:sz w:val="20"/>
          <w:szCs w:val="24"/>
        </w:rPr>
        <w:tab/>
      </w:r>
      <w:r w:rsidRPr="00A55D5B">
        <w:rPr>
          <w:sz w:val="20"/>
          <w:szCs w:val="24"/>
        </w:rPr>
        <w:tab/>
        <w:t>Christianity</w:t>
      </w:r>
      <w:r w:rsidRPr="00A55D5B">
        <w:rPr>
          <w:sz w:val="20"/>
          <w:szCs w:val="24"/>
        </w:rPr>
        <w:tab/>
      </w:r>
      <w:r w:rsidR="009A7357">
        <w:rPr>
          <w:sz w:val="20"/>
          <w:szCs w:val="24"/>
        </w:rPr>
        <w:tab/>
      </w:r>
      <w:r w:rsidRPr="00A55D5B">
        <w:rPr>
          <w:sz w:val="20"/>
          <w:szCs w:val="24"/>
        </w:rPr>
        <w:t>59</w:t>
      </w:r>
      <w:r w:rsidRPr="00A55D5B">
        <w:rPr>
          <w:sz w:val="20"/>
          <w:szCs w:val="24"/>
        </w:rPr>
        <w:tab/>
      </w:r>
      <w:r w:rsidRPr="00A55D5B">
        <w:rPr>
          <w:sz w:val="20"/>
          <w:szCs w:val="24"/>
        </w:rPr>
        <w:tab/>
      </w:r>
      <w:r w:rsidRPr="00A55D5B">
        <w:rPr>
          <w:sz w:val="20"/>
          <w:szCs w:val="24"/>
        </w:rPr>
        <w:tab/>
        <w:t>49.2</w:t>
      </w:r>
    </w:p>
    <w:p w:rsidR="008D0C4D" w:rsidRPr="008D48E4" w:rsidRDefault="008D0C4D" w:rsidP="00A55D5B">
      <w:pPr>
        <w:rPr>
          <w:b/>
          <w:sz w:val="16"/>
          <w:szCs w:val="24"/>
        </w:rPr>
      </w:pPr>
    </w:p>
    <w:p w:rsidR="008D0C4D" w:rsidRPr="00A55D5B" w:rsidRDefault="008D0C4D" w:rsidP="00A55D5B">
      <w:pPr>
        <w:rPr>
          <w:sz w:val="20"/>
          <w:szCs w:val="24"/>
        </w:rPr>
      </w:pPr>
      <w:r w:rsidRPr="00A55D5B">
        <w:rPr>
          <w:b/>
          <w:sz w:val="20"/>
          <w:szCs w:val="24"/>
        </w:rPr>
        <w:t>Tribe</w:t>
      </w:r>
      <w:r w:rsidRPr="00A55D5B">
        <w:rPr>
          <w:b/>
          <w:sz w:val="20"/>
          <w:szCs w:val="24"/>
        </w:rPr>
        <w:tab/>
      </w:r>
      <w:r w:rsidRPr="00A55D5B">
        <w:rPr>
          <w:b/>
          <w:sz w:val="20"/>
          <w:szCs w:val="24"/>
        </w:rPr>
        <w:tab/>
      </w:r>
      <w:r w:rsidRPr="00A55D5B">
        <w:rPr>
          <w:b/>
          <w:sz w:val="20"/>
          <w:szCs w:val="24"/>
        </w:rPr>
        <w:tab/>
      </w:r>
      <w:r w:rsidRPr="00A55D5B">
        <w:rPr>
          <w:sz w:val="20"/>
          <w:szCs w:val="24"/>
        </w:rPr>
        <w:t>Yoruba</w:t>
      </w:r>
      <w:r w:rsidRPr="00A55D5B">
        <w:rPr>
          <w:sz w:val="20"/>
          <w:szCs w:val="24"/>
        </w:rPr>
        <w:tab/>
      </w:r>
      <w:r w:rsidRPr="00A55D5B">
        <w:rPr>
          <w:sz w:val="20"/>
          <w:szCs w:val="24"/>
        </w:rPr>
        <w:tab/>
      </w:r>
      <w:r w:rsidRPr="00A55D5B">
        <w:rPr>
          <w:sz w:val="20"/>
          <w:szCs w:val="24"/>
        </w:rPr>
        <w:tab/>
        <w:t>74</w:t>
      </w:r>
      <w:r w:rsidRPr="00A55D5B">
        <w:rPr>
          <w:sz w:val="20"/>
          <w:szCs w:val="24"/>
        </w:rPr>
        <w:tab/>
      </w:r>
      <w:r w:rsidRPr="00A55D5B">
        <w:rPr>
          <w:sz w:val="20"/>
          <w:szCs w:val="24"/>
        </w:rPr>
        <w:tab/>
      </w:r>
      <w:r w:rsidRPr="00A55D5B">
        <w:rPr>
          <w:sz w:val="20"/>
          <w:szCs w:val="24"/>
        </w:rPr>
        <w:tab/>
      </w:r>
      <w:r w:rsidRPr="00A55D5B">
        <w:rPr>
          <w:rFonts w:eastAsia="Times New Roman"/>
          <w:color w:val="000000"/>
          <w:sz w:val="20"/>
          <w:szCs w:val="24"/>
        </w:rPr>
        <w:t>61.7</w:t>
      </w:r>
    </w:p>
    <w:p w:rsidR="008D0C4D" w:rsidRPr="00A55D5B" w:rsidRDefault="008D0C4D" w:rsidP="00A55D5B">
      <w:pPr>
        <w:rPr>
          <w:sz w:val="20"/>
          <w:szCs w:val="24"/>
        </w:rPr>
      </w:pPr>
      <w:r w:rsidRPr="00A55D5B">
        <w:rPr>
          <w:sz w:val="20"/>
          <w:szCs w:val="24"/>
        </w:rPr>
        <w:tab/>
      </w:r>
      <w:r w:rsidRPr="00A55D5B">
        <w:rPr>
          <w:sz w:val="20"/>
          <w:szCs w:val="24"/>
        </w:rPr>
        <w:tab/>
      </w:r>
      <w:r w:rsidRPr="00A55D5B">
        <w:rPr>
          <w:sz w:val="20"/>
          <w:szCs w:val="24"/>
        </w:rPr>
        <w:tab/>
        <w:t>Igbo</w:t>
      </w:r>
      <w:r w:rsidRPr="00A55D5B">
        <w:rPr>
          <w:sz w:val="20"/>
          <w:szCs w:val="24"/>
        </w:rPr>
        <w:tab/>
      </w:r>
      <w:r w:rsidRPr="00A55D5B">
        <w:rPr>
          <w:sz w:val="20"/>
          <w:szCs w:val="24"/>
        </w:rPr>
        <w:tab/>
      </w:r>
      <w:r w:rsidRPr="00A55D5B">
        <w:rPr>
          <w:sz w:val="20"/>
          <w:szCs w:val="24"/>
        </w:rPr>
        <w:tab/>
        <w:t>30</w:t>
      </w:r>
      <w:r w:rsidRPr="00A55D5B">
        <w:rPr>
          <w:sz w:val="20"/>
          <w:szCs w:val="24"/>
        </w:rPr>
        <w:tab/>
      </w:r>
      <w:r w:rsidRPr="00A55D5B">
        <w:rPr>
          <w:sz w:val="20"/>
          <w:szCs w:val="24"/>
        </w:rPr>
        <w:tab/>
      </w:r>
      <w:r w:rsidRPr="00A55D5B">
        <w:rPr>
          <w:sz w:val="20"/>
          <w:szCs w:val="24"/>
        </w:rPr>
        <w:tab/>
        <w:t>25.0</w:t>
      </w:r>
    </w:p>
    <w:p w:rsidR="008D0C4D" w:rsidRPr="00A55D5B" w:rsidRDefault="008D0C4D" w:rsidP="00A55D5B">
      <w:pPr>
        <w:rPr>
          <w:sz w:val="20"/>
          <w:szCs w:val="24"/>
        </w:rPr>
      </w:pPr>
      <w:r w:rsidRPr="00A55D5B">
        <w:rPr>
          <w:sz w:val="20"/>
          <w:szCs w:val="24"/>
        </w:rPr>
        <w:tab/>
      </w:r>
      <w:r w:rsidRPr="00A55D5B">
        <w:rPr>
          <w:sz w:val="20"/>
          <w:szCs w:val="24"/>
        </w:rPr>
        <w:tab/>
      </w:r>
      <w:r w:rsidRPr="00A55D5B">
        <w:rPr>
          <w:sz w:val="20"/>
          <w:szCs w:val="24"/>
        </w:rPr>
        <w:tab/>
        <w:t>Hausa</w:t>
      </w:r>
      <w:r w:rsidRPr="00A55D5B">
        <w:rPr>
          <w:sz w:val="20"/>
          <w:szCs w:val="24"/>
        </w:rPr>
        <w:tab/>
      </w:r>
      <w:r w:rsidRPr="00A55D5B">
        <w:rPr>
          <w:sz w:val="20"/>
          <w:szCs w:val="24"/>
        </w:rPr>
        <w:tab/>
      </w:r>
      <w:r w:rsidRPr="00A55D5B">
        <w:rPr>
          <w:sz w:val="20"/>
          <w:szCs w:val="24"/>
        </w:rPr>
        <w:tab/>
        <w:t>16</w:t>
      </w:r>
      <w:r w:rsidRPr="00A55D5B">
        <w:rPr>
          <w:sz w:val="20"/>
          <w:szCs w:val="24"/>
        </w:rPr>
        <w:tab/>
      </w:r>
      <w:r w:rsidRPr="00A55D5B">
        <w:rPr>
          <w:sz w:val="20"/>
          <w:szCs w:val="24"/>
        </w:rPr>
        <w:tab/>
      </w:r>
      <w:r w:rsidRPr="00A55D5B">
        <w:rPr>
          <w:sz w:val="20"/>
          <w:szCs w:val="24"/>
        </w:rPr>
        <w:tab/>
        <w:t>13.3</w:t>
      </w:r>
    </w:p>
    <w:p w:rsidR="008D0C4D" w:rsidRPr="008D48E4" w:rsidRDefault="008D0C4D" w:rsidP="00A55D5B">
      <w:pPr>
        <w:rPr>
          <w:b/>
          <w:sz w:val="12"/>
          <w:szCs w:val="24"/>
        </w:rPr>
      </w:pPr>
    </w:p>
    <w:p w:rsidR="008D0C4D" w:rsidRPr="00A55D5B" w:rsidRDefault="008D0C4D" w:rsidP="00A55D5B">
      <w:pPr>
        <w:rPr>
          <w:sz w:val="20"/>
          <w:szCs w:val="24"/>
        </w:rPr>
      </w:pPr>
      <w:r w:rsidRPr="00A55D5B">
        <w:rPr>
          <w:b/>
          <w:sz w:val="20"/>
          <w:szCs w:val="24"/>
        </w:rPr>
        <w:t>Educational status</w:t>
      </w:r>
      <w:r w:rsidRPr="00A55D5B">
        <w:rPr>
          <w:b/>
          <w:sz w:val="20"/>
          <w:szCs w:val="24"/>
        </w:rPr>
        <w:tab/>
      </w:r>
      <w:r w:rsidRPr="00A55D5B">
        <w:rPr>
          <w:sz w:val="20"/>
          <w:szCs w:val="24"/>
        </w:rPr>
        <w:t>Primary</w:t>
      </w:r>
      <w:r w:rsidRPr="00A55D5B">
        <w:rPr>
          <w:sz w:val="20"/>
          <w:szCs w:val="24"/>
        </w:rPr>
        <w:tab/>
      </w:r>
      <w:r w:rsidRPr="00A55D5B">
        <w:rPr>
          <w:sz w:val="20"/>
          <w:szCs w:val="24"/>
        </w:rPr>
        <w:tab/>
      </w:r>
      <w:r w:rsidRPr="00A55D5B">
        <w:rPr>
          <w:sz w:val="20"/>
          <w:szCs w:val="24"/>
        </w:rPr>
        <w:tab/>
      </w:r>
      <w:r w:rsidRPr="00A55D5B">
        <w:rPr>
          <w:rFonts w:eastAsia="Times New Roman"/>
          <w:color w:val="000000"/>
          <w:sz w:val="20"/>
          <w:szCs w:val="24"/>
        </w:rPr>
        <w:t>34</w:t>
      </w:r>
      <w:r w:rsidRPr="00A55D5B">
        <w:rPr>
          <w:rFonts w:eastAsia="Times New Roman"/>
          <w:color w:val="000000"/>
          <w:sz w:val="20"/>
          <w:szCs w:val="24"/>
        </w:rPr>
        <w:tab/>
      </w:r>
      <w:r w:rsidRPr="00A55D5B">
        <w:rPr>
          <w:rFonts w:eastAsia="Times New Roman"/>
          <w:color w:val="000000"/>
          <w:sz w:val="20"/>
          <w:szCs w:val="24"/>
        </w:rPr>
        <w:tab/>
      </w:r>
      <w:r w:rsidRPr="00A55D5B">
        <w:rPr>
          <w:rFonts w:eastAsia="Times New Roman"/>
          <w:color w:val="000000"/>
          <w:sz w:val="20"/>
          <w:szCs w:val="24"/>
        </w:rPr>
        <w:tab/>
        <w:t>28.3</w:t>
      </w:r>
    </w:p>
    <w:p w:rsidR="008D0C4D" w:rsidRPr="00A55D5B" w:rsidRDefault="008D0C4D" w:rsidP="00A55D5B">
      <w:pPr>
        <w:rPr>
          <w:sz w:val="20"/>
          <w:szCs w:val="24"/>
        </w:rPr>
      </w:pPr>
      <w:r w:rsidRPr="00A55D5B">
        <w:rPr>
          <w:sz w:val="20"/>
          <w:szCs w:val="24"/>
        </w:rPr>
        <w:tab/>
      </w:r>
      <w:r w:rsidRPr="00A55D5B">
        <w:rPr>
          <w:sz w:val="20"/>
          <w:szCs w:val="24"/>
        </w:rPr>
        <w:tab/>
      </w:r>
      <w:r w:rsidRPr="00A55D5B">
        <w:rPr>
          <w:sz w:val="20"/>
          <w:szCs w:val="24"/>
        </w:rPr>
        <w:tab/>
      </w:r>
      <w:r w:rsidR="009A7357">
        <w:rPr>
          <w:sz w:val="20"/>
          <w:szCs w:val="24"/>
        </w:rPr>
        <w:t>Secondary</w:t>
      </w:r>
      <w:r w:rsidR="009A7357">
        <w:rPr>
          <w:sz w:val="20"/>
          <w:szCs w:val="24"/>
        </w:rPr>
        <w:tab/>
      </w:r>
      <w:r w:rsidR="009A7357">
        <w:rPr>
          <w:sz w:val="20"/>
          <w:szCs w:val="24"/>
        </w:rPr>
        <w:tab/>
      </w:r>
      <w:r w:rsidRPr="00A55D5B">
        <w:rPr>
          <w:sz w:val="20"/>
          <w:szCs w:val="24"/>
        </w:rPr>
        <w:t>45</w:t>
      </w:r>
      <w:r w:rsidRPr="00A55D5B">
        <w:rPr>
          <w:sz w:val="20"/>
          <w:szCs w:val="24"/>
        </w:rPr>
        <w:tab/>
      </w:r>
      <w:r w:rsidRPr="00A55D5B">
        <w:rPr>
          <w:sz w:val="20"/>
          <w:szCs w:val="24"/>
        </w:rPr>
        <w:tab/>
      </w:r>
      <w:r w:rsidRPr="00A55D5B">
        <w:rPr>
          <w:sz w:val="20"/>
          <w:szCs w:val="24"/>
        </w:rPr>
        <w:tab/>
        <w:t>37.5</w:t>
      </w:r>
    </w:p>
    <w:p w:rsidR="008D0C4D" w:rsidRPr="00A55D5B" w:rsidRDefault="008D0C4D" w:rsidP="00A55D5B">
      <w:pPr>
        <w:rPr>
          <w:sz w:val="20"/>
          <w:szCs w:val="24"/>
        </w:rPr>
      </w:pPr>
      <w:r w:rsidRPr="00A55D5B">
        <w:rPr>
          <w:sz w:val="20"/>
          <w:szCs w:val="24"/>
        </w:rPr>
        <w:tab/>
      </w:r>
      <w:r w:rsidRPr="00A55D5B">
        <w:rPr>
          <w:sz w:val="20"/>
          <w:szCs w:val="24"/>
        </w:rPr>
        <w:tab/>
      </w:r>
      <w:r w:rsidRPr="00A55D5B">
        <w:rPr>
          <w:sz w:val="20"/>
          <w:szCs w:val="24"/>
        </w:rPr>
        <w:tab/>
        <w:t>Tertiary</w:t>
      </w:r>
      <w:r w:rsidRPr="00A55D5B">
        <w:rPr>
          <w:sz w:val="20"/>
          <w:szCs w:val="24"/>
        </w:rPr>
        <w:tab/>
      </w:r>
      <w:r w:rsidRPr="00A55D5B">
        <w:rPr>
          <w:sz w:val="20"/>
          <w:szCs w:val="24"/>
        </w:rPr>
        <w:tab/>
      </w:r>
      <w:r w:rsidRPr="00A55D5B">
        <w:rPr>
          <w:sz w:val="20"/>
          <w:szCs w:val="24"/>
        </w:rPr>
        <w:tab/>
        <w:t>35</w:t>
      </w:r>
      <w:r w:rsidRPr="00A55D5B">
        <w:rPr>
          <w:sz w:val="20"/>
          <w:szCs w:val="24"/>
        </w:rPr>
        <w:tab/>
      </w:r>
      <w:r w:rsidRPr="00A55D5B">
        <w:rPr>
          <w:sz w:val="20"/>
          <w:szCs w:val="24"/>
        </w:rPr>
        <w:tab/>
      </w:r>
      <w:r w:rsidRPr="00A55D5B">
        <w:rPr>
          <w:sz w:val="20"/>
          <w:szCs w:val="24"/>
        </w:rPr>
        <w:tab/>
        <w:t>29.2</w:t>
      </w:r>
    </w:p>
    <w:p w:rsidR="008D0C4D" w:rsidRDefault="008D0C4D" w:rsidP="00A55D5B">
      <w:pPr>
        <w:rPr>
          <w:sz w:val="20"/>
          <w:szCs w:val="24"/>
        </w:rPr>
      </w:pPr>
      <w:r w:rsidRPr="00A55D5B">
        <w:rPr>
          <w:sz w:val="20"/>
          <w:szCs w:val="24"/>
        </w:rPr>
        <w:tab/>
      </w:r>
      <w:r w:rsidRPr="00A55D5B">
        <w:rPr>
          <w:sz w:val="20"/>
          <w:szCs w:val="24"/>
        </w:rPr>
        <w:tab/>
      </w:r>
      <w:r w:rsidRPr="00A55D5B">
        <w:rPr>
          <w:sz w:val="20"/>
          <w:szCs w:val="24"/>
        </w:rPr>
        <w:tab/>
        <w:t xml:space="preserve">Nil </w:t>
      </w:r>
      <w:r w:rsidRPr="00A55D5B">
        <w:rPr>
          <w:sz w:val="20"/>
          <w:szCs w:val="24"/>
        </w:rPr>
        <w:tab/>
      </w:r>
      <w:r w:rsidRPr="00A55D5B">
        <w:rPr>
          <w:sz w:val="20"/>
          <w:szCs w:val="24"/>
        </w:rPr>
        <w:tab/>
      </w:r>
      <w:r w:rsidRPr="00A55D5B">
        <w:rPr>
          <w:sz w:val="20"/>
          <w:szCs w:val="24"/>
        </w:rPr>
        <w:tab/>
        <w:t>6</w:t>
      </w:r>
      <w:r w:rsidRPr="00A55D5B">
        <w:rPr>
          <w:sz w:val="20"/>
          <w:szCs w:val="24"/>
        </w:rPr>
        <w:tab/>
      </w:r>
      <w:r w:rsidRPr="00A55D5B">
        <w:rPr>
          <w:sz w:val="20"/>
          <w:szCs w:val="24"/>
        </w:rPr>
        <w:tab/>
      </w:r>
      <w:r w:rsidRPr="00A55D5B">
        <w:rPr>
          <w:sz w:val="20"/>
          <w:szCs w:val="24"/>
        </w:rPr>
        <w:tab/>
        <w:t>5.0</w:t>
      </w:r>
    </w:p>
    <w:p w:rsidR="008D48E4" w:rsidRPr="008D48E4" w:rsidRDefault="008D48E4" w:rsidP="00A55D5B">
      <w:pPr>
        <w:rPr>
          <w:sz w:val="10"/>
          <w:szCs w:val="24"/>
        </w:rPr>
      </w:pPr>
    </w:p>
    <w:p w:rsidR="008D0C4D" w:rsidRPr="00A55D5B" w:rsidRDefault="008D0C4D" w:rsidP="00A55D5B">
      <w:pPr>
        <w:pBdr>
          <w:bottom w:val="single" w:sz="4" w:space="1" w:color="auto"/>
        </w:pBdr>
        <w:rPr>
          <w:sz w:val="20"/>
          <w:szCs w:val="24"/>
        </w:rPr>
      </w:pPr>
      <w:r w:rsidRPr="00A55D5B">
        <w:rPr>
          <w:b/>
          <w:sz w:val="20"/>
          <w:szCs w:val="24"/>
        </w:rPr>
        <w:t>Marital status</w:t>
      </w:r>
      <w:r w:rsidRPr="00A55D5B">
        <w:rPr>
          <w:b/>
          <w:sz w:val="20"/>
          <w:szCs w:val="24"/>
        </w:rPr>
        <w:tab/>
      </w:r>
      <w:r w:rsidRPr="00A55D5B">
        <w:rPr>
          <w:sz w:val="20"/>
          <w:szCs w:val="24"/>
        </w:rPr>
        <w:t>Married</w:t>
      </w:r>
      <w:r w:rsidRPr="00A55D5B">
        <w:rPr>
          <w:sz w:val="20"/>
          <w:szCs w:val="24"/>
        </w:rPr>
        <w:tab/>
      </w:r>
      <w:r w:rsidRPr="00A55D5B">
        <w:rPr>
          <w:sz w:val="20"/>
          <w:szCs w:val="24"/>
        </w:rPr>
        <w:tab/>
      </w:r>
      <w:r w:rsidRPr="00A55D5B">
        <w:rPr>
          <w:sz w:val="20"/>
          <w:szCs w:val="24"/>
        </w:rPr>
        <w:tab/>
      </w:r>
      <w:r w:rsidRPr="00A55D5B">
        <w:rPr>
          <w:rFonts w:eastAsia="Times New Roman"/>
          <w:color w:val="000000"/>
          <w:sz w:val="20"/>
          <w:szCs w:val="24"/>
        </w:rPr>
        <w:t>84</w:t>
      </w:r>
      <w:r w:rsidRPr="00A55D5B">
        <w:rPr>
          <w:rFonts w:eastAsia="Times New Roman"/>
          <w:color w:val="000000"/>
          <w:sz w:val="20"/>
          <w:szCs w:val="24"/>
        </w:rPr>
        <w:tab/>
      </w:r>
      <w:r w:rsidRPr="00A55D5B">
        <w:rPr>
          <w:rFonts w:eastAsia="Times New Roman"/>
          <w:color w:val="000000"/>
          <w:sz w:val="20"/>
          <w:szCs w:val="24"/>
        </w:rPr>
        <w:tab/>
      </w:r>
      <w:r w:rsidRPr="00A55D5B">
        <w:rPr>
          <w:rFonts w:eastAsia="Times New Roman"/>
          <w:color w:val="000000"/>
          <w:sz w:val="20"/>
          <w:szCs w:val="24"/>
        </w:rPr>
        <w:tab/>
        <w:t>70.0</w:t>
      </w:r>
    </w:p>
    <w:p w:rsidR="008D0C4D" w:rsidRPr="00A55D5B" w:rsidRDefault="008D0C4D" w:rsidP="00A55D5B">
      <w:pPr>
        <w:pBdr>
          <w:bottom w:val="single" w:sz="4" w:space="1" w:color="auto"/>
        </w:pBdr>
        <w:rPr>
          <w:sz w:val="20"/>
          <w:szCs w:val="24"/>
        </w:rPr>
      </w:pPr>
      <w:r w:rsidRPr="00A55D5B">
        <w:rPr>
          <w:sz w:val="20"/>
          <w:szCs w:val="24"/>
        </w:rPr>
        <w:tab/>
      </w:r>
      <w:r w:rsidRPr="00A55D5B">
        <w:rPr>
          <w:sz w:val="20"/>
          <w:szCs w:val="24"/>
        </w:rPr>
        <w:tab/>
      </w:r>
      <w:r w:rsidRPr="00A55D5B">
        <w:rPr>
          <w:sz w:val="20"/>
          <w:szCs w:val="24"/>
        </w:rPr>
        <w:tab/>
        <w:t>Single</w:t>
      </w:r>
      <w:r w:rsidRPr="00A55D5B">
        <w:rPr>
          <w:sz w:val="20"/>
          <w:szCs w:val="24"/>
        </w:rPr>
        <w:tab/>
      </w:r>
      <w:r w:rsidRPr="00A55D5B">
        <w:rPr>
          <w:sz w:val="20"/>
          <w:szCs w:val="24"/>
        </w:rPr>
        <w:tab/>
      </w:r>
      <w:r w:rsidRPr="00A55D5B">
        <w:rPr>
          <w:sz w:val="20"/>
          <w:szCs w:val="24"/>
        </w:rPr>
        <w:tab/>
        <w:t>28</w:t>
      </w:r>
      <w:r w:rsidRPr="00A55D5B">
        <w:rPr>
          <w:sz w:val="20"/>
          <w:szCs w:val="24"/>
        </w:rPr>
        <w:tab/>
      </w:r>
      <w:r w:rsidRPr="00A55D5B">
        <w:rPr>
          <w:sz w:val="20"/>
          <w:szCs w:val="24"/>
        </w:rPr>
        <w:tab/>
      </w:r>
      <w:r w:rsidRPr="00A55D5B">
        <w:rPr>
          <w:sz w:val="20"/>
          <w:szCs w:val="24"/>
        </w:rPr>
        <w:tab/>
        <w:t>23.3</w:t>
      </w:r>
    </w:p>
    <w:p w:rsidR="008D0C4D" w:rsidRPr="00A55D5B" w:rsidRDefault="008D0C4D" w:rsidP="00A55D5B">
      <w:pPr>
        <w:pBdr>
          <w:bottom w:val="single" w:sz="4" w:space="1" w:color="auto"/>
        </w:pBdr>
        <w:rPr>
          <w:sz w:val="20"/>
          <w:szCs w:val="24"/>
        </w:rPr>
      </w:pPr>
      <w:r w:rsidRPr="00A55D5B">
        <w:rPr>
          <w:sz w:val="20"/>
          <w:szCs w:val="24"/>
        </w:rPr>
        <w:tab/>
      </w:r>
      <w:r w:rsidRPr="00A55D5B">
        <w:rPr>
          <w:sz w:val="20"/>
          <w:szCs w:val="24"/>
        </w:rPr>
        <w:tab/>
      </w:r>
      <w:r w:rsidRPr="00A55D5B">
        <w:rPr>
          <w:sz w:val="20"/>
          <w:szCs w:val="24"/>
        </w:rPr>
        <w:tab/>
      </w:r>
      <w:r w:rsidR="009A7357">
        <w:rPr>
          <w:sz w:val="20"/>
          <w:szCs w:val="24"/>
        </w:rPr>
        <w:t>Widowed</w:t>
      </w:r>
      <w:r w:rsidR="009A7357">
        <w:rPr>
          <w:sz w:val="20"/>
          <w:szCs w:val="24"/>
        </w:rPr>
        <w:tab/>
      </w:r>
      <w:r w:rsidR="009A7357">
        <w:rPr>
          <w:sz w:val="20"/>
          <w:szCs w:val="24"/>
        </w:rPr>
        <w:tab/>
      </w:r>
      <w:r w:rsidRPr="00A55D5B">
        <w:rPr>
          <w:sz w:val="20"/>
          <w:szCs w:val="24"/>
        </w:rPr>
        <w:t>8</w:t>
      </w:r>
      <w:r w:rsidRPr="00A55D5B">
        <w:rPr>
          <w:sz w:val="20"/>
          <w:szCs w:val="24"/>
        </w:rPr>
        <w:tab/>
      </w:r>
      <w:r w:rsidRPr="00A55D5B">
        <w:rPr>
          <w:sz w:val="20"/>
          <w:szCs w:val="24"/>
        </w:rPr>
        <w:tab/>
      </w:r>
      <w:r w:rsidRPr="00A55D5B">
        <w:rPr>
          <w:sz w:val="20"/>
          <w:szCs w:val="24"/>
        </w:rPr>
        <w:tab/>
        <w:t>6.7</w:t>
      </w:r>
    </w:p>
    <w:p w:rsidR="008D0C4D" w:rsidRPr="008D48E4" w:rsidRDefault="008D0C4D" w:rsidP="008D48E4">
      <w:pPr>
        <w:pBdr>
          <w:bottom w:val="single" w:sz="4" w:space="1" w:color="auto"/>
        </w:pBdr>
        <w:jc w:val="center"/>
        <w:rPr>
          <w:sz w:val="14"/>
          <w:szCs w:val="24"/>
        </w:rPr>
      </w:pPr>
    </w:p>
    <w:p w:rsidR="008D0C4D" w:rsidRDefault="008D0C4D" w:rsidP="00A61854"/>
    <w:p w:rsidR="00F33B35" w:rsidRDefault="00F33B35" w:rsidP="00A61854">
      <w:pPr>
        <w:rPr>
          <w:sz w:val="24"/>
          <w:szCs w:val="24"/>
        </w:rPr>
        <w:sectPr w:rsidR="00F33B35" w:rsidSect="00F33B35">
          <w:type w:val="continuous"/>
          <w:pgSz w:w="11906" w:h="16838"/>
          <w:pgMar w:top="1440" w:right="1440" w:bottom="1440" w:left="1440" w:header="708" w:footer="708" w:gutter="0"/>
          <w:cols w:space="708"/>
          <w:docGrid w:linePitch="360"/>
        </w:sectPr>
      </w:pPr>
    </w:p>
    <w:p w:rsidR="008D0C4D" w:rsidRDefault="008D0C4D" w:rsidP="00A61854">
      <w:pPr>
        <w:rPr>
          <w:sz w:val="24"/>
          <w:szCs w:val="24"/>
        </w:rPr>
      </w:pPr>
      <w:r>
        <w:rPr>
          <w:sz w:val="24"/>
          <w:szCs w:val="24"/>
        </w:rPr>
        <w:lastRenderedPageBreak/>
        <w:t xml:space="preserve">Table 2 illustrates the kidney staging of the subjects using eGFR values. It can be </w:t>
      </w:r>
      <w:r>
        <w:rPr>
          <w:sz w:val="24"/>
          <w:szCs w:val="24"/>
        </w:rPr>
        <w:lastRenderedPageBreak/>
        <w:t xml:space="preserve">deduced that 67.5% of the subjects have Stage I, 21.7% have Stage 2, 7.5% have </w:t>
      </w:r>
      <w:r>
        <w:rPr>
          <w:sz w:val="24"/>
          <w:szCs w:val="24"/>
        </w:rPr>
        <w:lastRenderedPageBreak/>
        <w:t xml:space="preserve">Stage 3, 1.7% have Stage 4 and the remaining 1.7% of the subjects have Stage 5 kidney disease. The eGFR was </w:t>
      </w:r>
      <w:r>
        <w:rPr>
          <w:sz w:val="24"/>
          <w:szCs w:val="24"/>
        </w:rPr>
        <w:lastRenderedPageBreak/>
        <w:t>calculated using the M</w:t>
      </w:r>
      <w:r w:rsidR="005D765A">
        <w:rPr>
          <w:sz w:val="24"/>
          <w:szCs w:val="24"/>
        </w:rPr>
        <w:t>odifi</w:t>
      </w:r>
      <w:r w:rsidR="00686BB5">
        <w:rPr>
          <w:sz w:val="24"/>
          <w:szCs w:val="24"/>
        </w:rPr>
        <w:t>cation of</w:t>
      </w:r>
      <w:r>
        <w:rPr>
          <w:sz w:val="24"/>
          <w:szCs w:val="24"/>
        </w:rPr>
        <w:t>D</w:t>
      </w:r>
      <w:r w:rsidR="005D765A">
        <w:rPr>
          <w:sz w:val="24"/>
          <w:szCs w:val="24"/>
        </w:rPr>
        <w:t xml:space="preserve">iet </w:t>
      </w:r>
      <w:r w:rsidR="00B5583B">
        <w:rPr>
          <w:sz w:val="24"/>
          <w:szCs w:val="24"/>
        </w:rPr>
        <w:t xml:space="preserve">in </w:t>
      </w:r>
      <w:r>
        <w:rPr>
          <w:sz w:val="24"/>
          <w:szCs w:val="24"/>
        </w:rPr>
        <w:t>R</w:t>
      </w:r>
      <w:r w:rsidR="005D765A">
        <w:rPr>
          <w:sz w:val="24"/>
          <w:szCs w:val="24"/>
        </w:rPr>
        <w:t xml:space="preserve">enal </w:t>
      </w:r>
      <w:r>
        <w:rPr>
          <w:sz w:val="24"/>
          <w:szCs w:val="24"/>
        </w:rPr>
        <w:t>D</w:t>
      </w:r>
      <w:r w:rsidR="005D765A">
        <w:rPr>
          <w:sz w:val="24"/>
          <w:szCs w:val="24"/>
        </w:rPr>
        <w:t>isease (MDRD)</w:t>
      </w:r>
      <w:r>
        <w:rPr>
          <w:sz w:val="24"/>
          <w:szCs w:val="24"/>
        </w:rPr>
        <w:t xml:space="preserve"> formula</w:t>
      </w:r>
      <w:r w:rsidR="00931034">
        <w:rPr>
          <w:sz w:val="24"/>
          <w:szCs w:val="24"/>
        </w:rPr>
        <w:t>.</w:t>
      </w:r>
    </w:p>
    <w:p w:rsidR="00F33B35" w:rsidRDefault="00F33B35" w:rsidP="00A61854">
      <w:pPr>
        <w:rPr>
          <w:iCs/>
          <w:sz w:val="24"/>
          <w:szCs w:val="24"/>
        </w:rPr>
        <w:sectPr w:rsidR="00F33B35" w:rsidSect="00F33B35">
          <w:type w:val="continuous"/>
          <w:pgSz w:w="11906" w:h="16838"/>
          <w:pgMar w:top="1440" w:right="1440" w:bottom="1440" w:left="1440" w:header="708" w:footer="708" w:gutter="0"/>
          <w:cols w:num="2" w:space="708"/>
          <w:docGrid w:linePitch="360"/>
        </w:sectPr>
      </w:pPr>
    </w:p>
    <w:p w:rsidR="008D0C4D" w:rsidRDefault="008D0C4D" w:rsidP="00A61854">
      <w:pPr>
        <w:rPr>
          <w:iCs/>
          <w:sz w:val="24"/>
          <w:szCs w:val="24"/>
        </w:rPr>
      </w:pPr>
    </w:p>
    <w:p w:rsidR="008D0C4D" w:rsidRPr="009A7357" w:rsidRDefault="008D0C4D" w:rsidP="00A61854">
      <w:pPr>
        <w:rPr>
          <w:b/>
          <w:sz w:val="22"/>
          <w:szCs w:val="24"/>
        </w:rPr>
      </w:pPr>
      <w:r w:rsidRPr="009A7357">
        <w:rPr>
          <w:b/>
          <w:sz w:val="22"/>
          <w:szCs w:val="24"/>
        </w:rPr>
        <w:t>Table 2</w:t>
      </w:r>
      <w:r w:rsidR="00931034" w:rsidRPr="009A7357">
        <w:rPr>
          <w:b/>
          <w:sz w:val="22"/>
          <w:szCs w:val="24"/>
        </w:rPr>
        <w:t>:</w:t>
      </w:r>
      <w:r w:rsidR="001B65B2" w:rsidRPr="009A7357">
        <w:rPr>
          <w:b/>
          <w:sz w:val="22"/>
          <w:szCs w:val="24"/>
        </w:rPr>
        <w:t xml:space="preserve"> Classification of CKD among type 2 Diabetes Mellitus Patients using eGFR</w:t>
      </w:r>
    </w:p>
    <w:tbl>
      <w:tblPr>
        <w:tblW w:w="8046" w:type="dxa"/>
        <w:tblLook w:val="04A0"/>
      </w:tblPr>
      <w:tblGrid>
        <w:gridCol w:w="2160"/>
        <w:gridCol w:w="1350"/>
        <w:gridCol w:w="1276"/>
        <w:gridCol w:w="1134"/>
        <w:gridCol w:w="1276"/>
        <w:gridCol w:w="850"/>
      </w:tblGrid>
      <w:tr w:rsidR="00131EFD" w:rsidRPr="008D48E4" w:rsidTr="00F33B35">
        <w:trPr>
          <w:trHeight w:val="708"/>
        </w:trPr>
        <w:tc>
          <w:tcPr>
            <w:tcW w:w="2160" w:type="dxa"/>
            <w:tcBorders>
              <w:top w:val="single" w:sz="4" w:space="0" w:color="auto"/>
              <w:left w:val="nil"/>
              <w:bottom w:val="single" w:sz="4" w:space="0" w:color="auto"/>
              <w:right w:val="nil"/>
            </w:tcBorders>
            <w:shd w:val="clear" w:color="auto" w:fill="auto"/>
            <w:vAlign w:val="bottom"/>
            <w:hideMark/>
          </w:tcPr>
          <w:p w:rsidR="00131EFD" w:rsidRPr="008D48E4" w:rsidRDefault="00131EFD" w:rsidP="008D48E4">
            <w:pPr>
              <w:rPr>
                <w:rFonts w:eastAsia="Times New Roman"/>
                <w:b/>
                <w:bCs/>
                <w:color w:val="000000"/>
                <w:sz w:val="20"/>
                <w:szCs w:val="24"/>
              </w:rPr>
            </w:pPr>
            <w:r w:rsidRPr="008D48E4">
              <w:rPr>
                <w:rFonts w:eastAsia="Times New Roman"/>
                <w:b/>
                <w:bCs/>
                <w:color w:val="000000"/>
                <w:sz w:val="20"/>
                <w:szCs w:val="24"/>
              </w:rPr>
              <w:t> </w:t>
            </w:r>
            <w:r w:rsidR="00931034" w:rsidRPr="008D48E4">
              <w:rPr>
                <w:rFonts w:eastAsia="Times New Roman"/>
                <w:b/>
                <w:bCs/>
                <w:color w:val="000000"/>
                <w:sz w:val="20"/>
                <w:szCs w:val="24"/>
              </w:rPr>
              <w:t>CKD staging</w:t>
            </w:r>
          </w:p>
          <w:p w:rsidR="00C23121" w:rsidRPr="008D48E4" w:rsidRDefault="009A7357" w:rsidP="008D48E4">
            <w:pPr>
              <w:rPr>
                <w:rFonts w:eastAsia="Times New Roman"/>
                <w:b/>
                <w:bCs/>
                <w:color w:val="000000"/>
                <w:sz w:val="20"/>
                <w:szCs w:val="24"/>
              </w:rPr>
            </w:pPr>
            <w:r>
              <w:rPr>
                <w:rFonts w:eastAsia="Times New Roman"/>
                <w:b/>
                <w:bCs/>
                <w:color w:val="000000"/>
                <w:sz w:val="20"/>
                <w:szCs w:val="24"/>
              </w:rPr>
              <w:t>Based on </w:t>
            </w:r>
            <w:r w:rsidR="00C23121" w:rsidRPr="008D48E4">
              <w:rPr>
                <w:rFonts w:eastAsia="Times New Roman"/>
                <w:b/>
                <w:bCs/>
                <w:color w:val="000000"/>
                <w:sz w:val="20"/>
                <w:szCs w:val="24"/>
              </w:rPr>
              <w:t>eGFR level</w:t>
            </w:r>
            <w:r w:rsidR="00986E66" w:rsidRPr="008D48E4">
              <w:rPr>
                <w:rFonts w:eastAsia="Times New Roman"/>
                <w:b/>
                <w:bCs/>
                <w:color w:val="000000"/>
                <w:sz w:val="20"/>
                <w:szCs w:val="24"/>
              </w:rPr>
              <w:t xml:space="preserve"> (</w:t>
            </w:r>
            <w:r w:rsidR="00805AE7" w:rsidRPr="008D48E4">
              <w:rPr>
                <w:sz w:val="20"/>
                <w:szCs w:val="24"/>
              </w:rPr>
              <w:t>mL/min/1.7m</w:t>
            </w:r>
            <w:r w:rsidR="00805AE7" w:rsidRPr="008D48E4">
              <w:rPr>
                <w:sz w:val="20"/>
                <w:szCs w:val="24"/>
                <w:vertAlign w:val="superscript"/>
              </w:rPr>
              <w:t>2</w:t>
            </w:r>
            <w:r w:rsidR="00986E66" w:rsidRPr="008D48E4">
              <w:rPr>
                <w:rFonts w:eastAsia="Times New Roman"/>
                <w:b/>
                <w:bCs/>
                <w:color w:val="000000"/>
                <w:sz w:val="20"/>
                <w:szCs w:val="24"/>
              </w:rPr>
              <w:t>)</w:t>
            </w:r>
          </w:p>
        </w:tc>
        <w:tc>
          <w:tcPr>
            <w:tcW w:w="1350" w:type="dxa"/>
            <w:tcBorders>
              <w:top w:val="single" w:sz="4" w:space="0" w:color="auto"/>
              <w:left w:val="nil"/>
              <w:bottom w:val="single" w:sz="4" w:space="0" w:color="auto"/>
              <w:right w:val="nil"/>
            </w:tcBorders>
            <w:shd w:val="clear" w:color="auto" w:fill="auto"/>
            <w:vAlign w:val="center"/>
            <w:hideMark/>
          </w:tcPr>
          <w:p w:rsidR="00131EFD" w:rsidRPr="008D48E4" w:rsidRDefault="00131EFD" w:rsidP="008D48E4">
            <w:pPr>
              <w:jc w:val="center"/>
              <w:rPr>
                <w:rFonts w:eastAsia="Times New Roman"/>
                <w:b/>
                <w:bCs/>
                <w:color w:val="000000"/>
                <w:sz w:val="20"/>
                <w:szCs w:val="24"/>
              </w:rPr>
            </w:pPr>
            <w:r w:rsidRPr="008D48E4">
              <w:rPr>
                <w:rFonts w:eastAsia="Times New Roman"/>
                <w:b/>
                <w:bCs/>
                <w:color w:val="000000"/>
                <w:sz w:val="20"/>
                <w:szCs w:val="24"/>
              </w:rPr>
              <w:t>Observed N</w:t>
            </w:r>
          </w:p>
        </w:tc>
        <w:tc>
          <w:tcPr>
            <w:tcW w:w="1276" w:type="dxa"/>
            <w:tcBorders>
              <w:top w:val="single" w:sz="4" w:space="0" w:color="auto"/>
              <w:left w:val="nil"/>
              <w:bottom w:val="single" w:sz="4" w:space="0" w:color="auto"/>
              <w:right w:val="nil"/>
            </w:tcBorders>
            <w:shd w:val="clear" w:color="auto" w:fill="auto"/>
            <w:vAlign w:val="center"/>
            <w:hideMark/>
          </w:tcPr>
          <w:p w:rsidR="00131EFD" w:rsidRPr="008D48E4" w:rsidRDefault="00131EFD" w:rsidP="008D48E4">
            <w:pPr>
              <w:jc w:val="center"/>
              <w:rPr>
                <w:rFonts w:eastAsia="Times New Roman"/>
                <w:b/>
                <w:bCs/>
                <w:color w:val="000000"/>
                <w:sz w:val="20"/>
                <w:szCs w:val="24"/>
              </w:rPr>
            </w:pPr>
            <w:r w:rsidRPr="008D48E4">
              <w:rPr>
                <w:rFonts w:eastAsia="Times New Roman"/>
                <w:b/>
                <w:bCs/>
                <w:color w:val="000000"/>
                <w:sz w:val="20"/>
                <w:szCs w:val="24"/>
              </w:rPr>
              <w:t>Expected N</w:t>
            </w:r>
          </w:p>
        </w:tc>
        <w:tc>
          <w:tcPr>
            <w:tcW w:w="1134" w:type="dxa"/>
            <w:tcBorders>
              <w:top w:val="single" w:sz="4" w:space="0" w:color="auto"/>
              <w:left w:val="nil"/>
              <w:bottom w:val="single" w:sz="4" w:space="0" w:color="auto"/>
              <w:right w:val="nil"/>
            </w:tcBorders>
            <w:shd w:val="clear" w:color="auto" w:fill="auto"/>
            <w:vAlign w:val="center"/>
            <w:hideMark/>
          </w:tcPr>
          <w:p w:rsidR="00131EFD" w:rsidRPr="008D48E4" w:rsidRDefault="00131EFD" w:rsidP="008D48E4">
            <w:pPr>
              <w:jc w:val="center"/>
              <w:rPr>
                <w:rFonts w:eastAsia="Times New Roman"/>
                <w:b/>
                <w:bCs/>
                <w:color w:val="000000"/>
                <w:sz w:val="20"/>
                <w:szCs w:val="24"/>
              </w:rPr>
            </w:pPr>
            <w:r w:rsidRPr="008D48E4">
              <w:rPr>
                <w:rFonts w:eastAsia="Times New Roman"/>
                <w:b/>
                <w:bCs/>
                <w:color w:val="000000"/>
                <w:sz w:val="20"/>
                <w:szCs w:val="24"/>
              </w:rPr>
              <w:t>Residual</w:t>
            </w:r>
          </w:p>
        </w:tc>
        <w:tc>
          <w:tcPr>
            <w:tcW w:w="1276" w:type="dxa"/>
            <w:tcBorders>
              <w:top w:val="single" w:sz="4" w:space="0" w:color="auto"/>
              <w:left w:val="nil"/>
              <w:bottom w:val="single" w:sz="4" w:space="0" w:color="auto"/>
              <w:right w:val="nil"/>
            </w:tcBorders>
            <w:shd w:val="clear" w:color="auto" w:fill="auto"/>
            <w:vAlign w:val="center"/>
            <w:hideMark/>
          </w:tcPr>
          <w:p w:rsidR="00131EFD" w:rsidRPr="008D48E4" w:rsidRDefault="00131EFD" w:rsidP="008D48E4">
            <w:pPr>
              <w:jc w:val="center"/>
              <w:rPr>
                <w:rFonts w:eastAsia="Times New Roman"/>
                <w:b/>
                <w:bCs/>
                <w:color w:val="000000"/>
                <w:sz w:val="20"/>
                <w:szCs w:val="24"/>
              </w:rPr>
            </w:pPr>
            <w:r w:rsidRPr="008D48E4">
              <w:rPr>
                <w:rFonts w:eastAsia="Times New Roman"/>
                <w:b/>
                <w:bCs/>
                <w:color w:val="000000"/>
                <w:sz w:val="20"/>
                <w:szCs w:val="24"/>
              </w:rPr>
              <w:t>X</w:t>
            </w:r>
            <w:r w:rsidRPr="008D48E4">
              <w:rPr>
                <w:rFonts w:eastAsia="Times New Roman"/>
                <w:b/>
                <w:bCs/>
                <w:color w:val="000000"/>
                <w:sz w:val="20"/>
                <w:szCs w:val="24"/>
                <w:vertAlign w:val="superscript"/>
              </w:rPr>
              <w:t>2</w:t>
            </w:r>
          </w:p>
        </w:tc>
        <w:tc>
          <w:tcPr>
            <w:tcW w:w="850" w:type="dxa"/>
            <w:tcBorders>
              <w:top w:val="single" w:sz="4" w:space="0" w:color="auto"/>
              <w:left w:val="nil"/>
              <w:bottom w:val="single" w:sz="4" w:space="0" w:color="auto"/>
              <w:right w:val="nil"/>
            </w:tcBorders>
            <w:shd w:val="clear" w:color="auto" w:fill="auto"/>
            <w:vAlign w:val="center"/>
            <w:hideMark/>
          </w:tcPr>
          <w:p w:rsidR="00131EFD" w:rsidRPr="008D48E4" w:rsidRDefault="00131EFD" w:rsidP="008D48E4">
            <w:pPr>
              <w:jc w:val="center"/>
              <w:rPr>
                <w:rFonts w:eastAsia="Times New Roman"/>
                <w:b/>
                <w:bCs/>
                <w:color w:val="000000"/>
                <w:sz w:val="20"/>
                <w:szCs w:val="24"/>
              </w:rPr>
            </w:pPr>
            <w:r w:rsidRPr="008D48E4">
              <w:rPr>
                <w:rFonts w:eastAsia="Times New Roman"/>
                <w:b/>
                <w:bCs/>
                <w:color w:val="000000"/>
                <w:sz w:val="20"/>
                <w:szCs w:val="24"/>
              </w:rPr>
              <w:t>p-value</w:t>
            </w:r>
          </w:p>
        </w:tc>
      </w:tr>
      <w:tr w:rsidR="00131EFD" w:rsidRPr="008D48E4" w:rsidTr="00F33B35">
        <w:trPr>
          <w:trHeight w:val="307"/>
        </w:trPr>
        <w:tc>
          <w:tcPr>
            <w:tcW w:w="2160" w:type="dxa"/>
            <w:tcBorders>
              <w:top w:val="nil"/>
              <w:left w:val="nil"/>
              <w:bottom w:val="nil"/>
              <w:right w:val="nil"/>
            </w:tcBorders>
            <w:shd w:val="clear" w:color="auto" w:fill="auto"/>
            <w:hideMark/>
          </w:tcPr>
          <w:p w:rsidR="008D48E4" w:rsidRPr="008D48E4" w:rsidRDefault="008D48E4" w:rsidP="008D48E4">
            <w:pPr>
              <w:rPr>
                <w:rFonts w:eastAsia="Times New Roman"/>
                <w:b/>
                <w:bCs/>
                <w:color w:val="000000"/>
                <w:sz w:val="12"/>
                <w:szCs w:val="24"/>
              </w:rPr>
            </w:pPr>
          </w:p>
          <w:p w:rsidR="00131EFD" w:rsidRPr="008D48E4" w:rsidRDefault="0094265A" w:rsidP="008D48E4">
            <w:pPr>
              <w:rPr>
                <w:rFonts w:eastAsia="Times New Roman"/>
                <w:b/>
                <w:bCs/>
                <w:color w:val="000000"/>
                <w:sz w:val="20"/>
                <w:szCs w:val="24"/>
              </w:rPr>
            </w:pPr>
            <w:r w:rsidRPr="008D48E4">
              <w:rPr>
                <w:rFonts w:eastAsia="Times New Roman"/>
                <w:b/>
                <w:bCs/>
                <w:color w:val="000000"/>
                <w:sz w:val="20"/>
                <w:szCs w:val="24"/>
              </w:rPr>
              <w:t xml:space="preserve">Stage I: </w:t>
            </w:r>
            <w:r w:rsidR="00131EFD" w:rsidRPr="008D48E4">
              <w:rPr>
                <w:rFonts w:eastAsia="Times New Roman"/>
                <w:b/>
                <w:bCs/>
                <w:color w:val="000000"/>
                <w:sz w:val="20"/>
                <w:szCs w:val="24"/>
              </w:rPr>
              <w:t>&gt;90</w:t>
            </w:r>
          </w:p>
        </w:tc>
        <w:tc>
          <w:tcPr>
            <w:tcW w:w="1350"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81</w:t>
            </w:r>
          </w:p>
        </w:tc>
        <w:tc>
          <w:tcPr>
            <w:tcW w:w="1276"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24.0</w:t>
            </w:r>
          </w:p>
        </w:tc>
        <w:tc>
          <w:tcPr>
            <w:tcW w:w="1134"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57.0</w:t>
            </w:r>
          </w:p>
        </w:tc>
        <w:tc>
          <w:tcPr>
            <w:tcW w:w="1276"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185.250</w:t>
            </w:r>
          </w:p>
        </w:tc>
        <w:tc>
          <w:tcPr>
            <w:tcW w:w="850" w:type="dxa"/>
            <w:tcBorders>
              <w:top w:val="nil"/>
              <w:left w:val="nil"/>
              <w:bottom w:val="nil"/>
              <w:right w:val="nil"/>
            </w:tcBorders>
            <w:shd w:val="clear" w:color="auto" w:fill="auto"/>
            <w:noWrap/>
            <w:vAlign w:val="center"/>
            <w:hideMark/>
          </w:tcPr>
          <w:p w:rsidR="00131EFD" w:rsidRPr="008D48E4" w:rsidRDefault="00B5583B" w:rsidP="008D48E4">
            <w:pPr>
              <w:jc w:val="center"/>
              <w:rPr>
                <w:rFonts w:eastAsia="Times New Roman"/>
                <w:color w:val="000000"/>
                <w:sz w:val="20"/>
                <w:szCs w:val="24"/>
              </w:rPr>
            </w:pPr>
            <w:r w:rsidRPr="008D48E4">
              <w:rPr>
                <w:rFonts w:eastAsia="Times New Roman"/>
                <w:color w:val="000000"/>
                <w:sz w:val="20"/>
                <w:szCs w:val="24"/>
              </w:rPr>
              <w:t>0</w:t>
            </w:r>
            <w:r w:rsidR="00131EFD" w:rsidRPr="008D48E4">
              <w:rPr>
                <w:rFonts w:eastAsia="Times New Roman"/>
                <w:color w:val="000000"/>
                <w:sz w:val="20"/>
                <w:szCs w:val="24"/>
              </w:rPr>
              <w:t>.000</w:t>
            </w:r>
          </w:p>
        </w:tc>
      </w:tr>
      <w:tr w:rsidR="00131EFD" w:rsidRPr="008D48E4" w:rsidTr="00F33B35">
        <w:trPr>
          <w:trHeight w:val="281"/>
        </w:trPr>
        <w:tc>
          <w:tcPr>
            <w:tcW w:w="2160" w:type="dxa"/>
            <w:tcBorders>
              <w:top w:val="nil"/>
              <w:left w:val="nil"/>
              <w:bottom w:val="nil"/>
              <w:right w:val="nil"/>
            </w:tcBorders>
            <w:shd w:val="clear" w:color="auto" w:fill="auto"/>
            <w:hideMark/>
          </w:tcPr>
          <w:p w:rsidR="008D48E4" w:rsidRPr="008D48E4" w:rsidRDefault="008D48E4" w:rsidP="008D48E4">
            <w:pPr>
              <w:rPr>
                <w:rFonts w:eastAsia="Times New Roman"/>
                <w:b/>
                <w:bCs/>
                <w:color w:val="000000"/>
                <w:sz w:val="8"/>
                <w:szCs w:val="24"/>
              </w:rPr>
            </w:pPr>
          </w:p>
          <w:p w:rsidR="00131EFD" w:rsidRPr="008D48E4" w:rsidRDefault="0094265A" w:rsidP="008D48E4">
            <w:pPr>
              <w:rPr>
                <w:rFonts w:eastAsia="Times New Roman"/>
                <w:b/>
                <w:bCs/>
                <w:color w:val="000000"/>
                <w:sz w:val="20"/>
                <w:szCs w:val="24"/>
              </w:rPr>
            </w:pPr>
            <w:r w:rsidRPr="008D48E4">
              <w:rPr>
                <w:rFonts w:eastAsia="Times New Roman"/>
                <w:b/>
                <w:bCs/>
                <w:color w:val="000000"/>
                <w:sz w:val="20"/>
                <w:szCs w:val="24"/>
              </w:rPr>
              <w:t xml:space="preserve">Stage II: </w:t>
            </w:r>
            <w:r w:rsidR="00131EFD" w:rsidRPr="008D48E4">
              <w:rPr>
                <w:rFonts w:eastAsia="Times New Roman"/>
                <w:b/>
                <w:bCs/>
                <w:color w:val="000000"/>
                <w:sz w:val="20"/>
                <w:szCs w:val="24"/>
              </w:rPr>
              <w:t>60-89</w:t>
            </w:r>
          </w:p>
        </w:tc>
        <w:tc>
          <w:tcPr>
            <w:tcW w:w="1350"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26</w:t>
            </w:r>
          </w:p>
        </w:tc>
        <w:tc>
          <w:tcPr>
            <w:tcW w:w="1276"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24.0</w:t>
            </w:r>
          </w:p>
        </w:tc>
        <w:tc>
          <w:tcPr>
            <w:tcW w:w="1134"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2.0</w:t>
            </w:r>
          </w:p>
        </w:tc>
        <w:tc>
          <w:tcPr>
            <w:tcW w:w="1276" w:type="dxa"/>
            <w:tcBorders>
              <w:top w:val="nil"/>
              <w:left w:val="nil"/>
              <w:bottom w:val="nil"/>
              <w:right w:val="nil"/>
            </w:tcBorders>
            <w:shd w:val="clear" w:color="auto" w:fill="auto"/>
            <w:noWrap/>
            <w:vAlign w:val="bottom"/>
            <w:hideMark/>
          </w:tcPr>
          <w:p w:rsidR="00131EFD" w:rsidRPr="008D48E4" w:rsidRDefault="00131EFD" w:rsidP="008D48E4">
            <w:pPr>
              <w:jc w:val="center"/>
              <w:rPr>
                <w:rFonts w:eastAsia="Times New Roman"/>
                <w:color w:val="000000"/>
                <w:sz w:val="20"/>
                <w:szCs w:val="24"/>
              </w:rPr>
            </w:pPr>
          </w:p>
        </w:tc>
        <w:tc>
          <w:tcPr>
            <w:tcW w:w="850" w:type="dxa"/>
            <w:tcBorders>
              <w:top w:val="nil"/>
              <w:left w:val="nil"/>
              <w:bottom w:val="nil"/>
              <w:right w:val="nil"/>
            </w:tcBorders>
            <w:shd w:val="clear" w:color="auto" w:fill="auto"/>
            <w:noWrap/>
            <w:vAlign w:val="bottom"/>
            <w:hideMark/>
          </w:tcPr>
          <w:p w:rsidR="00131EFD" w:rsidRPr="008D48E4" w:rsidRDefault="00131EFD" w:rsidP="008D48E4">
            <w:pPr>
              <w:jc w:val="center"/>
              <w:rPr>
                <w:rFonts w:eastAsia="Times New Roman"/>
                <w:sz w:val="20"/>
                <w:szCs w:val="24"/>
              </w:rPr>
            </w:pPr>
          </w:p>
        </w:tc>
      </w:tr>
      <w:tr w:rsidR="00131EFD" w:rsidRPr="008D48E4" w:rsidTr="00F33B35">
        <w:trPr>
          <w:trHeight w:val="529"/>
        </w:trPr>
        <w:tc>
          <w:tcPr>
            <w:tcW w:w="2160" w:type="dxa"/>
            <w:tcBorders>
              <w:top w:val="nil"/>
              <w:left w:val="nil"/>
              <w:bottom w:val="nil"/>
              <w:right w:val="nil"/>
            </w:tcBorders>
            <w:shd w:val="clear" w:color="auto" w:fill="auto"/>
            <w:hideMark/>
          </w:tcPr>
          <w:p w:rsidR="008D48E4" w:rsidRPr="008D48E4" w:rsidRDefault="008D48E4" w:rsidP="008D48E4">
            <w:pPr>
              <w:rPr>
                <w:rFonts w:eastAsia="Times New Roman"/>
                <w:b/>
                <w:bCs/>
                <w:color w:val="000000"/>
                <w:sz w:val="14"/>
                <w:szCs w:val="24"/>
              </w:rPr>
            </w:pPr>
          </w:p>
          <w:p w:rsidR="00131EFD" w:rsidRPr="008D48E4" w:rsidRDefault="00131EFD" w:rsidP="008D48E4">
            <w:pPr>
              <w:rPr>
                <w:rFonts w:eastAsia="Times New Roman"/>
                <w:b/>
                <w:bCs/>
                <w:color w:val="000000"/>
                <w:sz w:val="20"/>
                <w:szCs w:val="24"/>
              </w:rPr>
            </w:pPr>
            <w:r w:rsidRPr="008D48E4">
              <w:rPr>
                <w:rFonts w:eastAsia="Times New Roman"/>
                <w:b/>
                <w:bCs/>
                <w:color w:val="000000"/>
                <w:sz w:val="20"/>
                <w:szCs w:val="24"/>
              </w:rPr>
              <w:t>Stage III = 30-59</w:t>
            </w:r>
          </w:p>
        </w:tc>
        <w:tc>
          <w:tcPr>
            <w:tcW w:w="1350"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9</w:t>
            </w:r>
          </w:p>
        </w:tc>
        <w:tc>
          <w:tcPr>
            <w:tcW w:w="1276"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24.0</w:t>
            </w:r>
          </w:p>
        </w:tc>
        <w:tc>
          <w:tcPr>
            <w:tcW w:w="1134"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-15.0</w:t>
            </w:r>
          </w:p>
        </w:tc>
        <w:tc>
          <w:tcPr>
            <w:tcW w:w="1276" w:type="dxa"/>
            <w:tcBorders>
              <w:top w:val="nil"/>
              <w:left w:val="nil"/>
              <w:bottom w:val="nil"/>
              <w:right w:val="nil"/>
            </w:tcBorders>
            <w:shd w:val="clear" w:color="auto" w:fill="auto"/>
            <w:noWrap/>
            <w:vAlign w:val="bottom"/>
            <w:hideMark/>
          </w:tcPr>
          <w:p w:rsidR="00131EFD" w:rsidRPr="008D48E4" w:rsidRDefault="00131EFD" w:rsidP="008D48E4">
            <w:pPr>
              <w:jc w:val="center"/>
              <w:rPr>
                <w:rFonts w:eastAsia="Times New Roman"/>
                <w:color w:val="000000"/>
                <w:sz w:val="20"/>
                <w:szCs w:val="24"/>
              </w:rPr>
            </w:pPr>
          </w:p>
        </w:tc>
        <w:tc>
          <w:tcPr>
            <w:tcW w:w="850" w:type="dxa"/>
            <w:tcBorders>
              <w:top w:val="nil"/>
              <w:left w:val="nil"/>
              <w:bottom w:val="nil"/>
              <w:right w:val="nil"/>
            </w:tcBorders>
            <w:shd w:val="clear" w:color="auto" w:fill="auto"/>
            <w:noWrap/>
            <w:vAlign w:val="bottom"/>
            <w:hideMark/>
          </w:tcPr>
          <w:p w:rsidR="00131EFD" w:rsidRPr="008D48E4" w:rsidRDefault="00131EFD" w:rsidP="008D48E4">
            <w:pPr>
              <w:jc w:val="center"/>
              <w:rPr>
                <w:rFonts w:eastAsia="Times New Roman"/>
                <w:sz w:val="20"/>
                <w:szCs w:val="24"/>
              </w:rPr>
            </w:pPr>
          </w:p>
        </w:tc>
      </w:tr>
      <w:tr w:rsidR="00131EFD" w:rsidRPr="008D48E4" w:rsidTr="00F33B35">
        <w:trPr>
          <w:trHeight w:val="137"/>
        </w:trPr>
        <w:tc>
          <w:tcPr>
            <w:tcW w:w="2160" w:type="dxa"/>
            <w:tcBorders>
              <w:top w:val="nil"/>
              <w:left w:val="nil"/>
              <w:bottom w:val="nil"/>
              <w:right w:val="nil"/>
            </w:tcBorders>
            <w:shd w:val="clear" w:color="auto" w:fill="auto"/>
            <w:hideMark/>
          </w:tcPr>
          <w:p w:rsidR="00131EFD" w:rsidRPr="008D48E4" w:rsidRDefault="00131EFD" w:rsidP="008D48E4">
            <w:pPr>
              <w:rPr>
                <w:rFonts w:eastAsia="Times New Roman"/>
                <w:b/>
                <w:bCs/>
                <w:color w:val="000000"/>
                <w:sz w:val="20"/>
                <w:szCs w:val="24"/>
              </w:rPr>
            </w:pPr>
            <w:r w:rsidRPr="008D48E4">
              <w:rPr>
                <w:rFonts w:eastAsia="Times New Roman"/>
                <w:b/>
                <w:bCs/>
                <w:color w:val="000000"/>
                <w:sz w:val="20"/>
                <w:szCs w:val="24"/>
              </w:rPr>
              <w:t>Stage IV = 15-29</w:t>
            </w:r>
          </w:p>
        </w:tc>
        <w:tc>
          <w:tcPr>
            <w:tcW w:w="1350"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w:t>
            </w:r>
          </w:p>
        </w:tc>
        <w:tc>
          <w:tcPr>
            <w:tcW w:w="1276"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24.0</w:t>
            </w:r>
          </w:p>
        </w:tc>
        <w:tc>
          <w:tcPr>
            <w:tcW w:w="1134" w:type="dxa"/>
            <w:tcBorders>
              <w:top w:val="nil"/>
              <w:left w:val="nil"/>
              <w:bottom w:val="nil"/>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-22.0</w:t>
            </w:r>
          </w:p>
        </w:tc>
        <w:tc>
          <w:tcPr>
            <w:tcW w:w="1276" w:type="dxa"/>
            <w:tcBorders>
              <w:top w:val="nil"/>
              <w:left w:val="nil"/>
              <w:bottom w:val="nil"/>
              <w:right w:val="nil"/>
            </w:tcBorders>
            <w:shd w:val="clear" w:color="auto" w:fill="auto"/>
            <w:noWrap/>
            <w:vAlign w:val="bottom"/>
            <w:hideMark/>
          </w:tcPr>
          <w:p w:rsidR="00131EFD" w:rsidRPr="008D48E4" w:rsidRDefault="00131EFD" w:rsidP="008D48E4">
            <w:pPr>
              <w:jc w:val="center"/>
              <w:rPr>
                <w:rFonts w:eastAsia="Times New Roman"/>
                <w:color w:val="000000"/>
                <w:sz w:val="20"/>
                <w:szCs w:val="24"/>
              </w:rPr>
            </w:pPr>
          </w:p>
        </w:tc>
        <w:tc>
          <w:tcPr>
            <w:tcW w:w="850" w:type="dxa"/>
            <w:tcBorders>
              <w:top w:val="nil"/>
              <w:left w:val="nil"/>
              <w:bottom w:val="nil"/>
              <w:right w:val="nil"/>
            </w:tcBorders>
            <w:shd w:val="clear" w:color="auto" w:fill="auto"/>
            <w:noWrap/>
            <w:vAlign w:val="bottom"/>
            <w:hideMark/>
          </w:tcPr>
          <w:p w:rsidR="00131EFD" w:rsidRPr="008D48E4" w:rsidRDefault="00131EFD" w:rsidP="008D48E4">
            <w:pPr>
              <w:jc w:val="center"/>
              <w:rPr>
                <w:rFonts w:eastAsia="Times New Roman"/>
                <w:sz w:val="20"/>
                <w:szCs w:val="24"/>
              </w:rPr>
            </w:pPr>
          </w:p>
        </w:tc>
      </w:tr>
      <w:tr w:rsidR="00131EFD" w:rsidRPr="009A7357" w:rsidTr="00F33B35">
        <w:trPr>
          <w:trHeight w:val="691"/>
        </w:trPr>
        <w:tc>
          <w:tcPr>
            <w:tcW w:w="2160" w:type="dxa"/>
            <w:tcBorders>
              <w:top w:val="nil"/>
              <w:left w:val="nil"/>
              <w:bottom w:val="nil"/>
              <w:right w:val="nil"/>
            </w:tcBorders>
            <w:shd w:val="clear" w:color="auto" w:fill="auto"/>
            <w:hideMark/>
          </w:tcPr>
          <w:p w:rsidR="008D48E4" w:rsidRPr="009A7357" w:rsidRDefault="008D48E4" w:rsidP="008D48E4">
            <w:pPr>
              <w:rPr>
                <w:rFonts w:eastAsia="Times New Roman"/>
                <w:b/>
                <w:bCs/>
                <w:color w:val="000000"/>
                <w:sz w:val="16"/>
                <w:szCs w:val="24"/>
              </w:rPr>
            </w:pPr>
          </w:p>
          <w:p w:rsidR="00131EFD" w:rsidRPr="009A7357" w:rsidRDefault="00131EFD" w:rsidP="008D48E4">
            <w:pPr>
              <w:rPr>
                <w:rFonts w:eastAsia="Times New Roman"/>
                <w:b/>
                <w:bCs/>
                <w:color w:val="000000"/>
                <w:sz w:val="20"/>
                <w:szCs w:val="24"/>
              </w:rPr>
            </w:pPr>
            <w:r w:rsidRPr="009A7357">
              <w:rPr>
                <w:rFonts w:eastAsia="Times New Roman"/>
                <w:b/>
                <w:bCs/>
                <w:color w:val="000000"/>
                <w:sz w:val="20"/>
                <w:szCs w:val="24"/>
              </w:rPr>
              <w:t>Stage V = &lt;15</w:t>
            </w:r>
          </w:p>
        </w:tc>
        <w:tc>
          <w:tcPr>
            <w:tcW w:w="1350" w:type="dxa"/>
            <w:tcBorders>
              <w:top w:val="nil"/>
              <w:left w:val="nil"/>
              <w:bottom w:val="nil"/>
              <w:right w:val="nil"/>
            </w:tcBorders>
            <w:shd w:val="clear" w:color="auto" w:fill="auto"/>
            <w:noWrap/>
            <w:vAlign w:val="center"/>
            <w:hideMark/>
          </w:tcPr>
          <w:p w:rsidR="00131EFD" w:rsidRPr="009A7357" w:rsidRDefault="00131EFD" w:rsidP="008D48E4">
            <w:pPr>
              <w:jc w:val="center"/>
              <w:rPr>
                <w:rFonts w:eastAsia="Times New Roman"/>
                <w:color w:val="000000"/>
                <w:sz w:val="20"/>
                <w:szCs w:val="24"/>
              </w:rPr>
            </w:pPr>
            <w:r w:rsidRPr="009A7357">
              <w:rPr>
                <w:rFonts w:eastAsia="Times New Roman"/>
                <w:color w:val="000000"/>
                <w:sz w:val="20"/>
                <w:szCs w:val="24"/>
              </w:rPr>
              <w:t>2</w:t>
            </w:r>
          </w:p>
        </w:tc>
        <w:tc>
          <w:tcPr>
            <w:tcW w:w="1276" w:type="dxa"/>
            <w:tcBorders>
              <w:top w:val="nil"/>
              <w:left w:val="nil"/>
              <w:bottom w:val="nil"/>
              <w:right w:val="nil"/>
            </w:tcBorders>
            <w:shd w:val="clear" w:color="auto" w:fill="auto"/>
            <w:noWrap/>
            <w:vAlign w:val="center"/>
            <w:hideMark/>
          </w:tcPr>
          <w:p w:rsidR="00131EFD" w:rsidRPr="009A7357" w:rsidRDefault="00131EFD" w:rsidP="008D48E4">
            <w:pPr>
              <w:jc w:val="center"/>
              <w:rPr>
                <w:rFonts w:eastAsia="Times New Roman"/>
                <w:color w:val="000000"/>
                <w:sz w:val="20"/>
                <w:szCs w:val="24"/>
              </w:rPr>
            </w:pPr>
            <w:r w:rsidRPr="009A7357">
              <w:rPr>
                <w:rFonts w:eastAsia="Times New Roman"/>
                <w:color w:val="000000"/>
                <w:sz w:val="20"/>
                <w:szCs w:val="24"/>
              </w:rPr>
              <w:t>24.0</w:t>
            </w:r>
          </w:p>
        </w:tc>
        <w:tc>
          <w:tcPr>
            <w:tcW w:w="1134" w:type="dxa"/>
            <w:tcBorders>
              <w:top w:val="nil"/>
              <w:left w:val="nil"/>
              <w:bottom w:val="nil"/>
              <w:right w:val="nil"/>
            </w:tcBorders>
            <w:shd w:val="clear" w:color="auto" w:fill="auto"/>
            <w:noWrap/>
            <w:vAlign w:val="center"/>
            <w:hideMark/>
          </w:tcPr>
          <w:p w:rsidR="00131EFD" w:rsidRPr="009A7357" w:rsidRDefault="00131EFD" w:rsidP="008D48E4">
            <w:pPr>
              <w:jc w:val="center"/>
              <w:rPr>
                <w:rFonts w:eastAsia="Times New Roman"/>
                <w:color w:val="000000"/>
                <w:sz w:val="20"/>
                <w:szCs w:val="24"/>
              </w:rPr>
            </w:pPr>
            <w:r w:rsidRPr="009A7357">
              <w:rPr>
                <w:rFonts w:eastAsia="Times New Roman"/>
                <w:color w:val="000000"/>
                <w:sz w:val="20"/>
                <w:szCs w:val="24"/>
              </w:rPr>
              <w:t>-22.0</w:t>
            </w:r>
          </w:p>
        </w:tc>
        <w:tc>
          <w:tcPr>
            <w:tcW w:w="1276" w:type="dxa"/>
            <w:tcBorders>
              <w:top w:val="nil"/>
              <w:left w:val="nil"/>
              <w:bottom w:val="nil"/>
              <w:right w:val="nil"/>
            </w:tcBorders>
            <w:shd w:val="clear" w:color="auto" w:fill="auto"/>
            <w:noWrap/>
            <w:vAlign w:val="bottom"/>
            <w:hideMark/>
          </w:tcPr>
          <w:p w:rsidR="00131EFD" w:rsidRPr="009A7357" w:rsidRDefault="00131EFD" w:rsidP="008D48E4">
            <w:pPr>
              <w:jc w:val="center"/>
              <w:rPr>
                <w:rFonts w:eastAsia="Times New Roman"/>
                <w:color w:val="000000"/>
                <w:sz w:val="20"/>
                <w:szCs w:val="24"/>
              </w:rPr>
            </w:pPr>
          </w:p>
        </w:tc>
        <w:tc>
          <w:tcPr>
            <w:tcW w:w="850" w:type="dxa"/>
            <w:tcBorders>
              <w:top w:val="nil"/>
              <w:left w:val="nil"/>
              <w:bottom w:val="nil"/>
              <w:right w:val="nil"/>
            </w:tcBorders>
            <w:shd w:val="clear" w:color="auto" w:fill="auto"/>
            <w:noWrap/>
            <w:vAlign w:val="bottom"/>
            <w:hideMark/>
          </w:tcPr>
          <w:p w:rsidR="00131EFD" w:rsidRPr="009A7357" w:rsidRDefault="00131EFD" w:rsidP="008D48E4">
            <w:pPr>
              <w:jc w:val="center"/>
              <w:rPr>
                <w:rFonts w:eastAsia="Times New Roman"/>
                <w:sz w:val="20"/>
                <w:szCs w:val="24"/>
              </w:rPr>
            </w:pPr>
          </w:p>
        </w:tc>
      </w:tr>
      <w:tr w:rsidR="00131EFD" w:rsidRPr="008D48E4" w:rsidTr="00F33B35">
        <w:trPr>
          <w:trHeight w:val="80"/>
        </w:trPr>
        <w:tc>
          <w:tcPr>
            <w:tcW w:w="2160" w:type="dxa"/>
            <w:tcBorders>
              <w:top w:val="nil"/>
              <w:left w:val="nil"/>
              <w:bottom w:val="single" w:sz="4" w:space="0" w:color="auto"/>
              <w:right w:val="nil"/>
            </w:tcBorders>
            <w:shd w:val="clear" w:color="auto" w:fill="auto"/>
            <w:hideMark/>
          </w:tcPr>
          <w:p w:rsidR="00131EFD" w:rsidRPr="008D48E4" w:rsidRDefault="00131EFD" w:rsidP="008D48E4">
            <w:pPr>
              <w:rPr>
                <w:rFonts w:eastAsia="Times New Roman"/>
                <w:b/>
                <w:bCs/>
                <w:color w:val="000000"/>
                <w:sz w:val="20"/>
                <w:szCs w:val="24"/>
              </w:rPr>
            </w:pPr>
            <w:r w:rsidRPr="008D48E4">
              <w:rPr>
                <w:rFonts w:eastAsia="Times New Roman"/>
                <w:b/>
                <w:bCs/>
                <w:color w:val="000000"/>
                <w:sz w:val="20"/>
                <w:szCs w:val="24"/>
              </w:rPr>
              <w:t>Total</w:t>
            </w:r>
          </w:p>
        </w:tc>
        <w:tc>
          <w:tcPr>
            <w:tcW w:w="1350" w:type="dxa"/>
            <w:tcBorders>
              <w:top w:val="nil"/>
              <w:left w:val="nil"/>
              <w:bottom w:val="single" w:sz="4" w:space="0" w:color="auto"/>
              <w:right w:val="nil"/>
            </w:tcBorders>
            <w:shd w:val="clear" w:color="auto" w:fill="auto"/>
            <w:noWrap/>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120</w:t>
            </w:r>
          </w:p>
        </w:tc>
        <w:tc>
          <w:tcPr>
            <w:tcW w:w="1276" w:type="dxa"/>
            <w:tcBorders>
              <w:top w:val="nil"/>
              <w:left w:val="nil"/>
              <w:bottom w:val="single" w:sz="4" w:space="0" w:color="auto"/>
              <w:right w:val="nil"/>
            </w:tcBorders>
            <w:shd w:val="clear" w:color="auto" w:fill="auto"/>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 </w:t>
            </w:r>
          </w:p>
        </w:tc>
        <w:tc>
          <w:tcPr>
            <w:tcW w:w="1134" w:type="dxa"/>
            <w:tcBorders>
              <w:top w:val="nil"/>
              <w:left w:val="nil"/>
              <w:bottom w:val="single" w:sz="4" w:space="0" w:color="auto"/>
              <w:right w:val="nil"/>
            </w:tcBorders>
            <w:shd w:val="clear" w:color="auto" w:fill="auto"/>
            <w:vAlign w:val="center"/>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 </w:t>
            </w:r>
          </w:p>
        </w:tc>
        <w:tc>
          <w:tcPr>
            <w:tcW w:w="1276" w:type="dxa"/>
            <w:tcBorders>
              <w:top w:val="nil"/>
              <w:left w:val="nil"/>
              <w:bottom w:val="single" w:sz="4" w:space="0" w:color="auto"/>
              <w:right w:val="nil"/>
            </w:tcBorders>
            <w:shd w:val="clear" w:color="auto" w:fill="auto"/>
            <w:noWrap/>
            <w:vAlign w:val="bottom"/>
            <w:hideMark/>
          </w:tcPr>
          <w:p w:rsidR="00131EFD" w:rsidRPr="008D48E4" w:rsidRDefault="00131EFD" w:rsidP="008D48E4">
            <w:pPr>
              <w:jc w:val="center"/>
              <w:rPr>
                <w:rFonts w:eastAsia="Times New Roman"/>
                <w:sz w:val="20"/>
                <w:szCs w:val="24"/>
              </w:rPr>
            </w:pPr>
            <w:r w:rsidRPr="008D48E4">
              <w:rPr>
                <w:rFonts w:eastAsia="Times New Roman"/>
                <w:sz w:val="20"/>
                <w:szCs w:val="24"/>
              </w:rPr>
              <w:t> </w:t>
            </w:r>
          </w:p>
        </w:tc>
        <w:tc>
          <w:tcPr>
            <w:tcW w:w="850" w:type="dxa"/>
            <w:tcBorders>
              <w:top w:val="nil"/>
              <w:left w:val="nil"/>
              <w:bottom w:val="single" w:sz="4" w:space="0" w:color="auto"/>
              <w:right w:val="nil"/>
            </w:tcBorders>
            <w:shd w:val="clear" w:color="auto" w:fill="auto"/>
            <w:noWrap/>
            <w:vAlign w:val="bottom"/>
            <w:hideMark/>
          </w:tcPr>
          <w:p w:rsidR="00131EFD" w:rsidRPr="008D48E4" w:rsidRDefault="00131EFD" w:rsidP="008D48E4">
            <w:pPr>
              <w:jc w:val="center"/>
              <w:rPr>
                <w:rFonts w:eastAsia="Times New Roman"/>
                <w:color w:val="000000"/>
                <w:sz w:val="20"/>
                <w:szCs w:val="24"/>
              </w:rPr>
            </w:pPr>
            <w:r w:rsidRPr="008D48E4">
              <w:rPr>
                <w:rFonts w:eastAsia="Times New Roman"/>
                <w:color w:val="000000"/>
                <w:sz w:val="20"/>
                <w:szCs w:val="24"/>
              </w:rPr>
              <w:t> </w:t>
            </w:r>
          </w:p>
        </w:tc>
      </w:tr>
    </w:tbl>
    <w:p w:rsidR="007970CC" w:rsidRPr="0070042B" w:rsidRDefault="00131EFD" w:rsidP="00A61854">
      <w:pPr>
        <w:rPr>
          <w:sz w:val="24"/>
          <w:szCs w:val="24"/>
        </w:rPr>
      </w:pPr>
      <w:r w:rsidRPr="0070042B">
        <w:rPr>
          <w:sz w:val="24"/>
          <w:szCs w:val="24"/>
        </w:rPr>
        <w:t xml:space="preserve">Using the MDRD formula </w:t>
      </w:r>
    </w:p>
    <w:p w:rsidR="007970CC" w:rsidRDefault="007970CC" w:rsidP="00A61854">
      <w:pPr>
        <w:rPr>
          <w:b/>
          <w:sz w:val="24"/>
          <w:szCs w:val="24"/>
        </w:rPr>
      </w:pPr>
    </w:p>
    <w:p w:rsidR="00F33B35" w:rsidRDefault="00F33B35" w:rsidP="00A61854">
      <w:pPr>
        <w:rPr>
          <w:sz w:val="24"/>
          <w:szCs w:val="24"/>
        </w:rPr>
        <w:sectPr w:rsidR="00F33B35" w:rsidSect="00F33B35">
          <w:type w:val="continuous"/>
          <w:pgSz w:w="11906" w:h="16838"/>
          <w:pgMar w:top="1440" w:right="1440" w:bottom="1440" w:left="1440" w:header="708" w:footer="708" w:gutter="0"/>
          <w:cols w:space="708"/>
          <w:docGrid w:linePitch="360"/>
        </w:sectPr>
      </w:pPr>
    </w:p>
    <w:p w:rsidR="007970CC" w:rsidRPr="006911DA" w:rsidRDefault="007970CC" w:rsidP="00A61854">
      <w:pPr>
        <w:rPr>
          <w:sz w:val="24"/>
          <w:szCs w:val="24"/>
        </w:rPr>
      </w:pPr>
      <w:r w:rsidRPr="006911DA">
        <w:rPr>
          <w:sz w:val="24"/>
          <w:szCs w:val="24"/>
        </w:rPr>
        <w:lastRenderedPageBreak/>
        <w:t xml:space="preserve">Of 120 patients studied, only 13 had cases of CKD with a prevalence of 10.8% as </w:t>
      </w:r>
      <w:r w:rsidRPr="006911DA">
        <w:rPr>
          <w:sz w:val="24"/>
          <w:szCs w:val="24"/>
        </w:rPr>
        <w:lastRenderedPageBreak/>
        <w:t>shown in Table 3 below.</w:t>
      </w:r>
    </w:p>
    <w:p w:rsidR="00F33B35" w:rsidRDefault="00F33B35" w:rsidP="00A61854">
      <w:pPr>
        <w:rPr>
          <w:b/>
          <w:sz w:val="24"/>
          <w:szCs w:val="24"/>
        </w:rPr>
        <w:sectPr w:rsidR="00F33B35" w:rsidSect="00F33B35">
          <w:type w:val="continuous"/>
          <w:pgSz w:w="11906" w:h="16838"/>
          <w:pgMar w:top="1440" w:right="1440" w:bottom="1440" w:left="1440" w:header="708" w:footer="708" w:gutter="0"/>
          <w:cols w:num="2" w:space="708"/>
          <w:docGrid w:linePitch="360"/>
        </w:sectPr>
      </w:pPr>
    </w:p>
    <w:p w:rsidR="0071248C" w:rsidRDefault="0071248C" w:rsidP="00A61854">
      <w:pPr>
        <w:rPr>
          <w:b/>
          <w:sz w:val="24"/>
          <w:szCs w:val="24"/>
        </w:rPr>
      </w:pPr>
    </w:p>
    <w:p w:rsidR="008D0C4D" w:rsidRPr="0071248C" w:rsidRDefault="0071248C" w:rsidP="00A61854">
      <w:pPr>
        <w:rPr>
          <w:b/>
          <w:iCs/>
          <w:sz w:val="24"/>
          <w:szCs w:val="24"/>
        </w:rPr>
      </w:pPr>
      <w:r w:rsidRPr="0071248C">
        <w:rPr>
          <w:b/>
          <w:iCs/>
          <w:sz w:val="24"/>
          <w:szCs w:val="24"/>
        </w:rPr>
        <w:t xml:space="preserve">Table 3: Prevalence of CKD among </w:t>
      </w:r>
      <w:r w:rsidR="00B24B1A">
        <w:rPr>
          <w:b/>
          <w:iCs/>
          <w:sz w:val="24"/>
          <w:szCs w:val="24"/>
        </w:rPr>
        <w:t>Type 2 Diabetes Mellitus</w:t>
      </w:r>
      <w:r w:rsidRPr="0071248C">
        <w:rPr>
          <w:b/>
          <w:iCs/>
          <w:sz w:val="24"/>
          <w:szCs w:val="24"/>
        </w:rPr>
        <w:t xml:space="preserve"> Patients Studied</w:t>
      </w:r>
    </w:p>
    <w:tbl>
      <w:tblPr>
        <w:tblStyle w:val="TableGrid"/>
        <w:tblW w:w="8188" w:type="dxa"/>
        <w:tblBorders>
          <w:left w:val="none" w:sz="0" w:space="0" w:color="auto"/>
          <w:right w:val="none" w:sz="0" w:space="0" w:color="auto"/>
          <w:insideH w:val="none" w:sz="0" w:space="0" w:color="auto"/>
          <w:insideV w:val="none" w:sz="0" w:space="0" w:color="auto"/>
        </w:tblBorders>
        <w:tblLook w:val="04A0"/>
      </w:tblPr>
      <w:tblGrid>
        <w:gridCol w:w="2235"/>
        <w:gridCol w:w="2976"/>
        <w:gridCol w:w="2977"/>
      </w:tblGrid>
      <w:tr w:rsidR="0071248C" w:rsidRPr="00B24B1A" w:rsidTr="009A7357">
        <w:tc>
          <w:tcPr>
            <w:tcW w:w="2235" w:type="dxa"/>
            <w:tcBorders>
              <w:top w:val="single" w:sz="4" w:space="0" w:color="000000" w:themeColor="text1"/>
              <w:bottom w:val="single" w:sz="4" w:space="0" w:color="000000" w:themeColor="text1"/>
            </w:tcBorders>
          </w:tcPr>
          <w:p w:rsidR="0071248C" w:rsidRPr="00B24B1A" w:rsidRDefault="001C2542" w:rsidP="00A61854">
            <w:pPr>
              <w:rPr>
                <w:b/>
                <w:iCs/>
                <w:sz w:val="24"/>
                <w:szCs w:val="24"/>
              </w:rPr>
            </w:pPr>
            <w:r>
              <w:rPr>
                <w:b/>
                <w:iCs/>
                <w:sz w:val="24"/>
                <w:szCs w:val="24"/>
              </w:rPr>
              <w:t>Number </w:t>
            </w:r>
            <w:r w:rsidR="0071248C" w:rsidRPr="00B24B1A">
              <w:rPr>
                <w:b/>
                <w:iCs/>
                <w:sz w:val="24"/>
                <w:szCs w:val="24"/>
              </w:rPr>
              <w:t>of</w:t>
            </w:r>
            <w:r>
              <w:rPr>
                <w:b/>
                <w:iCs/>
                <w:sz w:val="24"/>
                <w:szCs w:val="24"/>
              </w:rPr>
              <w:t> </w:t>
            </w:r>
            <w:r w:rsidR="0071248C" w:rsidRPr="00B24B1A">
              <w:rPr>
                <w:b/>
                <w:iCs/>
                <w:sz w:val="24"/>
                <w:szCs w:val="24"/>
              </w:rPr>
              <w:t>patients studied</w:t>
            </w:r>
          </w:p>
        </w:tc>
        <w:tc>
          <w:tcPr>
            <w:tcW w:w="2976" w:type="dxa"/>
            <w:tcBorders>
              <w:top w:val="single" w:sz="4" w:space="0" w:color="000000" w:themeColor="text1"/>
              <w:bottom w:val="single" w:sz="4" w:space="0" w:color="000000" w:themeColor="text1"/>
            </w:tcBorders>
          </w:tcPr>
          <w:p w:rsidR="009A7357" w:rsidRDefault="001C2542" w:rsidP="00A61854">
            <w:pPr>
              <w:rPr>
                <w:b/>
                <w:iCs/>
                <w:sz w:val="24"/>
                <w:szCs w:val="24"/>
              </w:rPr>
            </w:pPr>
            <w:r>
              <w:rPr>
                <w:b/>
                <w:iCs/>
                <w:sz w:val="24"/>
                <w:szCs w:val="24"/>
              </w:rPr>
              <w:t>Number of patients </w:t>
            </w:r>
          </w:p>
          <w:p w:rsidR="0071248C" w:rsidRPr="00B24B1A" w:rsidRDefault="0071248C" w:rsidP="00A61854">
            <w:pPr>
              <w:rPr>
                <w:b/>
                <w:iCs/>
                <w:sz w:val="24"/>
                <w:szCs w:val="24"/>
              </w:rPr>
            </w:pPr>
            <w:r w:rsidRPr="00B24B1A">
              <w:rPr>
                <w:b/>
                <w:iCs/>
                <w:sz w:val="24"/>
                <w:szCs w:val="24"/>
              </w:rPr>
              <w:t>with</w:t>
            </w:r>
            <w:r w:rsidR="001C2542">
              <w:rPr>
                <w:b/>
                <w:iCs/>
                <w:sz w:val="24"/>
                <w:szCs w:val="24"/>
              </w:rPr>
              <w:t> </w:t>
            </w:r>
            <w:r w:rsidRPr="00B24B1A">
              <w:rPr>
                <w:b/>
                <w:iCs/>
                <w:sz w:val="24"/>
                <w:szCs w:val="24"/>
              </w:rPr>
              <w:t>CKD (Stage III -V)</w:t>
            </w:r>
          </w:p>
        </w:tc>
        <w:tc>
          <w:tcPr>
            <w:tcW w:w="2977" w:type="dxa"/>
            <w:tcBorders>
              <w:top w:val="single" w:sz="4" w:space="0" w:color="000000" w:themeColor="text1"/>
              <w:bottom w:val="single" w:sz="4" w:space="0" w:color="000000" w:themeColor="text1"/>
            </w:tcBorders>
          </w:tcPr>
          <w:p w:rsidR="009A7357" w:rsidRDefault="009A7357" w:rsidP="00A61854">
            <w:pPr>
              <w:rPr>
                <w:b/>
                <w:iCs/>
                <w:sz w:val="24"/>
                <w:szCs w:val="24"/>
              </w:rPr>
            </w:pPr>
            <w:r>
              <w:rPr>
                <w:b/>
                <w:iCs/>
                <w:sz w:val="24"/>
                <w:szCs w:val="24"/>
              </w:rPr>
              <w:t>Percentage </w:t>
            </w:r>
            <w:r w:rsidR="0071248C" w:rsidRPr="00B24B1A">
              <w:rPr>
                <w:b/>
                <w:iCs/>
                <w:sz w:val="24"/>
                <w:szCs w:val="24"/>
              </w:rPr>
              <w:t>ofPatient</w:t>
            </w:r>
            <w:r w:rsidR="00B24B1A">
              <w:rPr>
                <w:b/>
                <w:iCs/>
                <w:sz w:val="24"/>
                <w:szCs w:val="24"/>
              </w:rPr>
              <w:t xml:space="preserve">s </w:t>
            </w:r>
          </w:p>
          <w:p w:rsidR="0071248C" w:rsidRPr="00B24B1A" w:rsidRDefault="00B24B1A" w:rsidP="00A61854">
            <w:pPr>
              <w:rPr>
                <w:b/>
                <w:iCs/>
                <w:sz w:val="24"/>
                <w:szCs w:val="24"/>
              </w:rPr>
            </w:pPr>
            <w:r>
              <w:rPr>
                <w:b/>
                <w:iCs/>
                <w:sz w:val="24"/>
                <w:szCs w:val="24"/>
              </w:rPr>
              <w:t>with CKD</w:t>
            </w:r>
          </w:p>
        </w:tc>
      </w:tr>
      <w:tr w:rsidR="0071248C" w:rsidTr="009A7357">
        <w:tc>
          <w:tcPr>
            <w:tcW w:w="2235" w:type="dxa"/>
            <w:tcBorders>
              <w:top w:val="single" w:sz="4" w:space="0" w:color="000000" w:themeColor="text1"/>
            </w:tcBorders>
          </w:tcPr>
          <w:p w:rsidR="001C2542" w:rsidRDefault="001C2542" w:rsidP="00A61854">
            <w:pPr>
              <w:rPr>
                <w:iCs/>
                <w:sz w:val="24"/>
                <w:szCs w:val="24"/>
              </w:rPr>
            </w:pPr>
          </w:p>
          <w:p w:rsidR="0071248C" w:rsidRDefault="0071248C" w:rsidP="00A61854">
            <w:pPr>
              <w:rPr>
                <w:iCs/>
                <w:sz w:val="24"/>
                <w:szCs w:val="24"/>
              </w:rPr>
            </w:pPr>
            <w:r>
              <w:rPr>
                <w:iCs/>
                <w:sz w:val="24"/>
                <w:szCs w:val="24"/>
              </w:rPr>
              <w:t>120</w:t>
            </w:r>
          </w:p>
        </w:tc>
        <w:tc>
          <w:tcPr>
            <w:tcW w:w="2976" w:type="dxa"/>
            <w:tcBorders>
              <w:top w:val="single" w:sz="4" w:space="0" w:color="000000" w:themeColor="text1"/>
            </w:tcBorders>
          </w:tcPr>
          <w:p w:rsidR="001C2542" w:rsidRDefault="001C2542" w:rsidP="00A61854">
            <w:pPr>
              <w:rPr>
                <w:iCs/>
                <w:sz w:val="24"/>
                <w:szCs w:val="24"/>
              </w:rPr>
            </w:pPr>
          </w:p>
          <w:p w:rsidR="0071248C" w:rsidRDefault="0071248C" w:rsidP="00A61854">
            <w:pPr>
              <w:rPr>
                <w:iCs/>
                <w:sz w:val="24"/>
                <w:szCs w:val="24"/>
              </w:rPr>
            </w:pPr>
            <w:r>
              <w:rPr>
                <w:iCs/>
                <w:sz w:val="24"/>
                <w:szCs w:val="24"/>
              </w:rPr>
              <w:t>13</w:t>
            </w:r>
          </w:p>
        </w:tc>
        <w:tc>
          <w:tcPr>
            <w:tcW w:w="2977" w:type="dxa"/>
            <w:tcBorders>
              <w:top w:val="single" w:sz="4" w:space="0" w:color="000000" w:themeColor="text1"/>
            </w:tcBorders>
          </w:tcPr>
          <w:p w:rsidR="001C2542" w:rsidRDefault="001C2542" w:rsidP="00A61854">
            <w:pPr>
              <w:rPr>
                <w:iCs/>
                <w:sz w:val="24"/>
                <w:szCs w:val="24"/>
              </w:rPr>
            </w:pPr>
          </w:p>
          <w:p w:rsidR="0071248C" w:rsidRDefault="00B24B1A" w:rsidP="00A61854">
            <w:pPr>
              <w:rPr>
                <w:iCs/>
                <w:sz w:val="24"/>
                <w:szCs w:val="24"/>
              </w:rPr>
            </w:pPr>
            <w:r>
              <w:rPr>
                <w:iCs/>
                <w:sz w:val="24"/>
                <w:szCs w:val="24"/>
              </w:rPr>
              <w:t>10.8</w:t>
            </w:r>
          </w:p>
        </w:tc>
      </w:tr>
      <w:tr w:rsidR="0071248C" w:rsidTr="009A7357">
        <w:tc>
          <w:tcPr>
            <w:tcW w:w="2235" w:type="dxa"/>
          </w:tcPr>
          <w:p w:rsidR="0071248C" w:rsidRDefault="0071248C" w:rsidP="00A61854">
            <w:pPr>
              <w:rPr>
                <w:iCs/>
                <w:sz w:val="24"/>
                <w:szCs w:val="24"/>
              </w:rPr>
            </w:pPr>
          </w:p>
        </w:tc>
        <w:tc>
          <w:tcPr>
            <w:tcW w:w="2976" w:type="dxa"/>
          </w:tcPr>
          <w:p w:rsidR="0071248C" w:rsidRDefault="0071248C" w:rsidP="00A61854">
            <w:pPr>
              <w:rPr>
                <w:iCs/>
                <w:sz w:val="24"/>
                <w:szCs w:val="24"/>
              </w:rPr>
            </w:pPr>
          </w:p>
        </w:tc>
        <w:tc>
          <w:tcPr>
            <w:tcW w:w="2977" w:type="dxa"/>
          </w:tcPr>
          <w:p w:rsidR="0071248C" w:rsidRDefault="0071248C" w:rsidP="00A61854">
            <w:pPr>
              <w:rPr>
                <w:iCs/>
                <w:sz w:val="24"/>
                <w:szCs w:val="24"/>
              </w:rPr>
            </w:pPr>
          </w:p>
        </w:tc>
      </w:tr>
    </w:tbl>
    <w:p w:rsidR="005D4AD5" w:rsidRPr="001C2542" w:rsidRDefault="001C2542" w:rsidP="00A61854">
      <w:pPr>
        <w:rPr>
          <w:iCs/>
          <w:sz w:val="24"/>
          <w:szCs w:val="24"/>
        </w:rPr>
      </w:pPr>
      <w:r w:rsidRPr="001C2542">
        <w:rPr>
          <w:iCs/>
          <w:sz w:val="24"/>
          <w:szCs w:val="24"/>
        </w:rPr>
        <w:t>Prevalence of CKD found   = 10.8%</w:t>
      </w:r>
    </w:p>
    <w:p w:rsidR="00805AE7" w:rsidRDefault="00805AE7" w:rsidP="00A61854">
      <w:pPr>
        <w:jc w:val="center"/>
        <w:rPr>
          <w:b/>
          <w:sz w:val="24"/>
          <w:szCs w:val="24"/>
        </w:rPr>
      </w:pPr>
    </w:p>
    <w:p w:rsidR="00F33B35" w:rsidRDefault="00F33B35" w:rsidP="00A61854">
      <w:pPr>
        <w:rPr>
          <w:b/>
          <w:sz w:val="24"/>
          <w:szCs w:val="24"/>
        </w:rPr>
        <w:sectPr w:rsidR="00F33B35" w:rsidSect="00F33B35">
          <w:type w:val="continuous"/>
          <w:pgSz w:w="11906" w:h="16838"/>
          <w:pgMar w:top="1440" w:right="1440" w:bottom="1440" w:left="1440" w:header="708" w:footer="708" w:gutter="0"/>
          <w:cols w:space="708"/>
          <w:docGrid w:linePitch="360"/>
        </w:sectPr>
      </w:pPr>
    </w:p>
    <w:p w:rsidR="005D4AD5" w:rsidRPr="005D765A" w:rsidRDefault="005D4AD5" w:rsidP="00A61854">
      <w:pPr>
        <w:rPr>
          <w:b/>
          <w:sz w:val="24"/>
          <w:szCs w:val="24"/>
        </w:rPr>
      </w:pPr>
      <w:r w:rsidRPr="005D765A">
        <w:rPr>
          <w:b/>
          <w:sz w:val="24"/>
          <w:szCs w:val="24"/>
        </w:rPr>
        <w:lastRenderedPageBreak/>
        <w:t>DISCUSSION</w:t>
      </w:r>
    </w:p>
    <w:p w:rsidR="005D4AD5" w:rsidRPr="00657A83" w:rsidRDefault="005D4AD5" w:rsidP="00A61854">
      <w:pPr>
        <w:rPr>
          <w:sz w:val="24"/>
          <w:szCs w:val="24"/>
        </w:rPr>
      </w:pPr>
      <w:r w:rsidRPr="000905C6">
        <w:rPr>
          <w:sz w:val="24"/>
          <w:szCs w:val="24"/>
        </w:rPr>
        <w:t>The ratio of male to female with CKD in this study was 1:3. In a review of population-based studies on the prevalence of CKD it was observed that several studies had higher prevalence of CKD in females</w:t>
      </w:r>
      <w:r w:rsidRPr="005D4AD5">
        <w:rPr>
          <w:sz w:val="24"/>
          <w:szCs w:val="24"/>
          <w:vertAlign w:val="superscript"/>
        </w:rPr>
        <w:t>16</w:t>
      </w:r>
      <w:r w:rsidRPr="000905C6">
        <w:rPr>
          <w:sz w:val="24"/>
          <w:szCs w:val="24"/>
        </w:rPr>
        <w:t>.</w:t>
      </w:r>
      <w:r w:rsidR="00045476" w:rsidRPr="000D65FE">
        <w:rPr>
          <w:sz w:val="24"/>
          <w:szCs w:val="24"/>
        </w:rPr>
        <w:t>In a community-based study on kidney disease in Uganda a higher prevalence of CKD in the female  was also observed</w:t>
      </w:r>
      <w:r w:rsidR="00045476" w:rsidRPr="00045476">
        <w:rPr>
          <w:sz w:val="24"/>
          <w:szCs w:val="24"/>
          <w:vertAlign w:val="superscript"/>
        </w:rPr>
        <w:t>17</w:t>
      </w:r>
      <w:r w:rsidR="00045476">
        <w:rPr>
          <w:sz w:val="24"/>
          <w:szCs w:val="24"/>
        </w:rPr>
        <w:t>.</w:t>
      </w:r>
      <w:r w:rsidR="00F969EC" w:rsidRPr="000905C6">
        <w:rPr>
          <w:sz w:val="24"/>
          <w:szCs w:val="24"/>
        </w:rPr>
        <w:t>The fact that men have more muscle mass than women, and the differences in hormone metabolism and glomerular structure are assumed to play a role in the differences in prevalence of CKD observed between male and female gender</w:t>
      </w:r>
      <w:r w:rsidR="00F969EC" w:rsidRPr="00F969EC">
        <w:rPr>
          <w:sz w:val="24"/>
          <w:szCs w:val="24"/>
          <w:vertAlign w:val="superscript"/>
        </w:rPr>
        <w:t>18</w:t>
      </w:r>
      <w:r w:rsidR="00F969EC">
        <w:rPr>
          <w:sz w:val="24"/>
          <w:szCs w:val="24"/>
        </w:rPr>
        <w:t>.</w:t>
      </w:r>
      <w:r w:rsidR="004C46FE" w:rsidRPr="00FB2A2B">
        <w:rPr>
          <w:sz w:val="24"/>
          <w:szCs w:val="24"/>
        </w:rPr>
        <w:t>Chronic Kidney Disease (CKD) is defined as a chronic condition characterized by decreased kidney function that is shown by a glomerular filtration rate (GFR) that is less than 60 mL/min per 1.73m</w:t>
      </w:r>
      <w:r w:rsidR="004C46FE" w:rsidRPr="00FB2A2B">
        <w:rPr>
          <w:sz w:val="24"/>
          <w:szCs w:val="24"/>
          <w:vertAlign w:val="superscript"/>
        </w:rPr>
        <w:t>2</w:t>
      </w:r>
      <w:r w:rsidR="004C46FE">
        <w:rPr>
          <w:sz w:val="24"/>
          <w:szCs w:val="24"/>
        </w:rPr>
        <w:t xml:space="preserve">) </w:t>
      </w:r>
      <w:r w:rsidR="004C46FE" w:rsidRPr="004C46FE">
        <w:rPr>
          <w:sz w:val="24"/>
          <w:szCs w:val="24"/>
          <w:vertAlign w:val="superscript"/>
        </w:rPr>
        <w:t>4</w:t>
      </w:r>
      <w:r w:rsidR="004C46FE">
        <w:rPr>
          <w:sz w:val="24"/>
          <w:szCs w:val="24"/>
        </w:rPr>
        <w:t>.</w:t>
      </w:r>
      <w:r w:rsidR="00305307" w:rsidRPr="00CF6FC3">
        <w:rPr>
          <w:sz w:val="24"/>
          <w:szCs w:val="24"/>
        </w:rPr>
        <w:t xml:space="preserve">The prevalence of CKD in </w:t>
      </w:r>
      <w:r w:rsidR="00305307" w:rsidRPr="00CF6FC3">
        <w:rPr>
          <w:sz w:val="24"/>
          <w:szCs w:val="24"/>
        </w:rPr>
        <w:lastRenderedPageBreak/>
        <w:t>patients w</w:t>
      </w:r>
      <w:r w:rsidR="006911DA">
        <w:rPr>
          <w:sz w:val="24"/>
          <w:szCs w:val="24"/>
        </w:rPr>
        <w:t>ith T2DM was 10.8</w:t>
      </w:r>
      <w:r w:rsidR="00305307">
        <w:rPr>
          <w:sz w:val="24"/>
          <w:szCs w:val="24"/>
        </w:rPr>
        <w:t>%. I</w:t>
      </w:r>
      <w:r w:rsidR="00305307" w:rsidRPr="00CF6FC3">
        <w:rPr>
          <w:sz w:val="24"/>
          <w:szCs w:val="24"/>
        </w:rPr>
        <w:t>n contrast to 25.2% in a study in 16 Health Centers of Health Sector in Alcañiz</w:t>
      </w:r>
      <w:r w:rsidR="00305307" w:rsidRPr="00305307">
        <w:rPr>
          <w:sz w:val="24"/>
          <w:szCs w:val="24"/>
          <w:vertAlign w:val="superscript"/>
        </w:rPr>
        <w:t>19</w:t>
      </w:r>
      <w:r w:rsidR="00305307">
        <w:rPr>
          <w:sz w:val="24"/>
          <w:szCs w:val="24"/>
        </w:rPr>
        <w:t>.</w:t>
      </w:r>
      <w:r w:rsidR="0076675F" w:rsidRPr="00CF6FC3">
        <w:rPr>
          <w:sz w:val="24"/>
          <w:szCs w:val="24"/>
        </w:rPr>
        <w:t>Also higher in a suburban community in Thailand, the estimated prevalence of CKD stages 3–5 (eGFR&lt;60 mL/min/1.73 m</w:t>
      </w:r>
      <w:r w:rsidR="0076675F" w:rsidRPr="00CF6FC3">
        <w:rPr>
          <w:sz w:val="24"/>
          <w:szCs w:val="24"/>
          <w:vertAlign w:val="superscript"/>
        </w:rPr>
        <w:t>2</w:t>
      </w:r>
      <w:r w:rsidR="0076675F" w:rsidRPr="00CF6FC3">
        <w:rPr>
          <w:sz w:val="24"/>
          <w:szCs w:val="24"/>
        </w:rPr>
        <w:t>) in T2DM patients was 24.4%</w:t>
      </w:r>
      <w:r w:rsidR="0076675F" w:rsidRPr="0076675F">
        <w:rPr>
          <w:sz w:val="24"/>
          <w:szCs w:val="24"/>
          <w:vertAlign w:val="superscript"/>
        </w:rPr>
        <w:t>20</w:t>
      </w:r>
      <w:r w:rsidR="00071738">
        <w:rPr>
          <w:sz w:val="24"/>
          <w:szCs w:val="24"/>
        </w:rPr>
        <w:t xml:space="preserve">. </w:t>
      </w:r>
      <w:r w:rsidR="003E2B03">
        <w:rPr>
          <w:sz w:val="24"/>
          <w:szCs w:val="24"/>
        </w:rPr>
        <w:t>While i</w:t>
      </w:r>
      <w:r w:rsidR="006911DA">
        <w:rPr>
          <w:sz w:val="24"/>
          <w:szCs w:val="24"/>
        </w:rPr>
        <w:t>n Macedonia, 7.5</w:t>
      </w:r>
      <w:r w:rsidR="003E2B03" w:rsidRPr="00CF6FC3">
        <w:rPr>
          <w:sz w:val="24"/>
          <w:szCs w:val="24"/>
        </w:rPr>
        <w:t>% Subjects was with CKD</w:t>
      </w:r>
      <w:r w:rsidR="003E2B03" w:rsidRPr="003E2B03">
        <w:rPr>
          <w:sz w:val="24"/>
          <w:szCs w:val="24"/>
          <w:vertAlign w:val="superscript"/>
        </w:rPr>
        <w:t>21</w:t>
      </w:r>
      <w:r w:rsidR="003E2B03">
        <w:rPr>
          <w:sz w:val="24"/>
          <w:szCs w:val="24"/>
        </w:rPr>
        <w:t>.</w:t>
      </w:r>
      <w:r w:rsidR="00071738" w:rsidRPr="00CF6FC3">
        <w:rPr>
          <w:sz w:val="24"/>
          <w:szCs w:val="24"/>
        </w:rPr>
        <w:t>Globally, the overall prevalence of CKD among T2DM patients varied at 6.0–39.3%. These discrepancies across different settings may be attributed to the variations in diagnostic methods used</w:t>
      </w:r>
      <w:r w:rsidR="00071738" w:rsidRPr="00A36B72">
        <w:rPr>
          <w:sz w:val="24"/>
          <w:szCs w:val="24"/>
          <w:vertAlign w:val="superscript"/>
        </w:rPr>
        <w:t>20</w:t>
      </w:r>
      <w:r w:rsidR="00071738">
        <w:rPr>
          <w:sz w:val="24"/>
          <w:szCs w:val="24"/>
        </w:rPr>
        <w:t>.</w:t>
      </w:r>
      <w:r w:rsidR="00A806D7" w:rsidRPr="003274BF">
        <w:rPr>
          <w:sz w:val="24"/>
          <w:szCs w:val="24"/>
        </w:rPr>
        <w:t xml:space="preserve">In a study in Nigeria four of the seven studies that used MDRD </w:t>
      </w:r>
      <w:r w:rsidR="00741865" w:rsidRPr="003274BF">
        <w:rPr>
          <w:sz w:val="24"/>
          <w:szCs w:val="24"/>
        </w:rPr>
        <w:t>formula</w:t>
      </w:r>
      <w:r w:rsidR="00A806D7" w:rsidRPr="003274BF">
        <w:rPr>
          <w:sz w:val="24"/>
          <w:szCs w:val="24"/>
        </w:rPr>
        <w:t xml:space="preserve"> to</w:t>
      </w:r>
      <w:r w:rsidR="00741865">
        <w:rPr>
          <w:sz w:val="24"/>
          <w:szCs w:val="24"/>
        </w:rPr>
        <w:t xml:space="preserve"> calculate eGFR, the prevalence</w:t>
      </w:r>
      <w:r w:rsidR="00A806D7" w:rsidRPr="003274BF">
        <w:rPr>
          <w:sz w:val="24"/>
          <w:szCs w:val="24"/>
        </w:rPr>
        <w:t xml:space="preserve"> observed were 12.3%, 14.2%, 2.5%, and 13.4%</w:t>
      </w:r>
      <w:r w:rsidR="00A806D7">
        <w:rPr>
          <w:sz w:val="24"/>
          <w:szCs w:val="24"/>
        </w:rPr>
        <w:t>.</w:t>
      </w:r>
      <w:r w:rsidR="004C0BDB">
        <w:rPr>
          <w:sz w:val="24"/>
          <w:szCs w:val="24"/>
          <w:vertAlign w:val="superscript"/>
        </w:rPr>
        <w:t>22</w:t>
      </w:r>
      <w:r w:rsidR="00D33E55">
        <w:rPr>
          <w:sz w:val="24"/>
          <w:szCs w:val="24"/>
        </w:rPr>
        <w:t xml:space="preserve">. </w:t>
      </w:r>
      <w:r w:rsidR="00F87EE8" w:rsidRPr="00931CCB">
        <w:rPr>
          <w:sz w:val="24"/>
          <w:szCs w:val="24"/>
        </w:rPr>
        <w:t xml:space="preserve">T2DM patients with CKD were more likely to have diabetes-related complications including ischaemic heart disease, cerebrovascular disease, diabetic </w:t>
      </w:r>
      <w:r w:rsidR="00F87EE8" w:rsidRPr="00931CCB">
        <w:rPr>
          <w:sz w:val="24"/>
          <w:szCs w:val="24"/>
        </w:rPr>
        <w:lastRenderedPageBreak/>
        <w:t>retinopathy, and albuminuria than those without CKD. Taken together, these figures are in line with previous nationwide reports in a study in Thailand</w:t>
      </w:r>
      <w:r w:rsidR="00F87EE8" w:rsidRPr="00931CCB">
        <w:rPr>
          <w:sz w:val="24"/>
          <w:szCs w:val="24"/>
          <w:vertAlign w:val="superscript"/>
        </w:rPr>
        <w:t>23</w:t>
      </w:r>
      <w:r w:rsidR="00F87EE8">
        <w:t xml:space="preserve">. </w:t>
      </w:r>
      <w:r w:rsidR="005B0F86" w:rsidRPr="00657A83">
        <w:rPr>
          <w:sz w:val="24"/>
          <w:szCs w:val="24"/>
        </w:rPr>
        <w:t>Our study delivers previously unrecognized data on the prevalence of CKD among T2DM in an urban community</w:t>
      </w:r>
      <w:r w:rsidR="00B424C4">
        <w:rPr>
          <w:sz w:val="24"/>
          <w:szCs w:val="24"/>
        </w:rPr>
        <w:t xml:space="preserve"> like kwara state</w:t>
      </w:r>
    </w:p>
    <w:p w:rsidR="005B0F86" w:rsidRDefault="00F9210A" w:rsidP="00A61854">
      <w:r w:rsidRPr="00657A83">
        <w:rPr>
          <w:sz w:val="24"/>
          <w:szCs w:val="24"/>
        </w:rPr>
        <w:t>Due to rapid urbaniz</w:t>
      </w:r>
      <w:r w:rsidR="005B0F86" w:rsidRPr="00657A83">
        <w:rPr>
          <w:sz w:val="24"/>
          <w:szCs w:val="24"/>
        </w:rPr>
        <w:t>ation and the dramatic increase in the elderly population, our findings support the well-</w:t>
      </w:r>
      <w:r w:rsidR="00686BB5" w:rsidRPr="00657A83">
        <w:rPr>
          <w:sz w:val="24"/>
          <w:szCs w:val="24"/>
        </w:rPr>
        <w:t>recognized</w:t>
      </w:r>
      <w:r w:rsidR="005B0F86" w:rsidRPr="00657A83">
        <w:rPr>
          <w:sz w:val="24"/>
          <w:szCs w:val="24"/>
        </w:rPr>
        <w:t xml:space="preserve"> fact that routine surveillance is mandatory to prevent the development of E</w:t>
      </w:r>
      <w:r w:rsidR="00686BB5">
        <w:rPr>
          <w:sz w:val="24"/>
          <w:szCs w:val="24"/>
        </w:rPr>
        <w:t xml:space="preserve">nd </w:t>
      </w:r>
      <w:r w:rsidR="005B0F86" w:rsidRPr="00657A83">
        <w:rPr>
          <w:sz w:val="24"/>
          <w:szCs w:val="24"/>
        </w:rPr>
        <w:t>S</w:t>
      </w:r>
      <w:r w:rsidR="00686BB5">
        <w:rPr>
          <w:sz w:val="24"/>
          <w:szCs w:val="24"/>
        </w:rPr>
        <w:t xml:space="preserve">tage </w:t>
      </w:r>
      <w:r w:rsidR="005B0F86" w:rsidRPr="00657A83">
        <w:rPr>
          <w:sz w:val="24"/>
          <w:szCs w:val="24"/>
        </w:rPr>
        <w:t>R</w:t>
      </w:r>
      <w:r w:rsidR="00686BB5">
        <w:rPr>
          <w:sz w:val="24"/>
          <w:szCs w:val="24"/>
        </w:rPr>
        <w:t xml:space="preserve">enal </w:t>
      </w:r>
      <w:r w:rsidR="005B0F86" w:rsidRPr="00657A83">
        <w:rPr>
          <w:sz w:val="24"/>
          <w:szCs w:val="24"/>
        </w:rPr>
        <w:t>D</w:t>
      </w:r>
      <w:r w:rsidR="00686BB5">
        <w:rPr>
          <w:sz w:val="24"/>
          <w:szCs w:val="24"/>
        </w:rPr>
        <w:t>isease (ESRD)</w:t>
      </w:r>
      <w:r w:rsidR="00C00B9D">
        <w:rPr>
          <w:sz w:val="24"/>
          <w:szCs w:val="24"/>
        </w:rPr>
        <w:t xml:space="preserve"> and</w:t>
      </w:r>
      <w:r w:rsidR="005B0F86" w:rsidRPr="00657A83">
        <w:rPr>
          <w:sz w:val="24"/>
          <w:szCs w:val="24"/>
        </w:rPr>
        <w:t xml:space="preserve"> decrease the healthcare burden</w:t>
      </w:r>
      <w:r w:rsidR="00F87EE8" w:rsidRPr="00F87EE8">
        <w:rPr>
          <w:sz w:val="24"/>
          <w:szCs w:val="24"/>
          <w:vertAlign w:val="superscript"/>
        </w:rPr>
        <w:t>20</w:t>
      </w:r>
      <w:r w:rsidR="005B0F86" w:rsidRPr="00657A83">
        <w:rPr>
          <w:sz w:val="24"/>
          <w:szCs w:val="24"/>
        </w:rPr>
        <w:t xml:space="preserve">. </w:t>
      </w:r>
      <w:r w:rsidR="005B0F86" w:rsidRPr="00806858">
        <w:rPr>
          <w:sz w:val="24"/>
          <w:szCs w:val="24"/>
        </w:rPr>
        <w:t>This study may also contribute to</w:t>
      </w:r>
      <w:r w:rsidR="00796A20" w:rsidRPr="00806858">
        <w:rPr>
          <w:sz w:val="24"/>
          <w:szCs w:val="24"/>
        </w:rPr>
        <w:t xml:space="preserve"> the fact that </w:t>
      </w:r>
      <w:r w:rsidR="005B0F86" w:rsidRPr="00806858">
        <w:rPr>
          <w:sz w:val="24"/>
          <w:szCs w:val="24"/>
        </w:rPr>
        <w:t>improv</w:t>
      </w:r>
      <w:r w:rsidR="00796A20" w:rsidRPr="00806858">
        <w:rPr>
          <w:sz w:val="24"/>
          <w:szCs w:val="24"/>
        </w:rPr>
        <w:t>ing</w:t>
      </w:r>
      <w:r w:rsidR="005B0F86" w:rsidRPr="00806858">
        <w:rPr>
          <w:sz w:val="24"/>
          <w:szCs w:val="24"/>
        </w:rPr>
        <w:t xml:space="preserve"> diabetes care management </w:t>
      </w:r>
      <w:r w:rsidR="00796A20" w:rsidRPr="00806858">
        <w:rPr>
          <w:sz w:val="24"/>
          <w:szCs w:val="24"/>
        </w:rPr>
        <w:t>and screening patients with type 2 DM for CKD will  prevent the cascade of events leading to nephropathy by implementing adequate glycemic and blood pressure controls, especially in the early stages of CKD</w:t>
      </w:r>
      <w:r w:rsidR="00796A20" w:rsidRPr="00806858">
        <w:rPr>
          <w:sz w:val="24"/>
          <w:szCs w:val="24"/>
          <w:vertAlign w:val="superscript"/>
        </w:rPr>
        <w:t>2</w:t>
      </w:r>
      <w:r w:rsidR="00F87EE8">
        <w:rPr>
          <w:sz w:val="24"/>
          <w:szCs w:val="24"/>
          <w:vertAlign w:val="superscript"/>
        </w:rPr>
        <w:t>4</w:t>
      </w:r>
      <w:r w:rsidR="00796A20" w:rsidRPr="00806858">
        <w:rPr>
          <w:sz w:val="24"/>
          <w:szCs w:val="24"/>
        </w:rPr>
        <w:t xml:space="preserve">. </w:t>
      </w:r>
      <w:r w:rsidR="008F79E0" w:rsidRPr="00806858">
        <w:rPr>
          <w:sz w:val="24"/>
          <w:szCs w:val="24"/>
        </w:rPr>
        <w:t>The relatively low</w:t>
      </w:r>
      <w:r w:rsidR="008F79E0">
        <w:rPr>
          <w:sz w:val="24"/>
          <w:szCs w:val="24"/>
        </w:rPr>
        <w:t xml:space="preserve"> prevalence of CKD seen amongst T2DM patients attending general hospital can be said to be due to the fact that the sample size was very small, it was not multi-center and the </w:t>
      </w:r>
      <w:r w:rsidR="008F79E0">
        <w:rPr>
          <w:sz w:val="24"/>
          <w:szCs w:val="24"/>
        </w:rPr>
        <w:lastRenderedPageBreak/>
        <w:t>duration of time of study was short</w:t>
      </w:r>
      <w:r w:rsidR="00C72620">
        <w:rPr>
          <w:sz w:val="24"/>
          <w:szCs w:val="24"/>
        </w:rPr>
        <w:t>.</w:t>
      </w:r>
    </w:p>
    <w:p w:rsidR="00F33B35" w:rsidRDefault="00F33B35" w:rsidP="00A61854">
      <w:pPr>
        <w:rPr>
          <w:b/>
        </w:rPr>
      </w:pPr>
    </w:p>
    <w:p w:rsidR="00F05F40" w:rsidRDefault="00F05F40" w:rsidP="00A61854">
      <w:pPr>
        <w:rPr>
          <w:b/>
        </w:rPr>
      </w:pPr>
      <w:r w:rsidRPr="00F05F40">
        <w:rPr>
          <w:b/>
        </w:rPr>
        <w:t>CONCLUSION</w:t>
      </w:r>
    </w:p>
    <w:p w:rsidR="00B424C4" w:rsidRDefault="00F05F40" w:rsidP="00A61854">
      <w:r>
        <w:rPr>
          <w:rFonts w:eastAsia="Times New Roman"/>
          <w:color w:val="000000"/>
          <w:sz w:val="24"/>
          <w:szCs w:val="24"/>
        </w:rPr>
        <w:t>The findings of the study had revealed that the prevalen</w:t>
      </w:r>
      <w:r w:rsidR="009B0B66">
        <w:rPr>
          <w:rFonts w:eastAsia="Times New Roman"/>
          <w:color w:val="000000"/>
          <w:sz w:val="24"/>
          <w:szCs w:val="24"/>
        </w:rPr>
        <w:t>ce of CKD in T2DM patients is 10.8</w:t>
      </w:r>
      <w:r>
        <w:rPr>
          <w:rFonts w:eastAsia="Times New Roman"/>
          <w:color w:val="000000"/>
          <w:sz w:val="24"/>
          <w:szCs w:val="24"/>
        </w:rPr>
        <w:t>%</w:t>
      </w:r>
      <w:r w:rsidR="00F941A5">
        <w:rPr>
          <w:rFonts w:eastAsia="Times New Roman"/>
          <w:color w:val="000000"/>
          <w:sz w:val="24"/>
          <w:szCs w:val="24"/>
        </w:rPr>
        <w:t xml:space="preserve"> which is within the range of global prevalence</w:t>
      </w:r>
      <w:r>
        <w:rPr>
          <w:rFonts w:eastAsia="Times New Roman"/>
          <w:color w:val="000000"/>
          <w:sz w:val="24"/>
          <w:szCs w:val="24"/>
        </w:rPr>
        <w:t>.</w:t>
      </w:r>
    </w:p>
    <w:p w:rsidR="00F33B35" w:rsidRDefault="00F33B35" w:rsidP="00A61854">
      <w:pPr>
        <w:rPr>
          <w:b/>
          <w:sz w:val="24"/>
          <w:szCs w:val="24"/>
        </w:rPr>
      </w:pPr>
    </w:p>
    <w:p w:rsidR="00C72620" w:rsidRPr="00C23121" w:rsidRDefault="00C72620" w:rsidP="00A61854">
      <w:pPr>
        <w:rPr>
          <w:b/>
          <w:sz w:val="24"/>
          <w:szCs w:val="24"/>
        </w:rPr>
      </w:pPr>
      <w:r w:rsidRPr="00C23121">
        <w:rPr>
          <w:b/>
          <w:sz w:val="24"/>
          <w:szCs w:val="24"/>
        </w:rPr>
        <w:t>RECOMMENDATION</w:t>
      </w:r>
    </w:p>
    <w:p w:rsidR="00F05F40" w:rsidRPr="00F05F40" w:rsidRDefault="00C72620" w:rsidP="00A61854">
      <w:pPr>
        <w:rPr>
          <w:b/>
        </w:rPr>
      </w:pPr>
      <w:r w:rsidRPr="00657A83">
        <w:rPr>
          <w:sz w:val="24"/>
          <w:szCs w:val="24"/>
        </w:rPr>
        <w:t xml:space="preserve"> Further studies are needed to assess the utility of integrating the clinical predictive factors of CKD among T2DM patients as a part of routine diabetes care and call for strategic goals and actions upon their recognition to reduce the CKD incidence or slow CKD progression</w:t>
      </w:r>
      <w:r>
        <w:rPr>
          <w:vertAlign w:val="superscript"/>
        </w:rPr>
        <w:t>20</w:t>
      </w:r>
      <w:r>
        <w:t>.</w:t>
      </w:r>
    </w:p>
    <w:p w:rsidR="00F33B35" w:rsidRDefault="00F33B35" w:rsidP="00A61854">
      <w:pPr>
        <w:rPr>
          <w:b/>
          <w:sz w:val="24"/>
          <w:szCs w:val="24"/>
        </w:rPr>
      </w:pPr>
    </w:p>
    <w:p w:rsidR="0005208D" w:rsidRPr="00C23121" w:rsidRDefault="00C23121" w:rsidP="00A61854">
      <w:pPr>
        <w:rPr>
          <w:b/>
          <w:sz w:val="24"/>
          <w:szCs w:val="24"/>
        </w:rPr>
      </w:pPr>
      <w:r w:rsidRPr="00C23121">
        <w:rPr>
          <w:b/>
          <w:sz w:val="24"/>
          <w:szCs w:val="24"/>
        </w:rPr>
        <w:t xml:space="preserve">STUDY </w:t>
      </w:r>
      <w:r w:rsidR="00686BB5" w:rsidRPr="00C23121">
        <w:rPr>
          <w:b/>
          <w:sz w:val="24"/>
          <w:szCs w:val="24"/>
        </w:rPr>
        <w:t>LIMITATION</w:t>
      </w:r>
    </w:p>
    <w:p w:rsidR="00686BB5" w:rsidRDefault="00686BB5" w:rsidP="00A61854">
      <w:pPr>
        <w:rPr>
          <w:sz w:val="24"/>
          <w:szCs w:val="24"/>
        </w:rPr>
      </w:pPr>
      <w:r w:rsidRPr="009C5A61">
        <w:rPr>
          <w:sz w:val="24"/>
          <w:szCs w:val="24"/>
        </w:rPr>
        <w:t>A major drawback in these studies is that the estimated GFR of the subjects who were observed to have CKD was only assessed once. Ideally, the assessments should have been repeated 3 months later to find out if the values of the estimated GFR were still below 60 mL/min/1.73 m</w:t>
      </w:r>
      <w:r w:rsidRPr="009C5A61">
        <w:rPr>
          <w:sz w:val="24"/>
          <w:szCs w:val="24"/>
          <w:vertAlign w:val="superscript"/>
        </w:rPr>
        <w:t>2</w:t>
      </w:r>
      <w:r w:rsidRPr="009C5A61">
        <w:rPr>
          <w:sz w:val="24"/>
          <w:szCs w:val="24"/>
        </w:rPr>
        <w:t xml:space="preserve"> in the subjects with CKD</w:t>
      </w:r>
      <w:r w:rsidRPr="00D33E55">
        <w:rPr>
          <w:sz w:val="24"/>
          <w:szCs w:val="24"/>
          <w:vertAlign w:val="superscript"/>
        </w:rPr>
        <w:t>2</w:t>
      </w:r>
      <w:r>
        <w:rPr>
          <w:sz w:val="24"/>
          <w:szCs w:val="24"/>
        </w:rPr>
        <w:t>.</w:t>
      </w:r>
    </w:p>
    <w:p w:rsidR="00F33B35" w:rsidRDefault="00F33B35" w:rsidP="004732AC">
      <w:pPr>
        <w:spacing w:line="360" w:lineRule="auto"/>
        <w:rPr>
          <w:b/>
          <w:sz w:val="24"/>
          <w:szCs w:val="24"/>
        </w:rPr>
        <w:sectPr w:rsidR="00F33B35" w:rsidSect="00F33B35">
          <w:type w:val="continuous"/>
          <w:pgSz w:w="11906" w:h="16838"/>
          <w:pgMar w:top="1440" w:right="1440" w:bottom="1440" w:left="1440" w:header="708" w:footer="708" w:gutter="0"/>
          <w:cols w:num="2" w:space="708"/>
          <w:docGrid w:linePitch="360"/>
        </w:sectPr>
      </w:pPr>
    </w:p>
    <w:p w:rsidR="00014D42" w:rsidRPr="004732AC" w:rsidRDefault="00014D42" w:rsidP="004732AC">
      <w:pPr>
        <w:spacing w:line="360" w:lineRule="auto"/>
        <w:rPr>
          <w:b/>
          <w:sz w:val="24"/>
          <w:szCs w:val="24"/>
        </w:rPr>
      </w:pPr>
    </w:p>
    <w:p w:rsidR="00F33B35" w:rsidRDefault="00F33B35" w:rsidP="009B0B66">
      <w:pPr>
        <w:spacing w:line="360" w:lineRule="auto"/>
        <w:rPr>
          <w:b/>
          <w:sz w:val="24"/>
          <w:szCs w:val="24"/>
        </w:rPr>
        <w:sectPr w:rsidR="00F33B35" w:rsidSect="00F33B35">
          <w:type w:val="continuous"/>
          <w:pgSz w:w="11906" w:h="16838"/>
          <w:pgMar w:top="1440" w:right="1440" w:bottom="1440" w:left="1440" w:header="708" w:footer="708" w:gutter="0"/>
          <w:cols w:space="708"/>
          <w:docGrid w:linePitch="360"/>
        </w:sectPr>
      </w:pPr>
    </w:p>
    <w:p w:rsidR="00343A93" w:rsidRPr="004732AC" w:rsidRDefault="00343A93" w:rsidP="009B0B66">
      <w:pPr>
        <w:spacing w:line="360" w:lineRule="auto"/>
        <w:rPr>
          <w:b/>
          <w:sz w:val="24"/>
          <w:szCs w:val="24"/>
        </w:rPr>
      </w:pPr>
      <w:r w:rsidRPr="004732AC">
        <w:rPr>
          <w:b/>
          <w:sz w:val="24"/>
          <w:szCs w:val="24"/>
        </w:rPr>
        <w:lastRenderedPageBreak/>
        <w:t>REFERENCE</w:t>
      </w:r>
    </w:p>
    <w:p w:rsidR="00014D42" w:rsidRDefault="00E748DA"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Himmelfarb, J., &amp;Ikizler, T. A. (2010). Hemodialysis. </w:t>
      </w:r>
      <w:r w:rsidRPr="00CE3186">
        <w:rPr>
          <w:rFonts w:eastAsia="Times New Roman"/>
          <w:i/>
          <w:iCs/>
          <w:kern w:val="0"/>
          <w:sz w:val="24"/>
          <w:szCs w:val="24"/>
          <w:lang w:val="en-GB" w:eastAsia="en-GB"/>
        </w:rPr>
        <w:t>New England Journal of Medicine</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363</w:t>
      </w:r>
      <w:r w:rsidRPr="00CE3186">
        <w:rPr>
          <w:rFonts w:eastAsia="Times New Roman"/>
          <w:kern w:val="0"/>
          <w:sz w:val="24"/>
          <w:szCs w:val="24"/>
          <w:lang w:val="en-GB" w:eastAsia="en-GB"/>
        </w:rPr>
        <w:t>(19), 1833-1845.</w:t>
      </w:r>
    </w:p>
    <w:p w:rsidR="00360C9B" w:rsidRPr="00360C9B" w:rsidRDefault="00360C9B" w:rsidP="00360C9B">
      <w:pPr>
        <w:pStyle w:val="ListParagraph"/>
        <w:widowControl/>
        <w:ind w:left="720"/>
        <w:rPr>
          <w:rFonts w:eastAsia="Times New Roman"/>
          <w:kern w:val="0"/>
          <w:sz w:val="24"/>
          <w:szCs w:val="24"/>
          <w:lang w:val="en-GB" w:eastAsia="en-GB"/>
        </w:rPr>
      </w:pPr>
    </w:p>
    <w:p w:rsidR="00E748DA" w:rsidRDefault="00014D42" w:rsidP="004732AC">
      <w:pPr>
        <w:pStyle w:val="ListParagraph"/>
        <w:widowControl/>
        <w:numPr>
          <w:ilvl w:val="0"/>
          <w:numId w:val="3"/>
        </w:numPr>
        <w:spacing w:after="160" w:line="259" w:lineRule="auto"/>
        <w:contextualSpacing/>
        <w:rPr>
          <w:sz w:val="24"/>
          <w:szCs w:val="24"/>
        </w:rPr>
      </w:pPr>
      <w:r w:rsidRPr="00CE3186">
        <w:rPr>
          <w:sz w:val="24"/>
          <w:szCs w:val="24"/>
        </w:rPr>
        <w:t>Levey, A. S., Atkins, R., Coresh, J., Cohen, E. P., Coll</w:t>
      </w:r>
      <w:r w:rsidR="00360C9B">
        <w:rPr>
          <w:sz w:val="24"/>
          <w:szCs w:val="24"/>
        </w:rPr>
        <w:t xml:space="preserve">ins, A. J., Eckardt, K. U., </w:t>
      </w:r>
      <w:r w:rsidRPr="00CE3186">
        <w:rPr>
          <w:sz w:val="24"/>
          <w:szCs w:val="24"/>
        </w:rPr>
        <w:t xml:space="preserve">&amp;Eknoyan, G. (2007). Chronic kidney disease as a global public health problem: approaches and initiatives–a position statement from Kidney Disease Improving Global Outcomes. </w:t>
      </w:r>
      <w:r w:rsidRPr="00CE3186">
        <w:rPr>
          <w:i/>
          <w:iCs/>
          <w:sz w:val="24"/>
          <w:szCs w:val="24"/>
        </w:rPr>
        <w:t>Kidney international</w:t>
      </w:r>
      <w:r w:rsidRPr="00CE3186">
        <w:rPr>
          <w:sz w:val="24"/>
          <w:szCs w:val="24"/>
        </w:rPr>
        <w:t xml:space="preserve">, </w:t>
      </w:r>
      <w:r w:rsidRPr="00CE3186">
        <w:rPr>
          <w:i/>
          <w:iCs/>
          <w:sz w:val="24"/>
          <w:szCs w:val="24"/>
        </w:rPr>
        <w:t>72</w:t>
      </w:r>
      <w:r w:rsidRPr="00CE3186">
        <w:rPr>
          <w:sz w:val="24"/>
          <w:szCs w:val="24"/>
        </w:rPr>
        <w:t>(3), 247-259</w:t>
      </w:r>
    </w:p>
    <w:p w:rsidR="00360C9B" w:rsidRPr="00360C9B" w:rsidRDefault="00360C9B" w:rsidP="00360C9B">
      <w:pPr>
        <w:pStyle w:val="ListParagraph"/>
        <w:widowControl/>
        <w:spacing w:after="160" w:line="259" w:lineRule="auto"/>
        <w:ind w:left="720"/>
        <w:contextualSpacing/>
        <w:rPr>
          <w:sz w:val="24"/>
          <w:szCs w:val="24"/>
        </w:rPr>
      </w:pPr>
    </w:p>
    <w:p w:rsidR="00E748DA" w:rsidRDefault="00E748DA"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Zirogiannis, P., Pieridis, A., &amp; Diamantopoulos, A. (2005). Clinical nephrology, volume D.</w:t>
      </w:r>
    </w:p>
    <w:p w:rsidR="00360C9B" w:rsidRPr="00360C9B" w:rsidRDefault="00360C9B" w:rsidP="00360C9B">
      <w:pPr>
        <w:pStyle w:val="ListParagraph"/>
        <w:widowControl/>
        <w:ind w:left="720"/>
        <w:rPr>
          <w:rFonts w:eastAsia="Times New Roman"/>
          <w:kern w:val="0"/>
          <w:sz w:val="24"/>
          <w:szCs w:val="24"/>
          <w:lang w:val="en-GB" w:eastAsia="en-GB"/>
        </w:rPr>
      </w:pPr>
    </w:p>
    <w:p w:rsidR="00A478C2" w:rsidRDefault="00E748DA"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Webster, A. C., Nagler, E. V., Morton, R. L., &amp; Masson, P. (2017). Chronic kidney disease. </w:t>
      </w:r>
      <w:r w:rsidRPr="00CE3186">
        <w:rPr>
          <w:rFonts w:eastAsia="Times New Roman"/>
          <w:i/>
          <w:iCs/>
          <w:kern w:val="0"/>
          <w:sz w:val="24"/>
          <w:szCs w:val="24"/>
          <w:lang w:val="en-GB" w:eastAsia="en-GB"/>
        </w:rPr>
        <w:t>The lancet</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389</w:t>
      </w:r>
      <w:r w:rsidRPr="00CE3186">
        <w:rPr>
          <w:rFonts w:eastAsia="Times New Roman"/>
          <w:kern w:val="0"/>
          <w:sz w:val="24"/>
          <w:szCs w:val="24"/>
          <w:lang w:val="en-GB" w:eastAsia="en-GB"/>
        </w:rPr>
        <w:t>(10075), 1238-1252.</w:t>
      </w:r>
    </w:p>
    <w:p w:rsidR="00360C9B" w:rsidRPr="00360C9B" w:rsidRDefault="00360C9B" w:rsidP="00360C9B">
      <w:pPr>
        <w:pStyle w:val="ListParagraph"/>
        <w:widowControl/>
        <w:ind w:left="720"/>
        <w:rPr>
          <w:rFonts w:eastAsia="Times New Roman"/>
          <w:kern w:val="0"/>
          <w:sz w:val="24"/>
          <w:szCs w:val="24"/>
          <w:lang w:val="en-GB" w:eastAsia="en-GB"/>
        </w:rPr>
      </w:pPr>
    </w:p>
    <w:p w:rsidR="00A478C2" w:rsidRPr="00CE3186" w:rsidRDefault="00A478C2"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Couser, W. G., Remuzzi, G., Mendis, S., &amp;Tonelli, M. (2011). The contribution of chronic kidney disease to the global burden of major noncommunicable diseases. </w:t>
      </w:r>
      <w:r w:rsidRPr="00CE3186">
        <w:rPr>
          <w:rFonts w:eastAsia="Times New Roman"/>
          <w:i/>
          <w:iCs/>
          <w:kern w:val="0"/>
          <w:sz w:val="24"/>
          <w:szCs w:val="24"/>
          <w:lang w:val="en-GB" w:eastAsia="en-GB"/>
        </w:rPr>
        <w:t>Kidney international</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80</w:t>
      </w:r>
      <w:r w:rsidRPr="00CE3186">
        <w:rPr>
          <w:rFonts w:eastAsia="Times New Roman"/>
          <w:kern w:val="0"/>
          <w:sz w:val="24"/>
          <w:szCs w:val="24"/>
          <w:lang w:val="en-GB" w:eastAsia="en-GB"/>
        </w:rPr>
        <w:t>(12), 1258-1270.</w:t>
      </w:r>
    </w:p>
    <w:p w:rsidR="00A478C2" w:rsidRPr="00CE3186" w:rsidRDefault="00A478C2" w:rsidP="004732AC">
      <w:pPr>
        <w:pStyle w:val="ListParagraph"/>
        <w:rPr>
          <w:rFonts w:eastAsia="Times New Roman"/>
          <w:kern w:val="0"/>
          <w:sz w:val="24"/>
          <w:szCs w:val="24"/>
          <w:lang w:val="en-GB" w:eastAsia="en-GB"/>
        </w:rPr>
      </w:pPr>
    </w:p>
    <w:p w:rsidR="00A478C2" w:rsidRPr="00CE3186" w:rsidRDefault="00A478C2"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Bikbov, B., Purcell, C. A., Levey, A. S., Smith</w:t>
      </w:r>
      <w:r w:rsidR="00360C9B">
        <w:rPr>
          <w:rFonts w:eastAsia="Times New Roman"/>
          <w:kern w:val="0"/>
          <w:sz w:val="24"/>
          <w:szCs w:val="24"/>
          <w:lang w:val="en-GB" w:eastAsia="en-GB"/>
        </w:rPr>
        <w:t xml:space="preserve">, M., Abdoli, A., Abebe, M., </w:t>
      </w:r>
      <w:r w:rsidRPr="00CE3186">
        <w:rPr>
          <w:rFonts w:eastAsia="Times New Roman"/>
          <w:kern w:val="0"/>
          <w:sz w:val="24"/>
          <w:szCs w:val="24"/>
          <w:lang w:val="en-GB" w:eastAsia="en-GB"/>
        </w:rPr>
        <w:t xml:space="preserve">&amp;Owolabi, M. O. (2020). Global, regional, and national burden of chronic kidney disease, 1990–2017: a systematic analysis for the Global Burden of </w:t>
      </w:r>
      <w:r w:rsidRPr="00CE3186">
        <w:rPr>
          <w:rFonts w:eastAsia="Times New Roman"/>
          <w:kern w:val="0"/>
          <w:sz w:val="24"/>
          <w:szCs w:val="24"/>
          <w:lang w:val="en-GB" w:eastAsia="en-GB"/>
        </w:rPr>
        <w:lastRenderedPageBreak/>
        <w:t xml:space="preserve">Disease Study 2017. </w:t>
      </w:r>
      <w:r w:rsidRPr="00CE3186">
        <w:rPr>
          <w:rFonts w:eastAsia="Times New Roman"/>
          <w:i/>
          <w:iCs/>
          <w:kern w:val="0"/>
          <w:sz w:val="24"/>
          <w:szCs w:val="24"/>
          <w:lang w:val="en-GB" w:eastAsia="en-GB"/>
        </w:rPr>
        <w:t>The Lancet</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395</w:t>
      </w:r>
      <w:r w:rsidRPr="00CE3186">
        <w:rPr>
          <w:rFonts w:eastAsia="Times New Roman"/>
          <w:kern w:val="0"/>
          <w:sz w:val="24"/>
          <w:szCs w:val="24"/>
          <w:lang w:val="en-GB" w:eastAsia="en-GB"/>
        </w:rPr>
        <w:t>(10225), 709-733.</w:t>
      </w:r>
    </w:p>
    <w:p w:rsidR="00A478C2" w:rsidRDefault="00A478C2"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Couser, W. G., Remuzzi, G., Mendis, S., &amp;Tonelli, M. (2011). The contribution of chronic kidney disease to the global burden of major noncommunicable diseases. </w:t>
      </w:r>
      <w:r w:rsidRPr="00CE3186">
        <w:rPr>
          <w:rFonts w:eastAsia="Times New Roman"/>
          <w:i/>
          <w:iCs/>
          <w:kern w:val="0"/>
          <w:sz w:val="24"/>
          <w:szCs w:val="24"/>
          <w:lang w:val="en-GB" w:eastAsia="en-GB"/>
        </w:rPr>
        <w:t>Kidney international</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80</w:t>
      </w:r>
      <w:r w:rsidRPr="00CE3186">
        <w:rPr>
          <w:rFonts w:eastAsia="Times New Roman"/>
          <w:kern w:val="0"/>
          <w:sz w:val="24"/>
          <w:szCs w:val="24"/>
          <w:lang w:val="en-GB" w:eastAsia="en-GB"/>
        </w:rPr>
        <w:t>(12), 1258-1270.</w:t>
      </w:r>
    </w:p>
    <w:p w:rsidR="00360C9B" w:rsidRPr="00CE3186" w:rsidRDefault="00360C9B" w:rsidP="00360C9B">
      <w:pPr>
        <w:pStyle w:val="ListParagraph"/>
        <w:widowControl/>
        <w:ind w:left="720"/>
        <w:rPr>
          <w:rFonts w:eastAsia="Times New Roman"/>
          <w:kern w:val="0"/>
          <w:sz w:val="24"/>
          <w:szCs w:val="24"/>
          <w:lang w:val="en-GB" w:eastAsia="en-GB"/>
        </w:rPr>
      </w:pPr>
    </w:p>
    <w:p w:rsidR="00A478C2" w:rsidRDefault="00A478C2"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Matsushita, K., Coresh, J., Sang, Y., Chalmer</w:t>
      </w:r>
      <w:r w:rsidR="00360C9B">
        <w:rPr>
          <w:rFonts w:eastAsia="Times New Roman"/>
          <w:kern w:val="0"/>
          <w:sz w:val="24"/>
          <w:szCs w:val="24"/>
          <w:lang w:val="en-GB" w:eastAsia="en-GB"/>
        </w:rPr>
        <w:t xml:space="preserve">s, J., Fox, C., Guallar, E, </w:t>
      </w:r>
      <w:r w:rsidRPr="00CE3186">
        <w:rPr>
          <w:rFonts w:eastAsia="Times New Roman"/>
          <w:kern w:val="0"/>
          <w:sz w:val="24"/>
          <w:szCs w:val="24"/>
          <w:lang w:val="en-GB" w:eastAsia="en-GB"/>
        </w:rPr>
        <w:t xml:space="preserve">&amp; CKD Prognosis Consortium. (2015). Estimated glomerular filtration rate and albuminuria for prediction of cardiovascular outcomes: a collaborative meta-analysis of individual participant data. </w:t>
      </w:r>
      <w:r w:rsidRPr="00CE3186">
        <w:rPr>
          <w:rFonts w:eastAsia="Times New Roman"/>
          <w:i/>
          <w:iCs/>
          <w:kern w:val="0"/>
          <w:sz w:val="24"/>
          <w:szCs w:val="24"/>
          <w:lang w:val="en-GB" w:eastAsia="en-GB"/>
        </w:rPr>
        <w:t>The lancet Diabetes &amp; endocrinology</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3</w:t>
      </w:r>
      <w:r w:rsidRPr="00CE3186">
        <w:rPr>
          <w:rFonts w:eastAsia="Times New Roman"/>
          <w:kern w:val="0"/>
          <w:sz w:val="24"/>
          <w:szCs w:val="24"/>
          <w:lang w:val="en-GB" w:eastAsia="en-GB"/>
        </w:rPr>
        <w:t>(7), 514-525.</w:t>
      </w:r>
    </w:p>
    <w:p w:rsidR="00360C9B" w:rsidRPr="00CE3186" w:rsidRDefault="00360C9B" w:rsidP="00360C9B">
      <w:pPr>
        <w:pStyle w:val="ListParagraph"/>
        <w:widowControl/>
        <w:ind w:left="720"/>
        <w:rPr>
          <w:rFonts w:eastAsia="Times New Roman"/>
          <w:kern w:val="0"/>
          <w:sz w:val="24"/>
          <w:szCs w:val="24"/>
          <w:lang w:val="en-GB" w:eastAsia="en-GB"/>
        </w:rPr>
      </w:pPr>
    </w:p>
    <w:p w:rsidR="00A478C2" w:rsidRDefault="00A478C2"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Chronic Kidney Disease Prognosis Consortium. (2010). Association of estimated glomerular filtration rate and albuminuria with all-cause and cardiovascular mortality in general population cohorts: a collaborative meta-analysis. </w:t>
      </w:r>
      <w:r w:rsidRPr="00CE3186">
        <w:rPr>
          <w:rFonts w:eastAsia="Times New Roman"/>
          <w:i/>
          <w:iCs/>
          <w:kern w:val="0"/>
          <w:sz w:val="24"/>
          <w:szCs w:val="24"/>
          <w:lang w:val="en-GB" w:eastAsia="en-GB"/>
        </w:rPr>
        <w:t>The Lancet</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375</w:t>
      </w:r>
      <w:r w:rsidRPr="00CE3186">
        <w:rPr>
          <w:rFonts w:eastAsia="Times New Roman"/>
          <w:kern w:val="0"/>
          <w:sz w:val="24"/>
          <w:szCs w:val="24"/>
          <w:lang w:val="en-GB" w:eastAsia="en-GB"/>
        </w:rPr>
        <w:t>(9731), 2073-2081.</w:t>
      </w:r>
    </w:p>
    <w:p w:rsidR="00360C9B" w:rsidRPr="00CE3186" w:rsidRDefault="00360C9B" w:rsidP="00360C9B">
      <w:pPr>
        <w:pStyle w:val="ListParagraph"/>
        <w:widowControl/>
        <w:ind w:left="720"/>
        <w:rPr>
          <w:rFonts w:eastAsia="Times New Roman"/>
          <w:kern w:val="0"/>
          <w:sz w:val="24"/>
          <w:szCs w:val="24"/>
          <w:lang w:val="en-GB" w:eastAsia="en-GB"/>
        </w:rPr>
      </w:pPr>
    </w:p>
    <w:p w:rsidR="00077BED" w:rsidRDefault="00077BED"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Barsoum, R. S. (2006). Chronic kidney disease in the developing world. </w:t>
      </w:r>
      <w:r w:rsidRPr="00CE3186">
        <w:rPr>
          <w:rFonts w:eastAsia="Times New Roman"/>
          <w:i/>
          <w:iCs/>
          <w:kern w:val="0"/>
          <w:sz w:val="24"/>
          <w:szCs w:val="24"/>
          <w:lang w:val="en-GB" w:eastAsia="en-GB"/>
        </w:rPr>
        <w:t>New England Journal of Medicine</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354</w:t>
      </w:r>
      <w:r w:rsidRPr="00CE3186">
        <w:rPr>
          <w:rFonts w:eastAsia="Times New Roman"/>
          <w:kern w:val="0"/>
          <w:sz w:val="24"/>
          <w:szCs w:val="24"/>
          <w:lang w:val="en-GB" w:eastAsia="en-GB"/>
        </w:rPr>
        <w:t>(10), 997-999.</w:t>
      </w:r>
    </w:p>
    <w:p w:rsidR="00360C9B" w:rsidRPr="00CE3186" w:rsidRDefault="00360C9B" w:rsidP="00360C9B">
      <w:pPr>
        <w:pStyle w:val="ListParagraph"/>
        <w:widowControl/>
        <w:ind w:left="720"/>
        <w:rPr>
          <w:rFonts w:eastAsia="Times New Roman"/>
          <w:kern w:val="0"/>
          <w:sz w:val="24"/>
          <w:szCs w:val="24"/>
          <w:lang w:val="en-GB" w:eastAsia="en-GB"/>
        </w:rPr>
      </w:pPr>
    </w:p>
    <w:p w:rsidR="00077BED" w:rsidRDefault="00077BED"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Okpechi, I. G., Chukwuonye, I. I., Tiffin, N., Madukwe, O. O., Onyeonoro, U. U., Umeizudike, T. I., &amp;Ogah, O. S. (2013). Blood pressure gradients and cardiovascular risk factors in urban and rural populations in Abia State South Eastern Nigeria using the WHO STEPwise approach. </w:t>
      </w:r>
      <w:r w:rsidRPr="00CE3186">
        <w:rPr>
          <w:rFonts w:eastAsia="Times New Roman"/>
          <w:i/>
          <w:iCs/>
          <w:kern w:val="0"/>
          <w:sz w:val="24"/>
          <w:szCs w:val="24"/>
          <w:lang w:val="en-GB" w:eastAsia="en-GB"/>
        </w:rPr>
        <w:t>PloS one</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8</w:t>
      </w:r>
      <w:r w:rsidRPr="00CE3186">
        <w:rPr>
          <w:rFonts w:eastAsia="Times New Roman"/>
          <w:kern w:val="0"/>
          <w:sz w:val="24"/>
          <w:szCs w:val="24"/>
          <w:lang w:val="en-GB" w:eastAsia="en-GB"/>
        </w:rPr>
        <w:t>(9), e73403.</w:t>
      </w:r>
    </w:p>
    <w:p w:rsidR="00360C9B" w:rsidRPr="00CE3186" w:rsidRDefault="00360C9B" w:rsidP="00360C9B">
      <w:pPr>
        <w:pStyle w:val="ListParagraph"/>
        <w:widowControl/>
        <w:ind w:left="720"/>
        <w:rPr>
          <w:rFonts w:eastAsia="Times New Roman"/>
          <w:kern w:val="0"/>
          <w:sz w:val="24"/>
          <w:szCs w:val="24"/>
          <w:lang w:val="en-GB" w:eastAsia="en-GB"/>
        </w:rPr>
      </w:pPr>
    </w:p>
    <w:p w:rsidR="00077BED" w:rsidRDefault="00077BED"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Chukwuonye, I. I., Chuku, A., John, C., Ohagwu, K. </w:t>
      </w:r>
      <w:r w:rsidR="00360C9B">
        <w:rPr>
          <w:rFonts w:eastAsia="Times New Roman"/>
          <w:kern w:val="0"/>
          <w:sz w:val="24"/>
          <w:szCs w:val="24"/>
          <w:lang w:val="en-GB" w:eastAsia="en-GB"/>
        </w:rPr>
        <w:t xml:space="preserve">A., Imoh, M. E., Isa, S. E., </w:t>
      </w:r>
      <w:r w:rsidRPr="00CE3186">
        <w:rPr>
          <w:rFonts w:eastAsia="Times New Roman"/>
          <w:kern w:val="0"/>
          <w:sz w:val="24"/>
          <w:szCs w:val="24"/>
          <w:lang w:val="en-GB" w:eastAsia="en-GB"/>
        </w:rPr>
        <w:t xml:space="preserve">&amp;Oviasu, E. (2013). Prevalence of overweight and </w:t>
      </w:r>
      <w:r w:rsidRPr="00CE3186">
        <w:rPr>
          <w:rFonts w:eastAsia="Times New Roman"/>
          <w:kern w:val="0"/>
          <w:sz w:val="24"/>
          <w:szCs w:val="24"/>
          <w:lang w:val="en-GB" w:eastAsia="en-GB"/>
        </w:rPr>
        <w:lastRenderedPageBreak/>
        <w:t xml:space="preserve">obesity in adult Nigerians–a systematic review. </w:t>
      </w:r>
      <w:r w:rsidRPr="00CE3186">
        <w:rPr>
          <w:rFonts w:eastAsia="Times New Roman"/>
          <w:i/>
          <w:iCs/>
          <w:kern w:val="0"/>
          <w:sz w:val="24"/>
          <w:szCs w:val="24"/>
          <w:lang w:val="en-GB" w:eastAsia="en-GB"/>
        </w:rPr>
        <w:t>Diabetes, metabolic syndrome and obesity: Targets and Therapy</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6</w:t>
      </w:r>
      <w:r w:rsidRPr="00CE3186">
        <w:rPr>
          <w:rFonts w:eastAsia="Times New Roman"/>
          <w:kern w:val="0"/>
          <w:sz w:val="24"/>
          <w:szCs w:val="24"/>
          <w:lang w:val="en-GB" w:eastAsia="en-GB"/>
        </w:rPr>
        <w:t>, 43.</w:t>
      </w:r>
    </w:p>
    <w:p w:rsidR="00360C9B" w:rsidRPr="00CE3186" w:rsidRDefault="00360C9B" w:rsidP="00360C9B">
      <w:pPr>
        <w:pStyle w:val="ListParagraph"/>
        <w:widowControl/>
        <w:ind w:left="720"/>
        <w:rPr>
          <w:rFonts w:eastAsia="Times New Roman"/>
          <w:kern w:val="0"/>
          <w:sz w:val="24"/>
          <w:szCs w:val="24"/>
          <w:lang w:val="en-GB" w:eastAsia="en-GB"/>
        </w:rPr>
      </w:pPr>
    </w:p>
    <w:p w:rsidR="00077BED" w:rsidRDefault="00077BED"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Chukwuonye, I. I., &amp;Oviasu, E. (2012). The plight of chronic kidney disease patients in Nigeria. </w:t>
      </w:r>
      <w:r w:rsidRPr="00CE3186">
        <w:rPr>
          <w:rFonts w:eastAsia="Times New Roman"/>
          <w:i/>
          <w:iCs/>
          <w:kern w:val="0"/>
          <w:sz w:val="24"/>
          <w:szCs w:val="24"/>
          <w:lang w:val="en-GB" w:eastAsia="en-GB"/>
        </w:rPr>
        <w:t>J Dental Med Sci</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2</w:t>
      </w:r>
      <w:r w:rsidRPr="00CE3186">
        <w:rPr>
          <w:rFonts w:eastAsia="Times New Roman"/>
          <w:kern w:val="0"/>
          <w:sz w:val="24"/>
          <w:szCs w:val="24"/>
          <w:lang w:val="en-GB" w:eastAsia="en-GB"/>
        </w:rPr>
        <w:t>(2), 52-55.</w:t>
      </w:r>
    </w:p>
    <w:p w:rsidR="00360C9B" w:rsidRPr="00CE3186" w:rsidRDefault="00360C9B" w:rsidP="00360C9B">
      <w:pPr>
        <w:pStyle w:val="ListParagraph"/>
        <w:widowControl/>
        <w:ind w:left="720"/>
        <w:rPr>
          <w:rFonts w:eastAsia="Times New Roman"/>
          <w:kern w:val="0"/>
          <w:sz w:val="24"/>
          <w:szCs w:val="24"/>
          <w:lang w:val="en-GB" w:eastAsia="en-GB"/>
        </w:rPr>
      </w:pPr>
    </w:p>
    <w:p w:rsidR="00077BED" w:rsidRDefault="00077BED" w:rsidP="004732AC">
      <w:pPr>
        <w:pStyle w:val="ListParagraph"/>
        <w:widowControl/>
        <w:numPr>
          <w:ilvl w:val="0"/>
          <w:numId w:val="3"/>
        </w:numPr>
        <w:rPr>
          <w:rFonts w:eastAsia="Times New Roman"/>
          <w:kern w:val="0"/>
          <w:sz w:val="24"/>
          <w:szCs w:val="24"/>
          <w:lang w:val="en-GB" w:eastAsia="en-GB"/>
        </w:rPr>
      </w:pPr>
      <w:r w:rsidRPr="00CE3186">
        <w:rPr>
          <w:rFonts w:eastAsia="Times New Roman"/>
          <w:kern w:val="0"/>
          <w:sz w:val="24"/>
          <w:szCs w:val="24"/>
          <w:lang w:val="en-GB" w:eastAsia="en-GB"/>
        </w:rPr>
        <w:t xml:space="preserve">Ulasi, I. I., &amp;Ijoma, C. K. (2010). The enormity of chronic kidney disease in Nigeria: the situation in a teaching hospital in South-East Nigeria. </w:t>
      </w:r>
      <w:r w:rsidRPr="00CE3186">
        <w:rPr>
          <w:rFonts w:eastAsia="Times New Roman"/>
          <w:i/>
          <w:iCs/>
          <w:kern w:val="0"/>
          <w:sz w:val="24"/>
          <w:szCs w:val="24"/>
          <w:lang w:val="en-GB" w:eastAsia="en-GB"/>
        </w:rPr>
        <w:t>Journal of tropical medicine</w:t>
      </w:r>
      <w:r w:rsidRPr="00CE3186">
        <w:rPr>
          <w:rFonts w:eastAsia="Times New Roman"/>
          <w:kern w:val="0"/>
          <w:sz w:val="24"/>
          <w:szCs w:val="24"/>
          <w:lang w:val="en-GB" w:eastAsia="en-GB"/>
        </w:rPr>
        <w:t xml:space="preserve">, </w:t>
      </w:r>
      <w:r w:rsidRPr="00CE3186">
        <w:rPr>
          <w:rFonts w:eastAsia="Times New Roman"/>
          <w:i/>
          <w:iCs/>
          <w:kern w:val="0"/>
          <w:sz w:val="24"/>
          <w:szCs w:val="24"/>
          <w:lang w:val="en-GB" w:eastAsia="en-GB"/>
        </w:rPr>
        <w:t>2010</w:t>
      </w:r>
      <w:r w:rsidRPr="00CE3186">
        <w:rPr>
          <w:rFonts w:eastAsia="Times New Roman"/>
          <w:kern w:val="0"/>
          <w:sz w:val="24"/>
          <w:szCs w:val="24"/>
          <w:lang w:val="en-GB" w:eastAsia="en-GB"/>
        </w:rPr>
        <w:t>.</w:t>
      </w:r>
    </w:p>
    <w:p w:rsidR="00360C9B" w:rsidRPr="00CE3186" w:rsidRDefault="00360C9B" w:rsidP="00360C9B">
      <w:pPr>
        <w:pStyle w:val="ListParagraph"/>
        <w:widowControl/>
        <w:ind w:left="720"/>
        <w:rPr>
          <w:rFonts w:eastAsia="Times New Roman"/>
          <w:kern w:val="0"/>
          <w:sz w:val="24"/>
          <w:szCs w:val="24"/>
          <w:lang w:val="en-GB" w:eastAsia="en-GB"/>
        </w:rPr>
      </w:pPr>
    </w:p>
    <w:p w:rsidR="001264B3" w:rsidRDefault="001264B3" w:rsidP="001264B3">
      <w:pPr>
        <w:pStyle w:val="ListParagraph"/>
        <w:widowControl/>
        <w:numPr>
          <w:ilvl w:val="0"/>
          <w:numId w:val="3"/>
        </w:numPr>
        <w:autoSpaceDE w:val="0"/>
        <w:autoSpaceDN w:val="0"/>
        <w:adjustRightInd w:val="0"/>
        <w:contextualSpacing/>
        <w:rPr>
          <w:sz w:val="24"/>
          <w:szCs w:val="24"/>
        </w:rPr>
      </w:pPr>
      <w:r w:rsidRPr="00CE3186">
        <w:rPr>
          <w:sz w:val="24"/>
          <w:szCs w:val="24"/>
        </w:rPr>
        <w:t>Araoye M.O. Rearch methodology with statistics for health and social sciences. Nathades Publishers, Ilorin, Nigeria. 2003; 17(1);115-120</w:t>
      </w:r>
    </w:p>
    <w:p w:rsidR="00360C9B" w:rsidRPr="00CE3186" w:rsidRDefault="00360C9B" w:rsidP="00360C9B">
      <w:pPr>
        <w:pStyle w:val="ListParagraph"/>
        <w:widowControl/>
        <w:autoSpaceDE w:val="0"/>
        <w:autoSpaceDN w:val="0"/>
        <w:adjustRightInd w:val="0"/>
        <w:ind w:left="720"/>
        <w:contextualSpacing/>
        <w:rPr>
          <w:sz w:val="24"/>
          <w:szCs w:val="24"/>
        </w:rPr>
      </w:pPr>
    </w:p>
    <w:p w:rsidR="005D4AD5" w:rsidRDefault="005D4AD5" w:rsidP="00360C9B">
      <w:pPr>
        <w:pStyle w:val="ListParagraph"/>
        <w:numPr>
          <w:ilvl w:val="0"/>
          <w:numId w:val="3"/>
        </w:numPr>
        <w:rPr>
          <w:sz w:val="24"/>
          <w:szCs w:val="24"/>
        </w:rPr>
      </w:pPr>
      <w:r w:rsidRPr="00CE3186">
        <w:rPr>
          <w:sz w:val="24"/>
          <w:szCs w:val="24"/>
        </w:rPr>
        <w:t xml:space="preserve">Zhang, Q. L., &amp;Rothenbacher, D. (2008). Prevalence of chronic kidney disease in population-based studies: systematic review. </w:t>
      </w:r>
      <w:r w:rsidRPr="00CE3186">
        <w:rPr>
          <w:i/>
          <w:iCs/>
          <w:sz w:val="24"/>
          <w:szCs w:val="24"/>
        </w:rPr>
        <w:t>BMC public health</w:t>
      </w:r>
      <w:r w:rsidRPr="00CE3186">
        <w:rPr>
          <w:sz w:val="24"/>
          <w:szCs w:val="24"/>
        </w:rPr>
        <w:t xml:space="preserve">, </w:t>
      </w:r>
      <w:r w:rsidRPr="00CE3186">
        <w:rPr>
          <w:i/>
          <w:iCs/>
          <w:sz w:val="24"/>
          <w:szCs w:val="24"/>
        </w:rPr>
        <w:t>8</w:t>
      </w:r>
      <w:r w:rsidRPr="00CE3186">
        <w:rPr>
          <w:sz w:val="24"/>
          <w:szCs w:val="24"/>
        </w:rPr>
        <w:t>(1), 1-13.</w:t>
      </w:r>
    </w:p>
    <w:p w:rsidR="00360C9B" w:rsidRPr="00CE3186" w:rsidRDefault="00360C9B" w:rsidP="00360C9B">
      <w:pPr>
        <w:pStyle w:val="ListParagraph"/>
        <w:ind w:left="720"/>
        <w:rPr>
          <w:sz w:val="24"/>
          <w:szCs w:val="24"/>
        </w:rPr>
      </w:pPr>
    </w:p>
    <w:p w:rsidR="00BA4C0D" w:rsidRDefault="00BA4C0D" w:rsidP="00360C9B">
      <w:pPr>
        <w:pStyle w:val="ListParagraph"/>
        <w:numPr>
          <w:ilvl w:val="0"/>
          <w:numId w:val="3"/>
        </w:numPr>
        <w:rPr>
          <w:sz w:val="24"/>
          <w:szCs w:val="24"/>
        </w:rPr>
      </w:pPr>
      <w:r w:rsidRPr="00CE3186">
        <w:rPr>
          <w:sz w:val="24"/>
          <w:szCs w:val="24"/>
        </w:rPr>
        <w:t>Kalyesubula, R., Nankabirwa, J. I., Ssinabulya, I., Siddharthan, T.</w:t>
      </w:r>
      <w:r w:rsidR="00360C9B">
        <w:rPr>
          <w:sz w:val="24"/>
          <w:szCs w:val="24"/>
        </w:rPr>
        <w:t xml:space="preserve">, Kayima, J., Nakibuuka, J, </w:t>
      </w:r>
      <w:r w:rsidRPr="00CE3186">
        <w:rPr>
          <w:sz w:val="24"/>
          <w:szCs w:val="24"/>
        </w:rPr>
        <w:t xml:space="preserve">&amp;Hricik, D. (2017). Kidney disease in Uganda: a community based study. </w:t>
      </w:r>
      <w:r w:rsidRPr="00CE3186">
        <w:rPr>
          <w:i/>
          <w:iCs/>
          <w:sz w:val="24"/>
          <w:szCs w:val="24"/>
        </w:rPr>
        <w:t>BMC nephrology</w:t>
      </w:r>
      <w:r w:rsidRPr="00CE3186">
        <w:rPr>
          <w:sz w:val="24"/>
          <w:szCs w:val="24"/>
        </w:rPr>
        <w:t xml:space="preserve">, </w:t>
      </w:r>
      <w:r w:rsidRPr="00CE3186">
        <w:rPr>
          <w:i/>
          <w:iCs/>
          <w:sz w:val="24"/>
          <w:szCs w:val="24"/>
        </w:rPr>
        <w:t>18</w:t>
      </w:r>
      <w:r w:rsidRPr="00CE3186">
        <w:rPr>
          <w:sz w:val="24"/>
          <w:szCs w:val="24"/>
        </w:rPr>
        <w:t>(1), 1-9</w:t>
      </w:r>
      <w:r w:rsidR="00360C9B">
        <w:rPr>
          <w:sz w:val="24"/>
          <w:szCs w:val="24"/>
        </w:rPr>
        <w:t>.</w:t>
      </w:r>
    </w:p>
    <w:p w:rsidR="00360C9B" w:rsidRPr="00CE3186" w:rsidRDefault="00360C9B" w:rsidP="00360C9B">
      <w:pPr>
        <w:pStyle w:val="ListParagraph"/>
        <w:ind w:left="720"/>
        <w:rPr>
          <w:sz w:val="24"/>
          <w:szCs w:val="24"/>
        </w:rPr>
      </w:pPr>
    </w:p>
    <w:p w:rsidR="00941ED1" w:rsidRPr="00360C9B" w:rsidRDefault="00941ED1" w:rsidP="00360C9B">
      <w:pPr>
        <w:pStyle w:val="ListParagraph"/>
        <w:numPr>
          <w:ilvl w:val="0"/>
          <w:numId w:val="3"/>
        </w:numPr>
        <w:rPr>
          <w:b/>
          <w:sz w:val="24"/>
          <w:szCs w:val="24"/>
        </w:rPr>
      </w:pPr>
      <w:r w:rsidRPr="00CE3186">
        <w:rPr>
          <w:sz w:val="24"/>
          <w:szCs w:val="24"/>
        </w:rPr>
        <w:t>Hecking, M., Bieber, B. A., Ethier, J., Kautzky-Willer, A., Sunder-Pl</w:t>
      </w:r>
      <w:r w:rsidR="00360C9B">
        <w:rPr>
          <w:sz w:val="24"/>
          <w:szCs w:val="24"/>
        </w:rPr>
        <w:t xml:space="preserve">assmann, G., Säemann, M. D, </w:t>
      </w:r>
      <w:r w:rsidRPr="00CE3186">
        <w:rPr>
          <w:sz w:val="24"/>
          <w:szCs w:val="24"/>
        </w:rPr>
        <w:t xml:space="preserve">&amp; Port, F. K. (2014). Sex-specific differences in hemodialysis prevalence and practices and the male-to-female mortality rate: the Dialysis Outcomes and Practice Patterns Study (DOPPS). </w:t>
      </w:r>
      <w:r w:rsidRPr="00CE3186">
        <w:rPr>
          <w:i/>
          <w:iCs/>
          <w:sz w:val="24"/>
          <w:szCs w:val="24"/>
        </w:rPr>
        <w:t>PLoS Med</w:t>
      </w:r>
      <w:r w:rsidRPr="00CE3186">
        <w:rPr>
          <w:sz w:val="24"/>
          <w:szCs w:val="24"/>
        </w:rPr>
        <w:t xml:space="preserve">, </w:t>
      </w:r>
      <w:r w:rsidRPr="00CE3186">
        <w:rPr>
          <w:i/>
          <w:iCs/>
          <w:sz w:val="24"/>
          <w:szCs w:val="24"/>
        </w:rPr>
        <w:t>11</w:t>
      </w:r>
      <w:r w:rsidRPr="00CE3186">
        <w:rPr>
          <w:sz w:val="24"/>
          <w:szCs w:val="24"/>
        </w:rPr>
        <w:t>(10), e1001750.</w:t>
      </w:r>
    </w:p>
    <w:p w:rsidR="00360C9B" w:rsidRPr="00CE3186" w:rsidRDefault="00360C9B" w:rsidP="00360C9B">
      <w:pPr>
        <w:pStyle w:val="ListParagraph"/>
        <w:ind w:left="720"/>
        <w:rPr>
          <w:b/>
          <w:sz w:val="24"/>
          <w:szCs w:val="24"/>
        </w:rPr>
      </w:pPr>
    </w:p>
    <w:p w:rsidR="00377ABB" w:rsidRDefault="00377ABB" w:rsidP="00360C9B">
      <w:pPr>
        <w:pStyle w:val="ListParagraph"/>
        <w:numPr>
          <w:ilvl w:val="0"/>
          <w:numId w:val="3"/>
        </w:numPr>
        <w:rPr>
          <w:sz w:val="24"/>
          <w:szCs w:val="24"/>
        </w:rPr>
      </w:pPr>
      <w:r w:rsidRPr="00CE3186">
        <w:rPr>
          <w:sz w:val="24"/>
          <w:szCs w:val="24"/>
        </w:rPr>
        <w:t xml:space="preserve">Lou Arnal, L. M., Campos Gutiérrez, B., CuberesIzquierdo, M., GraciaGarcía, O., </w:t>
      </w:r>
      <w:r w:rsidRPr="00CE3186">
        <w:rPr>
          <w:sz w:val="24"/>
          <w:szCs w:val="24"/>
        </w:rPr>
        <w:lastRenderedPageBreak/>
        <w:t>TurónAlcaine, J. M., BielsaGarcía, S., GimenoOrna, J. A., Boned Juliani, B., Sanjuán Hernández-French, A., &amp;Grupo de Investigación ERC Aragón (2010). Prevalencia de enfermedad renal crónicaen</w:t>
      </w:r>
      <w:r w:rsidR="00F33B35">
        <w:rPr>
          <w:sz w:val="24"/>
          <w:szCs w:val="24"/>
        </w:rPr>
        <w:t>pacientes con diabetes mellitus tipo </w:t>
      </w:r>
      <w:r w:rsidRPr="00CE3186">
        <w:rPr>
          <w:sz w:val="24"/>
          <w:szCs w:val="24"/>
        </w:rPr>
        <w:t>2 atendidosenatenciónprimaria [Prevalence of chronic kidney disease in patients with type 2 diabetes mel</w:t>
      </w:r>
      <w:r w:rsidR="00F33B35">
        <w:rPr>
          <w:sz w:val="24"/>
          <w:szCs w:val="24"/>
        </w:rPr>
        <w:t>litus treated in primary care]. </w:t>
      </w:r>
      <w:r w:rsidRPr="00CE3186">
        <w:rPr>
          <w:i/>
          <w:iCs/>
          <w:sz w:val="24"/>
          <w:szCs w:val="24"/>
        </w:rPr>
        <w:t>N</w:t>
      </w:r>
      <w:r w:rsidR="00F33B35">
        <w:rPr>
          <w:i/>
          <w:iCs/>
          <w:sz w:val="24"/>
          <w:szCs w:val="24"/>
        </w:rPr>
        <w:t>efrologia </w:t>
      </w:r>
      <w:r w:rsidRPr="00CE3186">
        <w:rPr>
          <w:i/>
          <w:iCs/>
          <w:sz w:val="24"/>
          <w:szCs w:val="24"/>
        </w:rPr>
        <w:t>:publicacionoficial de la Sociedad Espanola Nefrologia</w:t>
      </w:r>
      <w:r w:rsidRPr="00CE3186">
        <w:rPr>
          <w:sz w:val="24"/>
          <w:szCs w:val="24"/>
        </w:rPr>
        <w:t xml:space="preserve">, </w:t>
      </w:r>
      <w:r w:rsidRPr="00CE3186">
        <w:rPr>
          <w:i/>
          <w:iCs/>
          <w:sz w:val="24"/>
          <w:szCs w:val="24"/>
        </w:rPr>
        <w:t>30</w:t>
      </w:r>
      <w:r w:rsidRPr="00CE3186">
        <w:rPr>
          <w:sz w:val="24"/>
          <w:szCs w:val="24"/>
        </w:rPr>
        <w:t>(5), 552–556.</w:t>
      </w:r>
    </w:p>
    <w:p w:rsidR="00360C9B" w:rsidRPr="00CE3186" w:rsidRDefault="00360C9B" w:rsidP="00360C9B">
      <w:pPr>
        <w:pStyle w:val="ListParagraph"/>
        <w:ind w:left="720"/>
        <w:rPr>
          <w:sz w:val="24"/>
          <w:szCs w:val="24"/>
        </w:rPr>
      </w:pPr>
    </w:p>
    <w:p w:rsidR="00377ABB" w:rsidRDefault="00377ABB" w:rsidP="00360C9B">
      <w:pPr>
        <w:pStyle w:val="ListParagraph"/>
        <w:numPr>
          <w:ilvl w:val="0"/>
          <w:numId w:val="3"/>
        </w:numPr>
        <w:rPr>
          <w:sz w:val="24"/>
          <w:szCs w:val="24"/>
        </w:rPr>
      </w:pPr>
      <w:r w:rsidRPr="00CE3186">
        <w:rPr>
          <w:sz w:val="24"/>
          <w:szCs w:val="24"/>
        </w:rPr>
        <w:t xml:space="preserve">Jitraknatee, J., Ruengorn, C., &amp;Nochaiwong, S. (2020). Prevalence and risk factors of chronic kidney disease among type 2 diabetes patients: a cross-sectional study in primary care practice. </w:t>
      </w:r>
      <w:r w:rsidRPr="00CE3186">
        <w:rPr>
          <w:i/>
          <w:iCs/>
          <w:sz w:val="24"/>
          <w:szCs w:val="24"/>
        </w:rPr>
        <w:t>Scientific reports</w:t>
      </w:r>
      <w:r w:rsidRPr="00CE3186">
        <w:rPr>
          <w:sz w:val="24"/>
          <w:szCs w:val="24"/>
        </w:rPr>
        <w:t xml:space="preserve">, </w:t>
      </w:r>
      <w:r w:rsidRPr="00CE3186">
        <w:rPr>
          <w:i/>
          <w:iCs/>
          <w:sz w:val="24"/>
          <w:szCs w:val="24"/>
        </w:rPr>
        <w:t>10</w:t>
      </w:r>
      <w:r w:rsidRPr="00CE3186">
        <w:rPr>
          <w:sz w:val="24"/>
          <w:szCs w:val="24"/>
        </w:rPr>
        <w:t>(1), 1-10.</w:t>
      </w:r>
    </w:p>
    <w:p w:rsidR="00360C9B" w:rsidRPr="00CE3186" w:rsidRDefault="00360C9B" w:rsidP="00360C9B">
      <w:pPr>
        <w:pStyle w:val="ListParagraph"/>
        <w:ind w:left="720"/>
        <w:rPr>
          <w:sz w:val="24"/>
          <w:szCs w:val="24"/>
        </w:rPr>
      </w:pPr>
    </w:p>
    <w:p w:rsidR="00A478C2" w:rsidRPr="00360C9B" w:rsidRDefault="003E2B03" w:rsidP="00360C9B">
      <w:pPr>
        <w:pStyle w:val="ListParagraph"/>
        <w:widowControl/>
        <w:numPr>
          <w:ilvl w:val="0"/>
          <w:numId w:val="3"/>
        </w:numPr>
        <w:rPr>
          <w:rFonts w:eastAsia="Times New Roman"/>
          <w:kern w:val="0"/>
          <w:sz w:val="24"/>
          <w:szCs w:val="24"/>
          <w:lang w:val="en-GB" w:eastAsia="en-GB"/>
        </w:rPr>
      </w:pPr>
      <w:r w:rsidRPr="00CE3186">
        <w:rPr>
          <w:sz w:val="24"/>
          <w:szCs w:val="24"/>
        </w:rPr>
        <w:t xml:space="preserve">Stojceva-Taneva, O., Otovic, N. E., &amp;Taneva, B. (2016). Prevalence of Diabetes Mellitus in Patients with Chronic Kidney Disease. </w:t>
      </w:r>
      <w:r w:rsidRPr="00CE3186">
        <w:rPr>
          <w:i/>
          <w:iCs/>
          <w:sz w:val="24"/>
          <w:szCs w:val="24"/>
        </w:rPr>
        <w:t xml:space="preserve">Open </w:t>
      </w:r>
      <w:r w:rsidRPr="00CE3186">
        <w:rPr>
          <w:i/>
          <w:iCs/>
          <w:sz w:val="24"/>
          <w:szCs w:val="24"/>
        </w:rPr>
        <w:lastRenderedPageBreak/>
        <w:t>access Macedonian journal of medical sciences</w:t>
      </w:r>
      <w:r w:rsidRPr="00CE3186">
        <w:rPr>
          <w:sz w:val="24"/>
          <w:szCs w:val="24"/>
        </w:rPr>
        <w:t xml:space="preserve">, </w:t>
      </w:r>
      <w:r w:rsidRPr="00CE3186">
        <w:rPr>
          <w:i/>
          <w:iCs/>
          <w:sz w:val="24"/>
          <w:szCs w:val="24"/>
        </w:rPr>
        <w:t>4</w:t>
      </w:r>
      <w:r w:rsidRPr="00CE3186">
        <w:rPr>
          <w:sz w:val="24"/>
          <w:szCs w:val="24"/>
        </w:rPr>
        <w:t>(1), 79–82.</w:t>
      </w:r>
    </w:p>
    <w:p w:rsidR="00360C9B" w:rsidRPr="00CE3186" w:rsidRDefault="00360C9B" w:rsidP="00360C9B">
      <w:pPr>
        <w:pStyle w:val="ListParagraph"/>
        <w:widowControl/>
        <w:ind w:left="720"/>
        <w:rPr>
          <w:rFonts w:eastAsia="Times New Roman"/>
          <w:kern w:val="0"/>
          <w:sz w:val="24"/>
          <w:szCs w:val="24"/>
          <w:lang w:val="en-GB" w:eastAsia="en-GB"/>
        </w:rPr>
      </w:pPr>
    </w:p>
    <w:p w:rsidR="00014D42" w:rsidRPr="00360C9B" w:rsidRDefault="004C0BDB" w:rsidP="00360C9B">
      <w:pPr>
        <w:pStyle w:val="ListParagraph"/>
        <w:numPr>
          <w:ilvl w:val="0"/>
          <w:numId w:val="3"/>
        </w:numPr>
        <w:rPr>
          <w:b/>
          <w:sz w:val="24"/>
          <w:szCs w:val="24"/>
        </w:rPr>
      </w:pPr>
      <w:r w:rsidRPr="00806858">
        <w:rPr>
          <w:sz w:val="24"/>
          <w:szCs w:val="24"/>
        </w:rPr>
        <w:t xml:space="preserve">Chukwuonye, I. I., Ogah, O. S., Anyabolu, E. N., Ohagwu, K. A., Nwabuko, O. C., Onwuchekwa, U., Chukwuonye, M. E., Obi, E. C., &amp;Oviasu, E. (2018). Prevalence of chronic kidney disease in Nigeria: systematic review of population-based studies. </w:t>
      </w:r>
      <w:r w:rsidRPr="00806858">
        <w:rPr>
          <w:i/>
          <w:iCs/>
          <w:sz w:val="24"/>
          <w:szCs w:val="24"/>
        </w:rPr>
        <w:t>International journal of nephrology and renovascular disease</w:t>
      </w:r>
      <w:r w:rsidRPr="00806858">
        <w:rPr>
          <w:sz w:val="24"/>
          <w:szCs w:val="24"/>
        </w:rPr>
        <w:t xml:space="preserve">, </w:t>
      </w:r>
      <w:r w:rsidRPr="00806858">
        <w:rPr>
          <w:i/>
          <w:iCs/>
          <w:sz w:val="24"/>
          <w:szCs w:val="24"/>
        </w:rPr>
        <w:t>11</w:t>
      </w:r>
      <w:r w:rsidRPr="00806858">
        <w:rPr>
          <w:sz w:val="24"/>
          <w:szCs w:val="24"/>
        </w:rPr>
        <w:t>, 165–172</w:t>
      </w:r>
      <w:r w:rsidR="00360C9B">
        <w:rPr>
          <w:sz w:val="24"/>
          <w:szCs w:val="24"/>
        </w:rPr>
        <w:t>.</w:t>
      </w:r>
    </w:p>
    <w:p w:rsidR="00360C9B" w:rsidRPr="00F87EE8" w:rsidRDefault="00360C9B" w:rsidP="00360C9B">
      <w:pPr>
        <w:pStyle w:val="ListParagraph"/>
        <w:ind w:left="720"/>
        <w:rPr>
          <w:b/>
          <w:sz w:val="24"/>
          <w:szCs w:val="24"/>
        </w:rPr>
      </w:pPr>
    </w:p>
    <w:p w:rsidR="00F87EE8" w:rsidRPr="00F87EE8" w:rsidRDefault="00F87EE8" w:rsidP="00360C9B">
      <w:pPr>
        <w:pStyle w:val="ListParagraph"/>
        <w:widowControl/>
        <w:numPr>
          <w:ilvl w:val="0"/>
          <w:numId w:val="3"/>
        </w:numPr>
        <w:jc w:val="left"/>
        <w:rPr>
          <w:rFonts w:eastAsia="Times New Roman"/>
          <w:kern w:val="0"/>
          <w:sz w:val="24"/>
          <w:szCs w:val="24"/>
          <w:lang w:val="en-GB" w:eastAsia="en-GB"/>
        </w:rPr>
      </w:pPr>
      <w:r w:rsidRPr="00F87EE8">
        <w:rPr>
          <w:rFonts w:eastAsia="Times New Roman"/>
          <w:kern w:val="0"/>
          <w:sz w:val="24"/>
          <w:szCs w:val="24"/>
          <w:lang w:val="en-GB" w:eastAsia="en-GB"/>
        </w:rPr>
        <w:t xml:space="preserve">Reutrakul, S., &amp;Deerochanawong, C. (2016). Diabetes in Thailand: status and policy. </w:t>
      </w:r>
      <w:r w:rsidRPr="00F87EE8">
        <w:rPr>
          <w:rFonts w:eastAsia="Times New Roman"/>
          <w:i/>
          <w:iCs/>
          <w:kern w:val="0"/>
          <w:sz w:val="24"/>
          <w:szCs w:val="24"/>
          <w:lang w:val="en-GB" w:eastAsia="en-GB"/>
        </w:rPr>
        <w:t>Current diabetes reports</w:t>
      </w:r>
      <w:r w:rsidRPr="00F87EE8">
        <w:rPr>
          <w:rFonts w:eastAsia="Times New Roman"/>
          <w:kern w:val="0"/>
          <w:sz w:val="24"/>
          <w:szCs w:val="24"/>
          <w:lang w:val="en-GB" w:eastAsia="en-GB"/>
        </w:rPr>
        <w:t xml:space="preserve">, </w:t>
      </w:r>
      <w:r w:rsidRPr="00F87EE8">
        <w:rPr>
          <w:rFonts w:eastAsia="Times New Roman"/>
          <w:i/>
          <w:iCs/>
          <w:kern w:val="0"/>
          <w:sz w:val="24"/>
          <w:szCs w:val="24"/>
          <w:lang w:val="en-GB" w:eastAsia="en-GB"/>
        </w:rPr>
        <w:t>16</w:t>
      </w:r>
      <w:r w:rsidRPr="00F87EE8">
        <w:rPr>
          <w:rFonts w:eastAsia="Times New Roman"/>
          <w:kern w:val="0"/>
          <w:sz w:val="24"/>
          <w:szCs w:val="24"/>
          <w:lang w:val="en-GB" w:eastAsia="en-GB"/>
        </w:rPr>
        <w:t>(3), 28.</w:t>
      </w:r>
    </w:p>
    <w:p w:rsidR="00F87EE8" w:rsidRPr="00F87EE8" w:rsidRDefault="00F87EE8" w:rsidP="00360C9B">
      <w:pPr>
        <w:ind w:left="360"/>
        <w:rPr>
          <w:b/>
          <w:sz w:val="24"/>
          <w:szCs w:val="24"/>
        </w:rPr>
      </w:pPr>
    </w:p>
    <w:p w:rsidR="00796A20" w:rsidRPr="00796A20" w:rsidRDefault="00796A20" w:rsidP="00360C9B">
      <w:pPr>
        <w:pStyle w:val="ListParagraph"/>
        <w:widowControl/>
        <w:numPr>
          <w:ilvl w:val="0"/>
          <w:numId w:val="3"/>
        </w:numPr>
        <w:jc w:val="left"/>
        <w:rPr>
          <w:rFonts w:eastAsia="Times New Roman"/>
          <w:kern w:val="0"/>
          <w:sz w:val="24"/>
          <w:szCs w:val="24"/>
          <w:lang w:val="en-GB" w:eastAsia="en-GB"/>
        </w:rPr>
      </w:pPr>
      <w:r w:rsidRPr="00796A20">
        <w:rPr>
          <w:rFonts w:eastAsia="Times New Roman"/>
          <w:kern w:val="0"/>
          <w:sz w:val="24"/>
          <w:szCs w:val="24"/>
          <w:lang w:val="en-GB" w:eastAsia="en-GB"/>
        </w:rPr>
        <w:t xml:space="preserve">Koro, C. E., Lee, B. H., &amp;Bowlin, S. J. (2009). Antidiabetic medication use and prevalence of chronic kidney disease among patients with type 2 diabetes mellitus in the United States. </w:t>
      </w:r>
      <w:r w:rsidRPr="00796A20">
        <w:rPr>
          <w:rFonts w:eastAsia="Times New Roman"/>
          <w:i/>
          <w:iCs/>
          <w:kern w:val="0"/>
          <w:sz w:val="24"/>
          <w:szCs w:val="24"/>
          <w:lang w:val="en-GB" w:eastAsia="en-GB"/>
        </w:rPr>
        <w:t>Clinical therapeutics</w:t>
      </w:r>
      <w:r w:rsidRPr="00796A20">
        <w:rPr>
          <w:rFonts w:eastAsia="Times New Roman"/>
          <w:kern w:val="0"/>
          <w:sz w:val="24"/>
          <w:szCs w:val="24"/>
          <w:lang w:val="en-GB" w:eastAsia="en-GB"/>
        </w:rPr>
        <w:t xml:space="preserve">, </w:t>
      </w:r>
      <w:r w:rsidRPr="00796A20">
        <w:rPr>
          <w:rFonts w:eastAsia="Times New Roman"/>
          <w:i/>
          <w:iCs/>
          <w:kern w:val="0"/>
          <w:sz w:val="24"/>
          <w:szCs w:val="24"/>
          <w:lang w:val="en-GB" w:eastAsia="en-GB"/>
        </w:rPr>
        <w:t>31</w:t>
      </w:r>
      <w:r w:rsidRPr="00796A20">
        <w:rPr>
          <w:rFonts w:eastAsia="Times New Roman"/>
          <w:kern w:val="0"/>
          <w:sz w:val="24"/>
          <w:szCs w:val="24"/>
          <w:lang w:val="en-GB" w:eastAsia="en-GB"/>
        </w:rPr>
        <w:t>(11), 2608-2617.</w:t>
      </w:r>
    </w:p>
    <w:p w:rsidR="00796A20" w:rsidRPr="00806858" w:rsidRDefault="00796A20" w:rsidP="00806858">
      <w:pPr>
        <w:pStyle w:val="ListParagraph"/>
        <w:spacing w:line="360" w:lineRule="auto"/>
        <w:ind w:left="720"/>
        <w:rPr>
          <w:b/>
          <w:sz w:val="24"/>
          <w:szCs w:val="24"/>
        </w:rPr>
      </w:pPr>
    </w:p>
    <w:p w:rsidR="00F33B35" w:rsidRDefault="00F33B35" w:rsidP="004732AC">
      <w:pPr>
        <w:spacing w:line="360" w:lineRule="auto"/>
        <w:rPr>
          <w:b/>
          <w:sz w:val="24"/>
          <w:szCs w:val="24"/>
        </w:rPr>
        <w:sectPr w:rsidR="00F33B35" w:rsidSect="00F33B35">
          <w:type w:val="continuous"/>
          <w:pgSz w:w="11906" w:h="16838"/>
          <w:pgMar w:top="1440" w:right="1440" w:bottom="1440" w:left="1440" w:header="708" w:footer="708" w:gutter="0"/>
          <w:cols w:num="2" w:space="708"/>
          <w:docGrid w:linePitch="360"/>
        </w:sectPr>
      </w:pPr>
    </w:p>
    <w:p w:rsidR="00014D42" w:rsidRPr="00CE3186" w:rsidRDefault="00014D42" w:rsidP="004732AC">
      <w:pPr>
        <w:spacing w:line="360" w:lineRule="auto"/>
        <w:rPr>
          <w:b/>
          <w:sz w:val="24"/>
          <w:szCs w:val="24"/>
        </w:rPr>
      </w:pPr>
    </w:p>
    <w:p w:rsidR="00014D42" w:rsidRPr="00CE3186" w:rsidRDefault="00014D42" w:rsidP="004732AC">
      <w:pPr>
        <w:spacing w:line="360" w:lineRule="auto"/>
        <w:rPr>
          <w:b/>
          <w:sz w:val="24"/>
          <w:szCs w:val="24"/>
        </w:rPr>
      </w:pPr>
    </w:p>
    <w:p w:rsidR="00014D42" w:rsidRPr="00CE3186" w:rsidRDefault="00014D42" w:rsidP="004732AC">
      <w:pPr>
        <w:spacing w:line="360" w:lineRule="auto"/>
        <w:rPr>
          <w:b/>
          <w:sz w:val="24"/>
          <w:szCs w:val="24"/>
        </w:rPr>
      </w:pPr>
    </w:p>
    <w:p w:rsidR="00014D42" w:rsidRPr="00CE3186" w:rsidRDefault="00014D42" w:rsidP="004732AC">
      <w:pPr>
        <w:spacing w:line="360" w:lineRule="auto"/>
        <w:rPr>
          <w:b/>
          <w:sz w:val="24"/>
          <w:szCs w:val="24"/>
        </w:rPr>
      </w:pPr>
    </w:p>
    <w:p w:rsidR="00014D42" w:rsidRPr="00CE3186" w:rsidRDefault="00014D42" w:rsidP="004732AC">
      <w:pPr>
        <w:spacing w:line="360" w:lineRule="auto"/>
        <w:rPr>
          <w:b/>
          <w:sz w:val="24"/>
          <w:szCs w:val="24"/>
        </w:rPr>
      </w:pPr>
    </w:p>
    <w:p w:rsidR="00014D42" w:rsidRPr="004732AC" w:rsidRDefault="00014D42" w:rsidP="004732AC">
      <w:pPr>
        <w:spacing w:line="360" w:lineRule="auto"/>
        <w:rPr>
          <w:b/>
          <w:sz w:val="24"/>
          <w:szCs w:val="24"/>
        </w:rPr>
      </w:pPr>
    </w:p>
    <w:p w:rsidR="00014D42" w:rsidRPr="004732AC" w:rsidRDefault="00014D42" w:rsidP="004732AC">
      <w:pPr>
        <w:spacing w:line="360" w:lineRule="auto"/>
        <w:rPr>
          <w:b/>
          <w:sz w:val="24"/>
          <w:szCs w:val="24"/>
        </w:rPr>
      </w:pPr>
    </w:p>
    <w:p w:rsidR="00014D42" w:rsidRPr="004732AC" w:rsidRDefault="00014D42" w:rsidP="004732AC">
      <w:pPr>
        <w:spacing w:line="360" w:lineRule="auto"/>
        <w:rPr>
          <w:b/>
          <w:sz w:val="24"/>
          <w:szCs w:val="24"/>
        </w:rPr>
      </w:pPr>
    </w:p>
    <w:p w:rsidR="00014D42" w:rsidRPr="004732AC" w:rsidRDefault="00014D42" w:rsidP="004732AC">
      <w:pPr>
        <w:spacing w:line="360" w:lineRule="auto"/>
        <w:rPr>
          <w:b/>
          <w:sz w:val="24"/>
          <w:szCs w:val="24"/>
        </w:rPr>
      </w:pPr>
    </w:p>
    <w:p w:rsidR="00014D42" w:rsidRPr="004732AC" w:rsidRDefault="00014D42" w:rsidP="004732AC">
      <w:pPr>
        <w:spacing w:line="360" w:lineRule="auto"/>
        <w:rPr>
          <w:b/>
          <w:sz w:val="24"/>
          <w:szCs w:val="24"/>
        </w:rPr>
      </w:pPr>
    </w:p>
    <w:p w:rsidR="00014D42" w:rsidRPr="004732AC" w:rsidRDefault="00014D42" w:rsidP="004732AC">
      <w:pPr>
        <w:spacing w:line="360" w:lineRule="auto"/>
        <w:rPr>
          <w:b/>
          <w:sz w:val="24"/>
          <w:szCs w:val="24"/>
        </w:rPr>
      </w:pPr>
    </w:p>
    <w:sectPr w:rsidR="00014D42" w:rsidRPr="004732AC" w:rsidSect="00F33B35">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4E20" w:rsidRDefault="00B44E20" w:rsidP="00CE3186">
      <w:r>
        <w:separator/>
      </w:r>
    </w:p>
  </w:endnote>
  <w:endnote w:type="continuationSeparator" w:id="1">
    <w:p w:rsidR="00B44E20" w:rsidRDefault="00B44E20" w:rsidP="00CE31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9607666"/>
      <w:docPartObj>
        <w:docPartGallery w:val="Page Numbers (Bottom of Page)"/>
        <w:docPartUnique/>
      </w:docPartObj>
    </w:sdtPr>
    <w:sdtEndPr>
      <w:rPr>
        <w:noProof/>
      </w:rPr>
    </w:sdtEndPr>
    <w:sdtContent>
      <w:p w:rsidR="00302801" w:rsidRDefault="00CA1E89">
        <w:pPr>
          <w:pStyle w:val="Footer"/>
          <w:jc w:val="center"/>
        </w:pPr>
        <w:r>
          <w:fldChar w:fldCharType="begin"/>
        </w:r>
        <w:r w:rsidR="00302801">
          <w:instrText xml:space="preserve"> PAGE   \* MERGEFORMAT </w:instrText>
        </w:r>
        <w:r>
          <w:fldChar w:fldCharType="separate"/>
        </w:r>
        <w:r w:rsidR="000062D4">
          <w:rPr>
            <w:noProof/>
          </w:rPr>
          <w:t>36</w:t>
        </w:r>
        <w:r>
          <w:rPr>
            <w:noProof/>
          </w:rPr>
          <w:fldChar w:fldCharType="end"/>
        </w:r>
      </w:p>
    </w:sdtContent>
  </w:sdt>
  <w:p w:rsidR="00EE0BEE" w:rsidRDefault="00EE0B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4E20" w:rsidRDefault="00B44E20" w:rsidP="00CE3186">
      <w:r>
        <w:separator/>
      </w:r>
    </w:p>
  </w:footnote>
  <w:footnote w:type="continuationSeparator" w:id="1">
    <w:p w:rsidR="00B44E20" w:rsidRDefault="00B44E20" w:rsidP="00CE31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8B1" w:rsidRDefault="00CA1E8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0;margin-top:0;width:397.65pt;height:238.6pt;rotation:315;z-index:-251655168;mso-position-horizontal:center;mso-position-horizontal-relative:margin;mso-position-vertical:center;mso-position-vertical-relative:margin" o:allowincell="f" fillcolor="silver" stroked="f">
          <v:fill opacity=".5"/>
          <v:textpath style="font-family:&quot;Bradley Hand ITC&quot;;font-size:1pt" string="JPRDP"/>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765" w:rsidRDefault="00CA1E89" w:rsidP="00F75DA1">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left:0;text-align:left;margin-left:0;margin-top:0;width:397.65pt;height:238.6pt;rotation:315;z-index:-251653120;mso-position-horizontal:center;mso-position-horizontal-relative:margin;mso-position-vertical:center;mso-position-vertical-relative:margin" o:allowincell="f" fillcolor="silver" stroked="f">
          <v:fill opacity=".5"/>
          <v:textpath style="font-family:&quot;Bradley Hand ITC&quot;;font-size:1pt" string="JPRDP"/>
          <w10:wrap anchorx="margin" anchory="margin"/>
        </v:shape>
      </w:pict>
    </w:r>
    <w:r w:rsidR="00CA0765">
      <w:rPr>
        <w:i/>
        <w:sz w:val="20"/>
      </w:rPr>
      <w:t>Aliyu et al</w:t>
    </w:r>
    <w:r w:rsidR="00CA0765" w:rsidRPr="00E93449">
      <w:rPr>
        <w:sz w:val="20"/>
      </w:rPr>
      <w:t xml:space="preserve">, J. Pharm. Res. Dev. &amp;Pract., </w:t>
    </w:r>
    <w:r w:rsidR="00CA0765">
      <w:rPr>
        <w:sz w:val="20"/>
      </w:rPr>
      <w:t>April, 2021, Vol. 5</w:t>
    </w:r>
    <w:r w:rsidR="00302801">
      <w:rPr>
        <w:sz w:val="20"/>
      </w:rPr>
      <w:t xml:space="preserve"> No. 1, P 036</w:t>
    </w:r>
    <w:r w:rsidR="00CA0765">
      <w:rPr>
        <w:sz w:val="20"/>
      </w:rPr>
      <w:t>- 0</w:t>
    </w:r>
    <w:r w:rsidR="00302801">
      <w:rPr>
        <w:sz w:val="20"/>
      </w:rPr>
      <w:t>42</w:t>
    </w:r>
    <w:r w:rsidR="00CA0765" w:rsidRPr="00E93449">
      <w:rPr>
        <w:sz w:val="20"/>
      </w:rPr>
      <w:t>. ISSN:2579-0455</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8B1" w:rsidRDefault="00CA1E8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left:0;text-align:left;margin-left:0;margin-top:0;width:397.65pt;height:238.6pt;rotation:315;z-index:-251657216;mso-position-horizontal:center;mso-position-horizontal-relative:margin;mso-position-vertical:center;mso-position-vertical-relative:margin" o:allowincell="f" fillcolor="silver" stroked="f">
          <v:fill opacity=".5"/>
          <v:textpath style="font-family:&quot;Bradley Hand ITC&quot;;font-size:1pt" string="JPRDP"/>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2"/>
    <w:multiLevelType w:val="multilevel"/>
    <w:tmpl w:val="68505F8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
    <w:nsid w:val="00000019"/>
    <w:multiLevelType w:val="multilevel"/>
    <w:tmpl w:val="B4387D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38199B"/>
    <w:multiLevelType w:val="hybridMultilevel"/>
    <w:tmpl w:val="627EE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796A26"/>
    <w:multiLevelType w:val="hybridMultilevel"/>
    <w:tmpl w:val="DC121D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8331DF"/>
    <w:multiLevelType w:val="hybridMultilevel"/>
    <w:tmpl w:val="47BA02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80133F"/>
    <w:multiLevelType w:val="hybridMultilevel"/>
    <w:tmpl w:val="35E851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343A93"/>
    <w:rsid w:val="000062D4"/>
    <w:rsid w:val="00014D42"/>
    <w:rsid w:val="00034EAE"/>
    <w:rsid w:val="00045476"/>
    <w:rsid w:val="0005208D"/>
    <w:rsid w:val="00071738"/>
    <w:rsid w:val="00077BED"/>
    <w:rsid w:val="001253EB"/>
    <w:rsid w:val="001264B3"/>
    <w:rsid w:val="00131EFD"/>
    <w:rsid w:val="001B65B2"/>
    <w:rsid w:val="001C2542"/>
    <w:rsid w:val="001D3283"/>
    <w:rsid w:val="002055A8"/>
    <w:rsid w:val="00225820"/>
    <w:rsid w:val="0023531A"/>
    <w:rsid w:val="00280EA4"/>
    <w:rsid w:val="00302801"/>
    <w:rsid w:val="00305307"/>
    <w:rsid w:val="0032194A"/>
    <w:rsid w:val="00343A93"/>
    <w:rsid w:val="00360C9B"/>
    <w:rsid w:val="00361230"/>
    <w:rsid w:val="00377ABB"/>
    <w:rsid w:val="003916EA"/>
    <w:rsid w:val="003A1C06"/>
    <w:rsid w:val="003E2B03"/>
    <w:rsid w:val="00437F1E"/>
    <w:rsid w:val="004732AC"/>
    <w:rsid w:val="004C0BDB"/>
    <w:rsid w:val="004C46FE"/>
    <w:rsid w:val="004E7EB3"/>
    <w:rsid w:val="0050060B"/>
    <w:rsid w:val="00524E42"/>
    <w:rsid w:val="00563963"/>
    <w:rsid w:val="00584C78"/>
    <w:rsid w:val="005B0F86"/>
    <w:rsid w:val="005B30A8"/>
    <w:rsid w:val="005B7155"/>
    <w:rsid w:val="005D4AD5"/>
    <w:rsid w:val="005D765A"/>
    <w:rsid w:val="00640CBB"/>
    <w:rsid w:val="00657A83"/>
    <w:rsid w:val="00661E75"/>
    <w:rsid w:val="00671637"/>
    <w:rsid w:val="00671B5E"/>
    <w:rsid w:val="006750B7"/>
    <w:rsid w:val="00686BB5"/>
    <w:rsid w:val="006911DA"/>
    <w:rsid w:val="006A3F26"/>
    <w:rsid w:val="006D1CAB"/>
    <w:rsid w:val="0070042B"/>
    <w:rsid w:val="0071248C"/>
    <w:rsid w:val="00736D42"/>
    <w:rsid w:val="00741865"/>
    <w:rsid w:val="007466FD"/>
    <w:rsid w:val="0076675F"/>
    <w:rsid w:val="00766EFA"/>
    <w:rsid w:val="00770943"/>
    <w:rsid w:val="007753AF"/>
    <w:rsid w:val="0078332A"/>
    <w:rsid w:val="007861AC"/>
    <w:rsid w:val="00796A20"/>
    <w:rsid w:val="007970CC"/>
    <w:rsid w:val="007A1573"/>
    <w:rsid w:val="007B4B5C"/>
    <w:rsid w:val="007D614C"/>
    <w:rsid w:val="007E0559"/>
    <w:rsid w:val="00805AE7"/>
    <w:rsid w:val="00806858"/>
    <w:rsid w:val="00823A3F"/>
    <w:rsid w:val="00862297"/>
    <w:rsid w:val="008931FE"/>
    <w:rsid w:val="008D0C4D"/>
    <w:rsid w:val="008D48E4"/>
    <w:rsid w:val="008E06A7"/>
    <w:rsid w:val="008E6C41"/>
    <w:rsid w:val="008F79E0"/>
    <w:rsid w:val="00931034"/>
    <w:rsid w:val="00931CCB"/>
    <w:rsid w:val="0093445B"/>
    <w:rsid w:val="00934F03"/>
    <w:rsid w:val="009414A6"/>
    <w:rsid w:val="00941ED1"/>
    <w:rsid w:val="0094265A"/>
    <w:rsid w:val="00947AC5"/>
    <w:rsid w:val="00950FE5"/>
    <w:rsid w:val="0096196D"/>
    <w:rsid w:val="0096631C"/>
    <w:rsid w:val="00986E66"/>
    <w:rsid w:val="009946B0"/>
    <w:rsid w:val="009A7357"/>
    <w:rsid w:val="009B0B66"/>
    <w:rsid w:val="009D28B1"/>
    <w:rsid w:val="00A24425"/>
    <w:rsid w:val="00A36B72"/>
    <w:rsid w:val="00A46B5B"/>
    <w:rsid w:val="00A478C2"/>
    <w:rsid w:val="00A52309"/>
    <w:rsid w:val="00A55D5B"/>
    <w:rsid w:val="00A55EEC"/>
    <w:rsid w:val="00A61854"/>
    <w:rsid w:val="00A806D7"/>
    <w:rsid w:val="00AC2DA0"/>
    <w:rsid w:val="00B24B1A"/>
    <w:rsid w:val="00B424C4"/>
    <w:rsid w:val="00B44E20"/>
    <w:rsid w:val="00B5583B"/>
    <w:rsid w:val="00B7695F"/>
    <w:rsid w:val="00BA13E0"/>
    <w:rsid w:val="00BA173B"/>
    <w:rsid w:val="00BA4C0D"/>
    <w:rsid w:val="00BC68BC"/>
    <w:rsid w:val="00BF35B3"/>
    <w:rsid w:val="00C00B9D"/>
    <w:rsid w:val="00C23121"/>
    <w:rsid w:val="00C31C92"/>
    <w:rsid w:val="00C468C0"/>
    <w:rsid w:val="00C53A33"/>
    <w:rsid w:val="00C72620"/>
    <w:rsid w:val="00C86224"/>
    <w:rsid w:val="00CA0765"/>
    <w:rsid w:val="00CA1E89"/>
    <w:rsid w:val="00CA746E"/>
    <w:rsid w:val="00CB78CB"/>
    <w:rsid w:val="00CE3186"/>
    <w:rsid w:val="00D33E55"/>
    <w:rsid w:val="00D809C3"/>
    <w:rsid w:val="00E0507B"/>
    <w:rsid w:val="00E748DA"/>
    <w:rsid w:val="00E86E75"/>
    <w:rsid w:val="00E87B4C"/>
    <w:rsid w:val="00EE0287"/>
    <w:rsid w:val="00EE0BEE"/>
    <w:rsid w:val="00F05F40"/>
    <w:rsid w:val="00F06497"/>
    <w:rsid w:val="00F33B35"/>
    <w:rsid w:val="00F75DA1"/>
    <w:rsid w:val="00F8139E"/>
    <w:rsid w:val="00F87EE8"/>
    <w:rsid w:val="00F9210A"/>
    <w:rsid w:val="00F941A5"/>
    <w:rsid w:val="00F969EC"/>
    <w:rsid w:val="00FB3D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A93"/>
    <w:pPr>
      <w:widowControl w:val="0"/>
      <w:spacing w:after="0" w:line="240" w:lineRule="auto"/>
      <w:jc w:val="both"/>
    </w:pPr>
    <w:rPr>
      <w:rFonts w:ascii="Times New Roman" w:eastAsia="SimSun" w:hAnsi="Times New Roman" w:cs="Times New Roman"/>
      <w:kern w:val="2"/>
      <w:sz w:val="21"/>
      <w:szCs w:val="20"/>
      <w:lang w:val="en-US" w:eastAsia="zh-CN"/>
    </w:rPr>
  </w:style>
  <w:style w:type="paragraph" w:styleId="Heading3">
    <w:name w:val="heading 3"/>
    <w:basedOn w:val="Normal"/>
    <w:link w:val="Heading3Char"/>
    <w:uiPriority w:val="9"/>
    <w:qFormat/>
    <w:rsid w:val="004732AC"/>
    <w:pPr>
      <w:keepNext/>
      <w:keepLines/>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A93"/>
  </w:style>
  <w:style w:type="character" w:styleId="Hyperlink">
    <w:name w:val="Hyperlink"/>
    <w:basedOn w:val="DefaultParagraphFont"/>
    <w:uiPriority w:val="99"/>
    <w:unhideWhenUsed/>
    <w:rsid w:val="00343A93"/>
    <w:rPr>
      <w:color w:val="0563C1" w:themeColor="hyperlink"/>
      <w:u w:val="single"/>
    </w:rPr>
  </w:style>
  <w:style w:type="character" w:customStyle="1" w:styleId="display">
    <w:name w:val="display"/>
    <w:basedOn w:val="DefaultParagraphFont"/>
    <w:rsid w:val="00A478C2"/>
  </w:style>
  <w:style w:type="paragraph" w:styleId="NoSpacing">
    <w:name w:val="No Spacing"/>
    <w:uiPriority w:val="1"/>
    <w:qFormat/>
    <w:rsid w:val="004732AC"/>
    <w:pPr>
      <w:spacing w:after="0" w:line="240" w:lineRule="auto"/>
    </w:pPr>
  </w:style>
  <w:style w:type="character" w:customStyle="1" w:styleId="Heading3Char">
    <w:name w:val="Heading 3 Char"/>
    <w:basedOn w:val="DefaultParagraphFont"/>
    <w:link w:val="Heading3"/>
    <w:uiPriority w:val="9"/>
    <w:rsid w:val="004732AC"/>
    <w:rPr>
      <w:rFonts w:ascii="Times New Roman" w:eastAsia="SimSun" w:hAnsi="Times New Roman" w:cs="Times New Roman"/>
      <w:b/>
      <w:color w:val="4F81BD"/>
      <w:kern w:val="2"/>
      <w:sz w:val="21"/>
      <w:szCs w:val="20"/>
      <w:lang w:val="en-US" w:eastAsia="zh-CN"/>
    </w:rPr>
  </w:style>
  <w:style w:type="paragraph" w:styleId="Header">
    <w:name w:val="header"/>
    <w:basedOn w:val="Normal"/>
    <w:link w:val="HeaderChar"/>
    <w:uiPriority w:val="99"/>
    <w:unhideWhenUsed/>
    <w:rsid w:val="00CE3186"/>
    <w:pPr>
      <w:tabs>
        <w:tab w:val="center" w:pos="4513"/>
        <w:tab w:val="right" w:pos="9026"/>
      </w:tabs>
    </w:pPr>
  </w:style>
  <w:style w:type="character" w:customStyle="1" w:styleId="HeaderChar">
    <w:name w:val="Header Char"/>
    <w:basedOn w:val="DefaultParagraphFont"/>
    <w:link w:val="Header"/>
    <w:uiPriority w:val="99"/>
    <w:rsid w:val="00CE3186"/>
    <w:rPr>
      <w:rFonts w:ascii="Times New Roman" w:eastAsia="SimSun" w:hAnsi="Times New Roman" w:cs="Times New Roman"/>
      <w:kern w:val="2"/>
      <w:sz w:val="21"/>
      <w:szCs w:val="20"/>
      <w:lang w:val="en-US" w:eastAsia="zh-CN"/>
    </w:rPr>
  </w:style>
  <w:style w:type="paragraph" w:styleId="Footer">
    <w:name w:val="footer"/>
    <w:basedOn w:val="Normal"/>
    <w:link w:val="FooterChar"/>
    <w:uiPriority w:val="99"/>
    <w:unhideWhenUsed/>
    <w:rsid w:val="00CE3186"/>
    <w:pPr>
      <w:tabs>
        <w:tab w:val="center" w:pos="4513"/>
        <w:tab w:val="right" w:pos="9026"/>
      </w:tabs>
    </w:pPr>
  </w:style>
  <w:style w:type="character" w:customStyle="1" w:styleId="FooterChar">
    <w:name w:val="Footer Char"/>
    <w:basedOn w:val="DefaultParagraphFont"/>
    <w:link w:val="Footer"/>
    <w:uiPriority w:val="99"/>
    <w:rsid w:val="00CE3186"/>
    <w:rPr>
      <w:rFonts w:ascii="Times New Roman" w:eastAsia="SimSun" w:hAnsi="Times New Roman" w:cs="Times New Roman"/>
      <w:kern w:val="2"/>
      <w:sz w:val="21"/>
      <w:szCs w:val="20"/>
      <w:lang w:val="en-US" w:eastAsia="zh-CN"/>
    </w:rPr>
  </w:style>
  <w:style w:type="character" w:styleId="CommentReference">
    <w:name w:val="annotation reference"/>
    <w:basedOn w:val="DefaultParagraphFont"/>
    <w:uiPriority w:val="99"/>
    <w:semiHidden/>
    <w:unhideWhenUsed/>
    <w:rsid w:val="00F06497"/>
    <w:rPr>
      <w:sz w:val="16"/>
      <w:szCs w:val="16"/>
    </w:rPr>
  </w:style>
  <w:style w:type="paragraph" w:styleId="CommentText">
    <w:name w:val="annotation text"/>
    <w:basedOn w:val="Normal"/>
    <w:link w:val="CommentTextChar"/>
    <w:uiPriority w:val="99"/>
    <w:semiHidden/>
    <w:unhideWhenUsed/>
    <w:rsid w:val="00F06497"/>
    <w:rPr>
      <w:sz w:val="20"/>
    </w:rPr>
  </w:style>
  <w:style w:type="character" w:customStyle="1" w:styleId="CommentTextChar">
    <w:name w:val="Comment Text Char"/>
    <w:basedOn w:val="DefaultParagraphFont"/>
    <w:link w:val="CommentText"/>
    <w:uiPriority w:val="99"/>
    <w:semiHidden/>
    <w:rsid w:val="00F06497"/>
    <w:rPr>
      <w:rFonts w:ascii="Times New Roman" w:eastAsia="SimSun" w:hAnsi="Times New Roman" w:cs="Times New Roman"/>
      <w:kern w:val="2"/>
      <w:sz w:val="20"/>
      <w:szCs w:val="20"/>
      <w:lang w:val="en-US" w:eastAsia="zh-CN"/>
    </w:rPr>
  </w:style>
  <w:style w:type="paragraph" w:styleId="CommentSubject">
    <w:name w:val="annotation subject"/>
    <w:basedOn w:val="CommentText"/>
    <w:next w:val="CommentText"/>
    <w:link w:val="CommentSubjectChar"/>
    <w:uiPriority w:val="99"/>
    <w:semiHidden/>
    <w:unhideWhenUsed/>
    <w:rsid w:val="00F06497"/>
    <w:rPr>
      <w:b/>
      <w:bCs/>
    </w:rPr>
  </w:style>
  <w:style w:type="character" w:customStyle="1" w:styleId="CommentSubjectChar">
    <w:name w:val="Comment Subject Char"/>
    <w:basedOn w:val="CommentTextChar"/>
    <w:link w:val="CommentSubject"/>
    <w:uiPriority w:val="99"/>
    <w:semiHidden/>
    <w:rsid w:val="00F06497"/>
    <w:rPr>
      <w:rFonts w:ascii="Times New Roman" w:eastAsia="SimSun" w:hAnsi="Times New Roman" w:cs="Times New Roman"/>
      <w:b/>
      <w:bCs/>
      <w:kern w:val="2"/>
      <w:sz w:val="20"/>
      <w:szCs w:val="20"/>
      <w:lang w:val="en-US" w:eastAsia="zh-CN"/>
    </w:rPr>
  </w:style>
  <w:style w:type="paragraph" w:styleId="BalloonText">
    <w:name w:val="Balloon Text"/>
    <w:basedOn w:val="Normal"/>
    <w:link w:val="BalloonTextChar"/>
    <w:uiPriority w:val="99"/>
    <w:semiHidden/>
    <w:unhideWhenUsed/>
    <w:rsid w:val="00F06497"/>
    <w:rPr>
      <w:rFonts w:ascii="Tahoma" w:hAnsi="Tahoma" w:cs="Tahoma"/>
      <w:sz w:val="16"/>
      <w:szCs w:val="16"/>
    </w:rPr>
  </w:style>
  <w:style w:type="character" w:customStyle="1" w:styleId="BalloonTextChar">
    <w:name w:val="Balloon Text Char"/>
    <w:basedOn w:val="DefaultParagraphFont"/>
    <w:link w:val="BalloonText"/>
    <w:uiPriority w:val="99"/>
    <w:semiHidden/>
    <w:rsid w:val="00F06497"/>
    <w:rPr>
      <w:rFonts w:ascii="Tahoma" w:eastAsia="SimSun" w:hAnsi="Tahoma" w:cs="Tahoma"/>
      <w:kern w:val="2"/>
      <w:sz w:val="16"/>
      <w:szCs w:val="16"/>
      <w:lang w:val="en-US" w:eastAsia="zh-CN"/>
    </w:rPr>
  </w:style>
  <w:style w:type="table" w:styleId="TableGrid">
    <w:name w:val="Table Grid"/>
    <w:basedOn w:val="TableNormal"/>
    <w:uiPriority w:val="39"/>
    <w:rsid w:val="00805A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A93"/>
    <w:pPr>
      <w:widowControl w:val="0"/>
      <w:spacing w:after="0" w:line="240" w:lineRule="auto"/>
      <w:jc w:val="both"/>
    </w:pPr>
    <w:rPr>
      <w:rFonts w:ascii="Times New Roman" w:eastAsia="SimSun" w:hAnsi="Times New Roman" w:cs="Times New Roman"/>
      <w:kern w:val="2"/>
      <w:sz w:val="21"/>
      <w:szCs w:val="20"/>
      <w:lang w:val="en-US" w:eastAsia="zh-CN"/>
    </w:rPr>
  </w:style>
  <w:style w:type="paragraph" w:styleId="Heading3">
    <w:name w:val="heading 3"/>
    <w:basedOn w:val="Normal"/>
    <w:link w:val="Heading3Char"/>
    <w:uiPriority w:val="9"/>
    <w:qFormat/>
    <w:rsid w:val="004732AC"/>
    <w:pPr>
      <w:keepNext/>
      <w:keepLines/>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A93"/>
  </w:style>
  <w:style w:type="character" w:styleId="Hyperlink">
    <w:name w:val="Hyperlink"/>
    <w:basedOn w:val="DefaultParagraphFont"/>
    <w:uiPriority w:val="99"/>
    <w:unhideWhenUsed/>
    <w:rsid w:val="00343A93"/>
    <w:rPr>
      <w:color w:val="0563C1" w:themeColor="hyperlink"/>
      <w:u w:val="single"/>
    </w:rPr>
  </w:style>
  <w:style w:type="character" w:customStyle="1" w:styleId="display">
    <w:name w:val="display"/>
    <w:basedOn w:val="DefaultParagraphFont"/>
    <w:rsid w:val="00A478C2"/>
  </w:style>
  <w:style w:type="paragraph" w:styleId="NoSpacing">
    <w:name w:val="No Spacing"/>
    <w:uiPriority w:val="1"/>
    <w:qFormat/>
    <w:rsid w:val="004732AC"/>
    <w:pPr>
      <w:spacing w:after="0" w:line="240" w:lineRule="auto"/>
    </w:pPr>
  </w:style>
  <w:style w:type="character" w:customStyle="1" w:styleId="Heading3Char">
    <w:name w:val="Heading 3 Char"/>
    <w:basedOn w:val="DefaultParagraphFont"/>
    <w:link w:val="Heading3"/>
    <w:uiPriority w:val="9"/>
    <w:rsid w:val="004732AC"/>
    <w:rPr>
      <w:rFonts w:ascii="Times New Roman" w:eastAsia="SimSun" w:hAnsi="Times New Roman" w:cs="Times New Roman"/>
      <w:b/>
      <w:color w:val="4F81BD"/>
      <w:kern w:val="2"/>
      <w:sz w:val="21"/>
      <w:szCs w:val="20"/>
      <w:lang w:val="en-US" w:eastAsia="zh-CN"/>
    </w:rPr>
  </w:style>
  <w:style w:type="paragraph" w:styleId="Header">
    <w:name w:val="header"/>
    <w:basedOn w:val="Normal"/>
    <w:link w:val="HeaderChar"/>
    <w:uiPriority w:val="99"/>
    <w:unhideWhenUsed/>
    <w:rsid w:val="00CE3186"/>
    <w:pPr>
      <w:tabs>
        <w:tab w:val="center" w:pos="4513"/>
        <w:tab w:val="right" w:pos="9026"/>
      </w:tabs>
    </w:pPr>
  </w:style>
  <w:style w:type="character" w:customStyle="1" w:styleId="HeaderChar">
    <w:name w:val="Header Char"/>
    <w:basedOn w:val="DefaultParagraphFont"/>
    <w:link w:val="Header"/>
    <w:uiPriority w:val="99"/>
    <w:rsid w:val="00CE3186"/>
    <w:rPr>
      <w:rFonts w:ascii="Times New Roman" w:eastAsia="SimSun" w:hAnsi="Times New Roman" w:cs="Times New Roman"/>
      <w:kern w:val="2"/>
      <w:sz w:val="21"/>
      <w:szCs w:val="20"/>
      <w:lang w:val="en-US" w:eastAsia="zh-CN"/>
    </w:rPr>
  </w:style>
  <w:style w:type="paragraph" w:styleId="Footer">
    <w:name w:val="footer"/>
    <w:basedOn w:val="Normal"/>
    <w:link w:val="FooterChar"/>
    <w:uiPriority w:val="99"/>
    <w:unhideWhenUsed/>
    <w:rsid w:val="00CE3186"/>
    <w:pPr>
      <w:tabs>
        <w:tab w:val="center" w:pos="4513"/>
        <w:tab w:val="right" w:pos="9026"/>
      </w:tabs>
    </w:pPr>
  </w:style>
  <w:style w:type="character" w:customStyle="1" w:styleId="FooterChar">
    <w:name w:val="Footer Char"/>
    <w:basedOn w:val="DefaultParagraphFont"/>
    <w:link w:val="Footer"/>
    <w:uiPriority w:val="99"/>
    <w:rsid w:val="00CE3186"/>
    <w:rPr>
      <w:rFonts w:ascii="Times New Roman" w:eastAsia="SimSun" w:hAnsi="Times New Roman" w:cs="Times New Roman"/>
      <w:kern w:val="2"/>
      <w:sz w:val="21"/>
      <w:szCs w:val="20"/>
      <w:lang w:val="en-US" w:eastAsia="zh-CN"/>
    </w:rPr>
  </w:style>
  <w:style w:type="character" w:styleId="CommentReference">
    <w:name w:val="annotation reference"/>
    <w:basedOn w:val="DefaultParagraphFont"/>
    <w:uiPriority w:val="99"/>
    <w:semiHidden/>
    <w:unhideWhenUsed/>
    <w:rsid w:val="00F06497"/>
    <w:rPr>
      <w:sz w:val="16"/>
      <w:szCs w:val="16"/>
    </w:rPr>
  </w:style>
  <w:style w:type="paragraph" w:styleId="CommentText">
    <w:name w:val="annotation text"/>
    <w:basedOn w:val="Normal"/>
    <w:link w:val="CommentTextChar"/>
    <w:uiPriority w:val="99"/>
    <w:semiHidden/>
    <w:unhideWhenUsed/>
    <w:rsid w:val="00F06497"/>
    <w:rPr>
      <w:sz w:val="20"/>
    </w:rPr>
  </w:style>
  <w:style w:type="character" w:customStyle="1" w:styleId="CommentTextChar">
    <w:name w:val="Comment Text Char"/>
    <w:basedOn w:val="DefaultParagraphFont"/>
    <w:link w:val="CommentText"/>
    <w:uiPriority w:val="99"/>
    <w:semiHidden/>
    <w:rsid w:val="00F06497"/>
    <w:rPr>
      <w:rFonts w:ascii="Times New Roman" w:eastAsia="SimSun" w:hAnsi="Times New Roman" w:cs="Times New Roman"/>
      <w:kern w:val="2"/>
      <w:sz w:val="20"/>
      <w:szCs w:val="20"/>
      <w:lang w:val="en-US" w:eastAsia="zh-CN"/>
    </w:rPr>
  </w:style>
  <w:style w:type="paragraph" w:styleId="CommentSubject">
    <w:name w:val="annotation subject"/>
    <w:basedOn w:val="CommentText"/>
    <w:next w:val="CommentText"/>
    <w:link w:val="CommentSubjectChar"/>
    <w:uiPriority w:val="99"/>
    <w:semiHidden/>
    <w:unhideWhenUsed/>
    <w:rsid w:val="00F06497"/>
    <w:rPr>
      <w:b/>
      <w:bCs/>
    </w:rPr>
  </w:style>
  <w:style w:type="character" w:customStyle="1" w:styleId="CommentSubjectChar">
    <w:name w:val="Comment Subject Char"/>
    <w:basedOn w:val="CommentTextChar"/>
    <w:link w:val="CommentSubject"/>
    <w:uiPriority w:val="99"/>
    <w:semiHidden/>
    <w:rsid w:val="00F06497"/>
    <w:rPr>
      <w:rFonts w:ascii="Times New Roman" w:eastAsia="SimSun" w:hAnsi="Times New Roman" w:cs="Times New Roman"/>
      <w:b/>
      <w:bCs/>
      <w:kern w:val="2"/>
      <w:sz w:val="20"/>
      <w:szCs w:val="20"/>
      <w:lang w:val="en-US" w:eastAsia="zh-CN"/>
    </w:rPr>
  </w:style>
  <w:style w:type="paragraph" w:styleId="BalloonText">
    <w:name w:val="Balloon Text"/>
    <w:basedOn w:val="Normal"/>
    <w:link w:val="BalloonTextChar"/>
    <w:uiPriority w:val="99"/>
    <w:semiHidden/>
    <w:unhideWhenUsed/>
    <w:rsid w:val="00F06497"/>
    <w:rPr>
      <w:rFonts w:ascii="Tahoma" w:hAnsi="Tahoma" w:cs="Tahoma"/>
      <w:sz w:val="16"/>
      <w:szCs w:val="16"/>
    </w:rPr>
  </w:style>
  <w:style w:type="character" w:customStyle="1" w:styleId="BalloonTextChar">
    <w:name w:val="Balloon Text Char"/>
    <w:basedOn w:val="DefaultParagraphFont"/>
    <w:link w:val="BalloonText"/>
    <w:uiPriority w:val="99"/>
    <w:semiHidden/>
    <w:rsid w:val="00F06497"/>
    <w:rPr>
      <w:rFonts w:ascii="Tahoma" w:eastAsia="SimSun" w:hAnsi="Tahoma" w:cs="Tahoma"/>
      <w:kern w:val="2"/>
      <w:sz w:val="16"/>
      <w:szCs w:val="16"/>
      <w:lang w:val="en-US" w:eastAsia="zh-CN"/>
    </w:rPr>
  </w:style>
  <w:style w:type="table" w:styleId="TableGrid">
    <w:name w:val="Table Grid"/>
    <w:basedOn w:val="TableNormal"/>
    <w:uiPriority w:val="39"/>
    <w:rsid w:val="00805A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090301">
      <w:bodyDiv w:val="1"/>
      <w:marLeft w:val="0"/>
      <w:marRight w:val="0"/>
      <w:marTop w:val="0"/>
      <w:marBottom w:val="0"/>
      <w:divBdr>
        <w:top w:val="none" w:sz="0" w:space="0" w:color="auto"/>
        <w:left w:val="none" w:sz="0" w:space="0" w:color="auto"/>
        <w:bottom w:val="none" w:sz="0" w:space="0" w:color="auto"/>
        <w:right w:val="none" w:sz="0" w:space="0" w:color="auto"/>
      </w:divBdr>
      <w:divsChild>
        <w:div w:id="464852950">
          <w:marLeft w:val="0"/>
          <w:marRight w:val="0"/>
          <w:marTop w:val="0"/>
          <w:marBottom w:val="0"/>
          <w:divBdr>
            <w:top w:val="none" w:sz="0" w:space="0" w:color="auto"/>
            <w:left w:val="none" w:sz="0" w:space="0" w:color="auto"/>
            <w:bottom w:val="none" w:sz="0" w:space="0" w:color="auto"/>
            <w:right w:val="none" w:sz="0" w:space="0" w:color="auto"/>
          </w:divBdr>
        </w:div>
      </w:divsChild>
    </w:div>
    <w:div w:id="47655531">
      <w:bodyDiv w:val="1"/>
      <w:marLeft w:val="0"/>
      <w:marRight w:val="0"/>
      <w:marTop w:val="0"/>
      <w:marBottom w:val="0"/>
      <w:divBdr>
        <w:top w:val="none" w:sz="0" w:space="0" w:color="auto"/>
        <w:left w:val="none" w:sz="0" w:space="0" w:color="auto"/>
        <w:bottom w:val="none" w:sz="0" w:space="0" w:color="auto"/>
        <w:right w:val="none" w:sz="0" w:space="0" w:color="auto"/>
      </w:divBdr>
      <w:divsChild>
        <w:div w:id="1897158655">
          <w:marLeft w:val="0"/>
          <w:marRight w:val="0"/>
          <w:marTop w:val="0"/>
          <w:marBottom w:val="0"/>
          <w:divBdr>
            <w:top w:val="none" w:sz="0" w:space="0" w:color="auto"/>
            <w:left w:val="none" w:sz="0" w:space="0" w:color="auto"/>
            <w:bottom w:val="none" w:sz="0" w:space="0" w:color="auto"/>
            <w:right w:val="none" w:sz="0" w:space="0" w:color="auto"/>
          </w:divBdr>
        </w:div>
      </w:divsChild>
    </w:div>
    <w:div w:id="99494153">
      <w:bodyDiv w:val="1"/>
      <w:marLeft w:val="0"/>
      <w:marRight w:val="0"/>
      <w:marTop w:val="0"/>
      <w:marBottom w:val="0"/>
      <w:divBdr>
        <w:top w:val="none" w:sz="0" w:space="0" w:color="auto"/>
        <w:left w:val="none" w:sz="0" w:space="0" w:color="auto"/>
        <w:bottom w:val="none" w:sz="0" w:space="0" w:color="auto"/>
        <w:right w:val="none" w:sz="0" w:space="0" w:color="auto"/>
      </w:divBdr>
      <w:divsChild>
        <w:div w:id="1294210620">
          <w:marLeft w:val="0"/>
          <w:marRight w:val="0"/>
          <w:marTop w:val="0"/>
          <w:marBottom w:val="0"/>
          <w:divBdr>
            <w:top w:val="none" w:sz="0" w:space="0" w:color="auto"/>
            <w:left w:val="none" w:sz="0" w:space="0" w:color="auto"/>
            <w:bottom w:val="none" w:sz="0" w:space="0" w:color="auto"/>
            <w:right w:val="none" w:sz="0" w:space="0" w:color="auto"/>
          </w:divBdr>
        </w:div>
      </w:divsChild>
    </w:div>
    <w:div w:id="158083657">
      <w:bodyDiv w:val="1"/>
      <w:marLeft w:val="0"/>
      <w:marRight w:val="0"/>
      <w:marTop w:val="0"/>
      <w:marBottom w:val="0"/>
      <w:divBdr>
        <w:top w:val="none" w:sz="0" w:space="0" w:color="auto"/>
        <w:left w:val="none" w:sz="0" w:space="0" w:color="auto"/>
        <w:bottom w:val="none" w:sz="0" w:space="0" w:color="auto"/>
        <w:right w:val="none" w:sz="0" w:space="0" w:color="auto"/>
      </w:divBdr>
      <w:divsChild>
        <w:div w:id="1205675408">
          <w:marLeft w:val="0"/>
          <w:marRight w:val="0"/>
          <w:marTop w:val="0"/>
          <w:marBottom w:val="0"/>
          <w:divBdr>
            <w:top w:val="none" w:sz="0" w:space="0" w:color="auto"/>
            <w:left w:val="none" w:sz="0" w:space="0" w:color="auto"/>
            <w:bottom w:val="none" w:sz="0" w:space="0" w:color="auto"/>
            <w:right w:val="none" w:sz="0" w:space="0" w:color="auto"/>
          </w:divBdr>
        </w:div>
      </w:divsChild>
    </w:div>
    <w:div w:id="280192890">
      <w:bodyDiv w:val="1"/>
      <w:marLeft w:val="0"/>
      <w:marRight w:val="0"/>
      <w:marTop w:val="0"/>
      <w:marBottom w:val="0"/>
      <w:divBdr>
        <w:top w:val="none" w:sz="0" w:space="0" w:color="auto"/>
        <w:left w:val="none" w:sz="0" w:space="0" w:color="auto"/>
        <w:bottom w:val="none" w:sz="0" w:space="0" w:color="auto"/>
        <w:right w:val="none" w:sz="0" w:space="0" w:color="auto"/>
      </w:divBdr>
      <w:divsChild>
        <w:div w:id="94909027">
          <w:marLeft w:val="0"/>
          <w:marRight w:val="0"/>
          <w:marTop w:val="0"/>
          <w:marBottom w:val="0"/>
          <w:divBdr>
            <w:top w:val="none" w:sz="0" w:space="0" w:color="auto"/>
            <w:left w:val="none" w:sz="0" w:space="0" w:color="auto"/>
            <w:bottom w:val="none" w:sz="0" w:space="0" w:color="auto"/>
            <w:right w:val="none" w:sz="0" w:space="0" w:color="auto"/>
          </w:divBdr>
        </w:div>
      </w:divsChild>
    </w:div>
    <w:div w:id="388842671">
      <w:bodyDiv w:val="1"/>
      <w:marLeft w:val="0"/>
      <w:marRight w:val="0"/>
      <w:marTop w:val="0"/>
      <w:marBottom w:val="0"/>
      <w:divBdr>
        <w:top w:val="none" w:sz="0" w:space="0" w:color="auto"/>
        <w:left w:val="none" w:sz="0" w:space="0" w:color="auto"/>
        <w:bottom w:val="none" w:sz="0" w:space="0" w:color="auto"/>
        <w:right w:val="none" w:sz="0" w:space="0" w:color="auto"/>
      </w:divBdr>
      <w:divsChild>
        <w:div w:id="211429596">
          <w:marLeft w:val="0"/>
          <w:marRight w:val="0"/>
          <w:marTop w:val="0"/>
          <w:marBottom w:val="0"/>
          <w:divBdr>
            <w:top w:val="none" w:sz="0" w:space="0" w:color="auto"/>
            <w:left w:val="none" w:sz="0" w:space="0" w:color="auto"/>
            <w:bottom w:val="none" w:sz="0" w:space="0" w:color="auto"/>
            <w:right w:val="none" w:sz="0" w:space="0" w:color="auto"/>
          </w:divBdr>
        </w:div>
      </w:divsChild>
    </w:div>
    <w:div w:id="484781309">
      <w:bodyDiv w:val="1"/>
      <w:marLeft w:val="0"/>
      <w:marRight w:val="0"/>
      <w:marTop w:val="0"/>
      <w:marBottom w:val="0"/>
      <w:divBdr>
        <w:top w:val="none" w:sz="0" w:space="0" w:color="auto"/>
        <w:left w:val="none" w:sz="0" w:space="0" w:color="auto"/>
        <w:bottom w:val="none" w:sz="0" w:space="0" w:color="auto"/>
        <w:right w:val="none" w:sz="0" w:space="0" w:color="auto"/>
      </w:divBdr>
      <w:divsChild>
        <w:div w:id="1978607733">
          <w:marLeft w:val="0"/>
          <w:marRight w:val="0"/>
          <w:marTop w:val="0"/>
          <w:marBottom w:val="0"/>
          <w:divBdr>
            <w:top w:val="none" w:sz="0" w:space="0" w:color="auto"/>
            <w:left w:val="none" w:sz="0" w:space="0" w:color="auto"/>
            <w:bottom w:val="none" w:sz="0" w:space="0" w:color="auto"/>
            <w:right w:val="none" w:sz="0" w:space="0" w:color="auto"/>
          </w:divBdr>
        </w:div>
      </w:divsChild>
    </w:div>
    <w:div w:id="585462486">
      <w:bodyDiv w:val="1"/>
      <w:marLeft w:val="0"/>
      <w:marRight w:val="0"/>
      <w:marTop w:val="0"/>
      <w:marBottom w:val="0"/>
      <w:divBdr>
        <w:top w:val="none" w:sz="0" w:space="0" w:color="auto"/>
        <w:left w:val="none" w:sz="0" w:space="0" w:color="auto"/>
        <w:bottom w:val="none" w:sz="0" w:space="0" w:color="auto"/>
        <w:right w:val="none" w:sz="0" w:space="0" w:color="auto"/>
      </w:divBdr>
      <w:divsChild>
        <w:div w:id="1297950557">
          <w:marLeft w:val="0"/>
          <w:marRight w:val="0"/>
          <w:marTop w:val="0"/>
          <w:marBottom w:val="0"/>
          <w:divBdr>
            <w:top w:val="none" w:sz="0" w:space="0" w:color="auto"/>
            <w:left w:val="none" w:sz="0" w:space="0" w:color="auto"/>
            <w:bottom w:val="none" w:sz="0" w:space="0" w:color="auto"/>
            <w:right w:val="none" w:sz="0" w:space="0" w:color="auto"/>
          </w:divBdr>
        </w:div>
      </w:divsChild>
    </w:div>
    <w:div w:id="618923116">
      <w:bodyDiv w:val="1"/>
      <w:marLeft w:val="0"/>
      <w:marRight w:val="0"/>
      <w:marTop w:val="0"/>
      <w:marBottom w:val="0"/>
      <w:divBdr>
        <w:top w:val="none" w:sz="0" w:space="0" w:color="auto"/>
        <w:left w:val="none" w:sz="0" w:space="0" w:color="auto"/>
        <w:bottom w:val="none" w:sz="0" w:space="0" w:color="auto"/>
        <w:right w:val="none" w:sz="0" w:space="0" w:color="auto"/>
      </w:divBdr>
      <w:divsChild>
        <w:div w:id="1291592047">
          <w:marLeft w:val="0"/>
          <w:marRight w:val="0"/>
          <w:marTop w:val="0"/>
          <w:marBottom w:val="0"/>
          <w:divBdr>
            <w:top w:val="none" w:sz="0" w:space="0" w:color="auto"/>
            <w:left w:val="none" w:sz="0" w:space="0" w:color="auto"/>
            <w:bottom w:val="none" w:sz="0" w:space="0" w:color="auto"/>
            <w:right w:val="none" w:sz="0" w:space="0" w:color="auto"/>
          </w:divBdr>
        </w:div>
      </w:divsChild>
    </w:div>
    <w:div w:id="835806320">
      <w:bodyDiv w:val="1"/>
      <w:marLeft w:val="0"/>
      <w:marRight w:val="0"/>
      <w:marTop w:val="0"/>
      <w:marBottom w:val="0"/>
      <w:divBdr>
        <w:top w:val="none" w:sz="0" w:space="0" w:color="auto"/>
        <w:left w:val="none" w:sz="0" w:space="0" w:color="auto"/>
        <w:bottom w:val="none" w:sz="0" w:space="0" w:color="auto"/>
        <w:right w:val="none" w:sz="0" w:space="0" w:color="auto"/>
      </w:divBdr>
      <w:divsChild>
        <w:div w:id="1465275412">
          <w:marLeft w:val="0"/>
          <w:marRight w:val="0"/>
          <w:marTop w:val="0"/>
          <w:marBottom w:val="0"/>
          <w:divBdr>
            <w:top w:val="none" w:sz="0" w:space="0" w:color="auto"/>
            <w:left w:val="none" w:sz="0" w:space="0" w:color="auto"/>
            <w:bottom w:val="none" w:sz="0" w:space="0" w:color="auto"/>
            <w:right w:val="none" w:sz="0" w:space="0" w:color="auto"/>
          </w:divBdr>
        </w:div>
      </w:divsChild>
    </w:div>
    <w:div w:id="844590513">
      <w:bodyDiv w:val="1"/>
      <w:marLeft w:val="0"/>
      <w:marRight w:val="0"/>
      <w:marTop w:val="0"/>
      <w:marBottom w:val="0"/>
      <w:divBdr>
        <w:top w:val="none" w:sz="0" w:space="0" w:color="auto"/>
        <w:left w:val="none" w:sz="0" w:space="0" w:color="auto"/>
        <w:bottom w:val="none" w:sz="0" w:space="0" w:color="auto"/>
        <w:right w:val="none" w:sz="0" w:space="0" w:color="auto"/>
      </w:divBdr>
      <w:divsChild>
        <w:div w:id="1104154196">
          <w:marLeft w:val="0"/>
          <w:marRight w:val="0"/>
          <w:marTop w:val="0"/>
          <w:marBottom w:val="0"/>
          <w:divBdr>
            <w:top w:val="none" w:sz="0" w:space="0" w:color="auto"/>
            <w:left w:val="none" w:sz="0" w:space="0" w:color="auto"/>
            <w:bottom w:val="none" w:sz="0" w:space="0" w:color="auto"/>
            <w:right w:val="none" w:sz="0" w:space="0" w:color="auto"/>
          </w:divBdr>
        </w:div>
      </w:divsChild>
    </w:div>
    <w:div w:id="1171528862">
      <w:bodyDiv w:val="1"/>
      <w:marLeft w:val="0"/>
      <w:marRight w:val="0"/>
      <w:marTop w:val="0"/>
      <w:marBottom w:val="0"/>
      <w:divBdr>
        <w:top w:val="none" w:sz="0" w:space="0" w:color="auto"/>
        <w:left w:val="none" w:sz="0" w:space="0" w:color="auto"/>
        <w:bottom w:val="none" w:sz="0" w:space="0" w:color="auto"/>
        <w:right w:val="none" w:sz="0" w:space="0" w:color="auto"/>
      </w:divBdr>
      <w:divsChild>
        <w:div w:id="1827670228">
          <w:marLeft w:val="0"/>
          <w:marRight w:val="0"/>
          <w:marTop w:val="0"/>
          <w:marBottom w:val="0"/>
          <w:divBdr>
            <w:top w:val="none" w:sz="0" w:space="0" w:color="auto"/>
            <w:left w:val="none" w:sz="0" w:space="0" w:color="auto"/>
            <w:bottom w:val="none" w:sz="0" w:space="0" w:color="auto"/>
            <w:right w:val="none" w:sz="0" w:space="0" w:color="auto"/>
          </w:divBdr>
        </w:div>
      </w:divsChild>
    </w:div>
    <w:div w:id="1204052647">
      <w:bodyDiv w:val="1"/>
      <w:marLeft w:val="0"/>
      <w:marRight w:val="0"/>
      <w:marTop w:val="0"/>
      <w:marBottom w:val="0"/>
      <w:divBdr>
        <w:top w:val="none" w:sz="0" w:space="0" w:color="auto"/>
        <w:left w:val="none" w:sz="0" w:space="0" w:color="auto"/>
        <w:bottom w:val="none" w:sz="0" w:space="0" w:color="auto"/>
        <w:right w:val="none" w:sz="0" w:space="0" w:color="auto"/>
      </w:divBdr>
      <w:divsChild>
        <w:div w:id="1518347568">
          <w:marLeft w:val="0"/>
          <w:marRight w:val="0"/>
          <w:marTop w:val="0"/>
          <w:marBottom w:val="0"/>
          <w:divBdr>
            <w:top w:val="none" w:sz="0" w:space="0" w:color="auto"/>
            <w:left w:val="none" w:sz="0" w:space="0" w:color="auto"/>
            <w:bottom w:val="none" w:sz="0" w:space="0" w:color="auto"/>
            <w:right w:val="none" w:sz="0" w:space="0" w:color="auto"/>
          </w:divBdr>
        </w:div>
      </w:divsChild>
    </w:div>
    <w:div w:id="1319073254">
      <w:bodyDiv w:val="1"/>
      <w:marLeft w:val="0"/>
      <w:marRight w:val="0"/>
      <w:marTop w:val="0"/>
      <w:marBottom w:val="0"/>
      <w:divBdr>
        <w:top w:val="none" w:sz="0" w:space="0" w:color="auto"/>
        <w:left w:val="none" w:sz="0" w:space="0" w:color="auto"/>
        <w:bottom w:val="none" w:sz="0" w:space="0" w:color="auto"/>
        <w:right w:val="none" w:sz="0" w:space="0" w:color="auto"/>
      </w:divBdr>
      <w:divsChild>
        <w:div w:id="923609710">
          <w:marLeft w:val="0"/>
          <w:marRight w:val="0"/>
          <w:marTop w:val="0"/>
          <w:marBottom w:val="0"/>
          <w:divBdr>
            <w:top w:val="none" w:sz="0" w:space="0" w:color="auto"/>
            <w:left w:val="none" w:sz="0" w:space="0" w:color="auto"/>
            <w:bottom w:val="none" w:sz="0" w:space="0" w:color="auto"/>
            <w:right w:val="none" w:sz="0" w:space="0" w:color="auto"/>
          </w:divBdr>
        </w:div>
      </w:divsChild>
    </w:div>
    <w:div w:id="1501892840">
      <w:bodyDiv w:val="1"/>
      <w:marLeft w:val="0"/>
      <w:marRight w:val="0"/>
      <w:marTop w:val="0"/>
      <w:marBottom w:val="0"/>
      <w:divBdr>
        <w:top w:val="none" w:sz="0" w:space="0" w:color="auto"/>
        <w:left w:val="none" w:sz="0" w:space="0" w:color="auto"/>
        <w:bottom w:val="none" w:sz="0" w:space="0" w:color="auto"/>
        <w:right w:val="none" w:sz="0" w:space="0" w:color="auto"/>
      </w:divBdr>
      <w:divsChild>
        <w:div w:id="420182334">
          <w:marLeft w:val="0"/>
          <w:marRight w:val="0"/>
          <w:marTop w:val="0"/>
          <w:marBottom w:val="0"/>
          <w:divBdr>
            <w:top w:val="none" w:sz="0" w:space="0" w:color="auto"/>
            <w:left w:val="none" w:sz="0" w:space="0" w:color="auto"/>
            <w:bottom w:val="none" w:sz="0" w:space="0" w:color="auto"/>
            <w:right w:val="none" w:sz="0" w:space="0" w:color="auto"/>
          </w:divBdr>
        </w:div>
      </w:divsChild>
    </w:div>
    <w:div w:id="1558659880">
      <w:bodyDiv w:val="1"/>
      <w:marLeft w:val="0"/>
      <w:marRight w:val="0"/>
      <w:marTop w:val="0"/>
      <w:marBottom w:val="0"/>
      <w:divBdr>
        <w:top w:val="none" w:sz="0" w:space="0" w:color="auto"/>
        <w:left w:val="none" w:sz="0" w:space="0" w:color="auto"/>
        <w:bottom w:val="none" w:sz="0" w:space="0" w:color="auto"/>
        <w:right w:val="none" w:sz="0" w:space="0" w:color="auto"/>
      </w:divBdr>
      <w:divsChild>
        <w:div w:id="1988237453">
          <w:marLeft w:val="0"/>
          <w:marRight w:val="0"/>
          <w:marTop w:val="0"/>
          <w:marBottom w:val="0"/>
          <w:divBdr>
            <w:top w:val="none" w:sz="0" w:space="0" w:color="auto"/>
            <w:left w:val="none" w:sz="0" w:space="0" w:color="auto"/>
            <w:bottom w:val="none" w:sz="0" w:space="0" w:color="auto"/>
            <w:right w:val="none" w:sz="0" w:space="0" w:color="auto"/>
          </w:divBdr>
        </w:div>
      </w:divsChild>
    </w:div>
    <w:div w:id="1577977459">
      <w:bodyDiv w:val="1"/>
      <w:marLeft w:val="0"/>
      <w:marRight w:val="0"/>
      <w:marTop w:val="0"/>
      <w:marBottom w:val="0"/>
      <w:divBdr>
        <w:top w:val="none" w:sz="0" w:space="0" w:color="auto"/>
        <w:left w:val="none" w:sz="0" w:space="0" w:color="auto"/>
        <w:bottom w:val="none" w:sz="0" w:space="0" w:color="auto"/>
        <w:right w:val="none" w:sz="0" w:space="0" w:color="auto"/>
      </w:divBdr>
      <w:divsChild>
        <w:div w:id="194663299">
          <w:marLeft w:val="0"/>
          <w:marRight w:val="0"/>
          <w:marTop w:val="0"/>
          <w:marBottom w:val="0"/>
          <w:divBdr>
            <w:top w:val="none" w:sz="0" w:space="0" w:color="auto"/>
            <w:left w:val="none" w:sz="0" w:space="0" w:color="auto"/>
            <w:bottom w:val="none" w:sz="0" w:space="0" w:color="auto"/>
            <w:right w:val="none" w:sz="0" w:space="0" w:color="auto"/>
          </w:divBdr>
        </w:div>
      </w:divsChild>
    </w:div>
    <w:div w:id="1921793308">
      <w:bodyDiv w:val="1"/>
      <w:marLeft w:val="0"/>
      <w:marRight w:val="0"/>
      <w:marTop w:val="0"/>
      <w:marBottom w:val="0"/>
      <w:divBdr>
        <w:top w:val="none" w:sz="0" w:space="0" w:color="auto"/>
        <w:left w:val="none" w:sz="0" w:space="0" w:color="auto"/>
        <w:bottom w:val="none" w:sz="0" w:space="0" w:color="auto"/>
        <w:right w:val="none" w:sz="0" w:space="0" w:color="auto"/>
      </w:divBdr>
      <w:divsChild>
        <w:div w:id="244264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iyu.fo@unilorin.edu.ng" TargetMode="External"/><Relationship Id="rId12" Type="http://schemas.openxmlformats.org/officeDocument/2006/relationships/hyperlink" Target="https://www.un.org/sustainabledevelopment/sustainable-development-go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7</Pages>
  <Words>2833</Words>
  <Characters>16151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Lateefat</dc:creator>
  <cp:lastModifiedBy>user</cp:lastModifiedBy>
  <cp:revision>13</cp:revision>
  <dcterms:created xsi:type="dcterms:W3CDTF">2021-06-22T22:16:00Z</dcterms:created>
  <dcterms:modified xsi:type="dcterms:W3CDTF">2021-11-18T10:53:00Z</dcterms:modified>
</cp:coreProperties>
</file>