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3BDB9" w14:textId="15ED9211" w:rsidR="0067536C" w:rsidRPr="00326E6A" w:rsidRDefault="00326E6A">
      <w:pPr>
        <w:framePr w:w="10140" w:h="1674" w:hRule="exact" w:hSpace="187" w:vSpace="187" w:wrap="around" w:vAnchor="text" w:hAnchor="page" w:x="1415" w:y="113"/>
        <w:tabs>
          <w:tab w:val="left" w:pos="4950"/>
        </w:tabs>
        <w:spacing w:after="0" w:line="240" w:lineRule="auto"/>
        <w:jc w:val="center"/>
        <w:rPr>
          <w:rFonts w:ascii="Times New Roman" w:hAnsi="Times New Roman" w:cs="Times New Roman"/>
          <w:sz w:val="36"/>
          <w:szCs w:val="36"/>
          <w:lang w:val="en-GB"/>
        </w:rPr>
      </w:pPr>
      <w:r w:rsidRPr="00326E6A">
        <w:rPr>
          <w:rFonts w:ascii="Times New Roman" w:hAnsi="Times New Roman" w:cs="Times New Roman"/>
          <w:b/>
          <w:bCs/>
          <w:sz w:val="32"/>
          <w:szCs w:val="32"/>
        </w:rPr>
        <w:t>ANALYSIS OF INTEGRATED LED AND AUTOMATED LIGHTING SYSTEMS IN NIGERIAN THEAT</w:t>
      </w:r>
      <w:r w:rsidR="00DF1DB2">
        <w:rPr>
          <w:rFonts w:ascii="Times New Roman" w:hAnsi="Times New Roman" w:cs="Times New Roman"/>
          <w:b/>
          <w:bCs/>
          <w:sz w:val="32"/>
          <w:szCs w:val="32"/>
        </w:rPr>
        <w:t>RICAL PRODUCTIONS: A</w:t>
      </w:r>
      <w:r w:rsidRPr="00326E6A">
        <w:rPr>
          <w:rFonts w:ascii="Times New Roman" w:hAnsi="Times New Roman" w:cs="Times New Roman"/>
          <w:b/>
          <w:bCs/>
          <w:sz w:val="32"/>
          <w:szCs w:val="32"/>
        </w:rPr>
        <w:t xml:space="preserve"> CASE STUDY OF SARO THE MUSICAL AND DEATH AND THE</w:t>
      </w:r>
      <w:r>
        <w:rPr>
          <w:rFonts w:ascii="Times New Roman" w:hAnsi="Times New Roman" w:cs="Times New Roman"/>
          <w:b/>
          <w:bCs/>
          <w:sz w:val="36"/>
          <w:szCs w:val="36"/>
        </w:rPr>
        <w:t xml:space="preserve"> </w:t>
      </w:r>
      <w:r w:rsidRPr="00326E6A">
        <w:rPr>
          <w:rFonts w:ascii="Times New Roman" w:hAnsi="Times New Roman" w:cs="Times New Roman"/>
          <w:b/>
          <w:bCs/>
          <w:sz w:val="32"/>
          <w:szCs w:val="32"/>
        </w:rPr>
        <w:t>KING’S HORSEMAN</w:t>
      </w:r>
    </w:p>
    <w:p w14:paraId="236EAE60" w14:textId="357F5240" w:rsidR="003F76B7" w:rsidRPr="002D7771" w:rsidRDefault="00F80260" w:rsidP="0013798C">
      <w:pPr>
        <w:framePr w:w="8520" w:h="346" w:hRule="exact" w:hSpace="187" w:vSpace="187" w:wrap="notBeside" w:vAnchor="text" w:hAnchor="page" w:x="2034" w:y="1940"/>
        <w:spacing w:after="0" w:line="240" w:lineRule="auto"/>
        <w:jc w:val="center"/>
        <w:rPr>
          <w:rFonts w:ascii="Times New Roman" w:hAnsi="Times New Roman" w:cs="Times New Roman"/>
          <w:szCs w:val="24"/>
          <w:lang w:val="en-GB"/>
        </w:rPr>
      </w:pPr>
      <w:r>
        <w:rPr>
          <w:rFonts w:ascii="Times New Roman" w:hAnsi="Times New Roman" w:cs="Times New Roman"/>
          <w:szCs w:val="24"/>
          <w:lang w:val="en-GB"/>
        </w:rPr>
        <w:t>Shuaib</w:t>
      </w:r>
      <w:r w:rsidR="0013798C" w:rsidRPr="002D7771">
        <w:rPr>
          <w:rFonts w:ascii="Times New Roman" w:hAnsi="Times New Roman" w:cs="Times New Roman"/>
          <w:szCs w:val="24"/>
          <w:vertAlign w:val="superscript"/>
          <w:lang w:val="en-GB"/>
        </w:rPr>
        <w:t>1</w:t>
      </w:r>
      <w:r w:rsidR="00D5333E" w:rsidRPr="002D7771">
        <w:rPr>
          <w:rFonts w:ascii="Times New Roman" w:hAnsi="Times New Roman" w:cs="Times New Roman"/>
          <w:szCs w:val="24"/>
          <w:vertAlign w:val="superscript"/>
          <w:lang w:val="en-GB"/>
        </w:rPr>
        <w:t>, 2</w:t>
      </w:r>
      <w:r w:rsidR="0013798C" w:rsidRPr="002D7771">
        <w:rPr>
          <w:rFonts w:ascii="Times New Roman" w:hAnsi="Times New Roman" w:cs="Times New Roman"/>
          <w:szCs w:val="24"/>
          <w:vertAlign w:val="superscript"/>
          <w:lang w:val="en-GB"/>
        </w:rPr>
        <w:t>*</w:t>
      </w:r>
      <w:r w:rsidR="00326E6A">
        <w:rPr>
          <w:rFonts w:ascii="Times New Roman" w:hAnsi="Times New Roman" w:cs="Times New Roman"/>
          <w:szCs w:val="24"/>
          <w:lang w:val="en-GB"/>
        </w:rPr>
        <w:t xml:space="preserve">, </w:t>
      </w:r>
      <w:proofErr w:type="spellStart"/>
      <w:r>
        <w:rPr>
          <w:rFonts w:ascii="Times New Roman" w:hAnsi="Times New Roman" w:cs="Times New Roman"/>
          <w:szCs w:val="24"/>
          <w:lang w:val="en-GB"/>
        </w:rPr>
        <w:t>Shadiat</w:t>
      </w:r>
      <w:proofErr w:type="spellEnd"/>
      <w:r>
        <w:rPr>
          <w:rFonts w:ascii="Times New Roman" w:hAnsi="Times New Roman" w:cs="Times New Roman"/>
          <w:szCs w:val="24"/>
          <w:lang w:val="en-GB"/>
        </w:rPr>
        <w:t xml:space="preserve"> Olapeju</w:t>
      </w:r>
      <w:r w:rsidR="0013798C" w:rsidRPr="002D7771">
        <w:rPr>
          <w:rFonts w:ascii="Times New Roman" w:hAnsi="Times New Roman" w:cs="Times New Roman"/>
          <w:szCs w:val="24"/>
          <w:vertAlign w:val="superscript"/>
          <w:lang w:val="en-GB"/>
        </w:rPr>
        <w:t>1</w:t>
      </w:r>
      <w:r w:rsidR="00326E6A">
        <w:rPr>
          <w:rFonts w:ascii="Times New Roman" w:hAnsi="Times New Roman" w:cs="Times New Roman"/>
          <w:szCs w:val="24"/>
          <w:lang w:val="en-GB"/>
        </w:rPr>
        <w:t xml:space="preserve">, </w:t>
      </w:r>
      <w:r>
        <w:rPr>
          <w:rFonts w:ascii="Times New Roman" w:hAnsi="Times New Roman" w:cs="Times New Roman"/>
          <w:szCs w:val="24"/>
          <w:lang w:val="en-GB"/>
        </w:rPr>
        <w:t>R. J. Mohammed</w:t>
      </w:r>
      <w:r w:rsidR="0013798C" w:rsidRPr="002D7771">
        <w:rPr>
          <w:rFonts w:ascii="Times New Roman" w:hAnsi="Times New Roman" w:cs="Times New Roman"/>
          <w:szCs w:val="24"/>
          <w:vertAlign w:val="superscript"/>
          <w:lang w:val="en-GB"/>
        </w:rPr>
        <w:t>3</w:t>
      </w:r>
      <w:r w:rsidR="00326E6A">
        <w:rPr>
          <w:rFonts w:ascii="Times New Roman" w:hAnsi="Times New Roman" w:cs="Times New Roman"/>
          <w:szCs w:val="24"/>
          <w:lang w:val="en-GB"/>
        </w:rPr>
        <w:t xml:space="preserve">, </w:t>
      </w:r>
      <w:r w:rsidR="0013798C" w:rsidRPr="002D7771">
        <w:rPr>
          <w:rFonts w:ascii="Times New Roman" w:hAnsi="Times New Roman" w:cs="Times New Roman"/>
          <w:szCs w:val="24"/>
          <w:vertAlign w:val="superscript"/>
          <w:lang w:val="en-GB"/>
        </w:rPr>
        <w:t>4</w:t>
      </w:r>
      <w:r>
        <w:rPr>
          <w:rFonts w:ascii="Times New Roman" w:hAnsi="Times New Roman" w:cs="Times New Roman"/>
          <w:szCs w:val="24"/>
          <w:vertAlign w:val="superscript"/>
          <w:lang w:val="en-GB"/>
        </w:rPr>
        <w:t xml:space="preserve"> </w:t>
      </w:r>
    </w:p>
    <w:p w14:paraId="68245304" w14:textId="77777777" w:rsidR="0067536C" w:rsidRPr="002D7771" w:rsidRDefault="0067536C" w:rsidP="003F76B7">
      <w:pPr>
        <w:framePr w:w="8520" w:h="346" w:hRule="exact" w:hSpace="187" w:vSpace="187" w:wrap="notBeside" w:vAnchor="text" w:hAnchor="page" w:x="2034" w:y="1940"/>
        <w:spacing w:after="0" w:line="240" w:lineRule="auto"/>
        <w:ind w:left="1080"/>
        <w:rPr>
          <w:rFonts w:ascii="Times New Roman" w:hAnsi="Times New Roman" w:cs="Times New Roman"/>
          <w:szCs w:val="24"/>
          <w:lang w:val="en-GB"/>
        </w:rPr>
      </w:pPr>
    </w:p>
    <w:p w14:paraId="2648C074" w14:textId="745DEFA0" w:rsidR="0013798C" w:rsidRPr="002D7771" w:rsidRDefault="0013798C" w:rsidP="00D5333E">
      <w:pPr>
        <w:framePr w:w="9915" w:h="1096" w:hRule="exact" w:hSpace="187" w:vSpace="187" w:wrap="notBeside" w:vAnchor="text" w:hAnchor="page" w:x="1584" w:y="2405"/>
        <w:spacing w:after="0" w:line="240" w:lineRule="auto"/>
        <w:jc w:val="center"/>
        <w:rPr>
          <w:rFonts w:ascii="Times New Roman" w:hAnsi="Times New Roman" w:cs="Times New Roman"/>
          <w:sz w:val="20"/>
          <w:szCs w:val="20"/>
          <w:lang w:val="en-GB"/>
        </w:rPr>
      </w:pPr>
      <w:r w:rsidRPr="002D7771">
        <w:rPr>
          <w:rFonts w:ascii="Times New Roman" w:hAnsi="Times New Roman" w:cs="Times New Roman"/>
          <w:sz w:val="20"/>
          <w:szCs w:val="20"/>
          <w:vertAlign w:val="superscript"/>
          <w:lang w:val="en-GB"/>
        </w:rPr>
        <w:t>1</w:t>
      </w:r>
      <w:r w:rsidR="00F80260">
        <w:rPr>
          <w:rFonts w:ascii="Times New Roman" w:hAnsi="Times New Roman" w:cs="Times New Roman"/>
          <w:sz w:val="20"/>
          <w:szCs w:val="20"/>
          <w:lang w:val="en-GB"/>
        </w:rPr>
        <w:t>Department of Performing and Film Arts, University of Ilorin, Nigeria</w:t>
      </w:r>
      <w:r w:rsidRPr="002D7771">
        <w:rPr>
          <w:rFonts w:ascii="Times New Roman" w:hAnsi="Times New Roman" w:cs="Times New Roman"/>
          <w:sz w:val="20"/>
          <w:szCs w:val="20"/>
          <w:lang w:val="en-GB"/>
        </w:rPr>
        <w:t>.</w:t>
      </w:r>
    </w:p>
    <w:p w14:paraId="500BF28A" w14:textId="53190504" w:rsidR="0013798C" w:rsidRPr="002D7771" w:rsidRDefault="0013798C" w:rsidP="00D5333E">
      <w:pPr>
        <w:framePr w:w="9915" w:h="1096" w:hRule="exact" w:hSpace="187" w:vSpace="187" w:wrap="notBeside" w:vAnchor="text" w:hAnchor="page" w:x="1584" w:y="2405"/>
        <w:spacing w:after="0" w:line="240" w:lineRule="auto"/>
        <w:jc w:val="center"/>
        <w:rPr>
          <w:rFonts w:ascii="Times New Roman" w:hAnsi="Times New Roman" w:cs="Times New Roman"/>
          <w:sz w:val="20"/>
          <w:szCs w:val="20"/>
          <w:lang w:val="en-GB"/>
        </w:rPr>
      </w:pPr>
      <w:r w:rsidRPr="002D7771">
        <w:rPr>
          <w:rFonts w:ascii="Times New Roman" w:hAnsi="Times New Roman" w:cs="Times New Roman"/>
          <w:sz w:val="20"/>
          <w:szCs w:val="20"/>
          <w:vertAlign w:val="superscript"/>
          <w:lang w:val="en-GB"/>
        </w:rPr>
        <w:t>2</w:t>
      </w:r>
      <w:r w:rsidRPr="002D7771">
        <w:rPr>
          <w:rFonts w:ascii="Times New Roman" w:hAnsi="Times New Roman" w:cs="Times New Roman"/>
          <w:sz w:val="20"/>
          <w:szCs w:val="20"/>
          <w:lang w:val="en-GB"/>
        </w:rPr>
        <w:t>.</w:t>
      </w:r>
    </w:p>
    <w:p w14:paraId="75646E26" w14:textId="42BE1A6C" w:rsidR="0013798C" w:rsidRPr="002D7771" w:rsidRDefault="0013798C" w:rsidP="00D5333E">
      <w:pPr>
        <w:framePr w:w="9915" w:h="1096" w:hRule="exact" w:hSpace="187" w:vSpace="187" w:wrap="notBeside" w:vAnchor="text" w:hAnchor="page" w:x="1584" w:y="2405"/>
        <w:spacing w:after="0" w:line="240" w:lineRule="auto"/>
        <w:jc w:val="center"/>
        <w:rPr>
          <w:rFonts w:ascii="Times New Roman" w:hAnsi="Times New Roman" w:cs="Times New Roman"/>
          <w:sz w:val="20"/>
          <w:szCs w:val="20"/>
          <w:lang w:val="en-GB"/>
        </w:rPr>
      </w:pPr>
      <w:r w:rsidRPr="002D7771">
        <w:rPr>
          <w:rFonts w:ascii="Times New Roman" w:hAnsi="Times New Roman" w:cs="Times New Roman"/>
          <w:sz w:val="20"/>
          <w:szCs w:val="20"/>
          <w:vertAlign w:val="superscript"/>
          <w:lang w:val="en-GB"/>
        </w:rPr>
        <w:t>3</w:t>
      </w:r>
      <w:r w:rsidRPr="002D7771">
        <w:rPr>
          <w:rFonts w:ascii="Times New Roman" w:hAnsi="Times New Roman" w:cs="Times New Roman"/>
          <w:sz w:val="20"/>
          <w:szCs w:val="20"/>
          <w:lang w:val="en-GB"/>
        </w:rPr>
        <w:t>.</w:t>
      </w:r>
    </w:p>
    <w:p w14:paraId="4B39A526" w14:textId="2897E1AA" w:rsidR="003D0150" w:rsidRPr="002D7771" w:rsidRDefault="0013798C"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r w:rsidRPr="002D7771">
        <w:rPr>
          <w:rFonts w:ascii="Times New Roman" w:hAnsi="Times New Roman" w:cs="Times New Roman"/>
          <w:sz w:val="20"/>
          <w:szCs w:val="20"/>
          <w:vertAlign w:val="superscript"/>
          <w:lang w:val="en-GB"/>
        </w:rPr>
        <w:t>4</w:t>
      </w:r>
      <w:r w:rsidRPr="002D7771">
        <w:rPr>
          <w:rFonts w:ascii="Times New Roman" w:hAnsi="Times New Roman" w:cs="Times New Roman"/>
          <w:sz w:val="20"/>
          <w:szCs w:val="20"/>
          <w:lang w:val="en-GB"/>
        </w:rPr>
        <w:t>.</w:t>
      </w:r>
    </w:p>
    <w:p w14:paraId="7D81748C"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6A612594"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2BEB8F62"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06E87CAB"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20036C56"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3E5FEC45"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00F7E26B"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40B5E40F" w14:textId="77777777" w:rsidR="003D0150" w:rsidRPr="002D7771" w:rsidRDefault="003D0150" w:rsidP="00D5333E">
      <w:pPr>
        <w:framePr w:w="9915" w:h="1096" w:hRule="exact" w:hSpace="187" w:vSpace="187" w:wrap="notBeside" w:vAnchor="text" w:hAnchor="page" w:x="1584" w:y="2405"/>
        <w:spacing w:after="0" w:line="240" w:lineRule="auto"/>
        <w:jc w:val="center"/>
        <w:rPr>
          <w:rFonts w:ascii="Times New Roman" w:hAnsi="Times New Roman" w:cs="Times New Roman"/>
          <w:sz w:val="18"/>
          <w:szCs w:val="24"/>
          <w:lang w:val="en-GB"/>
        </w:rPr>
      </w:pPr>
    </w:p>
    <w:p w14:paraId="1CFAEE57" w14:textId="26946EC4" w:rsidR="00975384" w:rsidRPr="002D7771" w:rsidRDefault="00C350F7" w:rsidP="00817FD3">
      <w:pPr>
        <w:spacing w:after="0" w:line="240" w:lineRule="auto"/>
        <w:jc w:val="both"/>
        <w:rPr>
          <w:rFonts w:ascii="Times New Roman" w:hAnsi="Times New Roman" w:cs="Times New Roman"/>
          <w:lang w:val="en-GB"/>
        </w:rPr>
      </w:pPr>
      <w:r w:rsidRPr="002D7771">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EEE66D7" wp14:editId="100BBBC4">
                <wp:simplePos x="0" y="0"/>
                <wp:positionH relativeFrom="margin">
                  <wp:posOffset>0</wp:posOffset>
                </wp:positionH>
                <wp:positionV relativeFrom="paragraph">
                  <wp:posOffset>2218690</wp:posOffset>
                </wp:positionV>
                <wp:extent cx="6563995" cy="0"/>
                <wp:effectExtent l="0" t="0" r="27305" b="19050"/>
                <wp:wrapNone/>
                <wp:docPr id="423"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3995" cy="0"/>
                        </a:xfrm>
                        <a:prstGeom prst="straightConnector1">
                          <a:avLst/>
                        </a:prstGeom>
                        <a:noFill/>
                        <a:ln w="19050">
                          <a:solidFill>
                            <a:srgbClr val="000000"/>
                          </a:solidFill>
                          <a:roun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C7FB303" id="_x0000_t32" coordsize="21600,21600" o:spt="32" o:oned="t" path="m,l21600,21600e" filled="f">
                <v:path arrowok="t" fillok="f" o:connecttype="none"/>
                <o:lock v:ext="edit" shapetype="t"/>
              </v:shapetype>
              <v:shape id="AutoShape 244" o:spid="_x0000_s1026" type="#_x0000_t32" style="position:absolute;margin-left:0;margin-top:174.7pt;width:516.85pt;height:0;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" strokeweight="1.5pt">
                <w10:wrap anchorx="margin"/>
              </v:shape>
            </w:pict>
          </mc:Fallback>
        </mc:AlternateContent>
      </w:r>
      <w:r w:rsidR="00C809C6" w:rsidRPr="002D7771">
        <w:rPr>
          <w:rFonts w:ascii="Times New Roman" w:hAnsi="Times New Roman" w:cs="Times New Roman"/>
          <w:b/>
          <w:i/>
          <w:noProof/>
        </w:rPr>
        <mc:AlternateContent>
          <mc:Choice Requires="wpg">
            <w:drawing>
              <wp:anchor distT="0" distB="0" distL="114300" distR="114300" simplePos="0" relativeHeight="251661312" behindDoc="1" locked="0" layoutInCell="1" allowOverlap="1" wp14:anchorId="1D285465" wp14:editId="2F3A5D64">
                <wp:simplePos x="0" y="0"/>
                <wp:positionH relativeFrom="margin">
                  <wp:align>left</wp:align>
                </wp:positionH>
                <wp:positionV relativeFrom="paragraph">
                  <wp:posOffset>879475</wp:posOffset>
                </wp:positionV>
                <wp:extent cx="6626225" cy="666000"/>
                <wp:effectExtent l="0" t="0" r="3175" b="1270"/>
                <wp:wrapNone/>
                <wp:docPr id="1" name="Group 1"/>
                <wp:cNvGraphicFramePr/>
                <a:graphic xmlns:a="http://schemas.openxmlformats.org/drawingml/2006/main">
                  <a:graphicData uri="http://schemas.microsoft.com/office/word/2010/wordprocessingGroup">
                    <wpg:wgp>
                      <wpg:cNvGrpSpPr/>
                      <wpg:grpSpPr>
                        <a:xfrm>
                          <a:off x="0" y="0"/>
                          <a:ext cx="6626225" cy="666000"/>
                          <a:chOff x="0" y="0"/>
                          <a:chExt cx="6626225" cy="667386"/>
                        </a:xfrm>
                      </wpg:grpSpPr>
                      <pic:pic xmlns:pic="http://schemas.openxmlformats.org/drawingml/2006/picture">
                        <pic:nvPicPr>
                          <pic:cNvPr id="3" name="Picture 3" descr="C:\Users\MAKOREDE\Desktop\NJTD\NJTD 001.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6124575" y="0"/>
                            <a:ext cx="501650" cy="649605"/>
                          </a:xfrm>
                          <a:prstGeom prst="rect">
                            <a:avLst/>
                          </a:prstGeom>
                          <a:noFill/>
                          <a:ln>
                            <a:noFill/>
                          </a:ln>
                        </pic:spPr>
                      </pic:pic>
                      <pic:pic xmlns:pic="http://schemas.openxmlformats.org/drawingml/2006/picture">
                        <pic:nvPicPr>
                          <pic:cNvPr id="14" name="Picture 14" descr="Image result for university of ilorin logo"/>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38100"/>
                            <a:ext cx="542925" cy="629286"/>
                          </a:xfrm>
                          <a:prstGeom prst="rect">
                            <a:avLst/>
                          </a:prstGeom>
                          <a:noFill/>
                          <a:ln>
                            <a:noFill/>
                          </a:ln>
                        </pic:spPr>
                      </pic:pic>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B735364" id="Group 1" o:spid="_x0000_s1026" style="position:absolute;margin-left:0;margin-top:69.25pt;width:521.75pt;height:52.45pt;z-index:-251655168;mso-position-horizontal:left;mso-position-horizontal-relative:margin;mso-height-relative:margin" coordsize="66262,66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1245;width:5017;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">
                  <v:imagedata r:id="rId11" o:title="NJTD 001"/>
                </v:shape>
                <v:shape id="Picture 14" o:spid="_x0000_s1028" type="#_x0000_t75" alt="Image result for university of ilorin logo" style="position:absolute;top:381;width:5429;height: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">
                  <v:imagedata r:id="rId12" o:title="Image result for university of ilorin logo"/>
                </v:shape>
                <w10:wrap anchorx="margin"/>
              </v:group>
            </w:pict>
          </mc:Fallback>
        </mc:AlternateContent>
      </w:r>
      <w:r w:rsidR="00C809C6" w:rsidRPr="002D7771">
        <w:rPr>
          <w:rFonts w:ascii="Times New Roman" w:hAnsi="Times New Roman" w:cs="Times New Roman"/>
          <w:b/>
          <w:i/>
          <w:lang w:val="en-GB"/>
        </w:rPr>
        <w:t>ABSTRACT:</w:t>
      </w:r>
      <w:r w:rsidR="00326E6A">
        <w:rPr>
          <w:rFonts w:ascii="Times New Roman" w:hAnsi="Times New Roman" w:cs="Times New Roman"/>
          <w:lang w:val="en-GB"/>
        </w:rPr>
        <w:t xml:space="preserve"> Stage lighting has evolved from technical necessity to critical storytelling tool, yet integrated system engineering in non-Western contexts remain underexpl</w:t>
      </w:r>
      <w:r w:rsidR="00DF1DB2">
        <w:rPr>
          <w:rFonts w:ascii="Times New Roman" w:hAnsi="Times New Roman" w:cs="Times New Roman"/>
          <w:lang w:val="en-GB"/>
        </w:rPr>
        <w:t xml:space="preserve">ored. This study addresses the afore-mentioned </w:t>
      </w:r>
      <w:r w:rsidR="00326E6A">
        <w:rPr>
          <w:rFonts w:ascii="Times New Roman" w:hAnsi="Times New Roman" w:cs="Times New Roman"/>
          <w:lang w:val="en-GB"/>
        </w:rPr>
        <w:t>ga</w:t>
      </w:r>
      <w:r w:rsidR="00DF1DB2">
        <w:rPr>
          <w:rFonts w:ascii="Times New Roman" w:hAnsi="Times New Roman" w:cs="Times New Roman"/>
          <w:lang w:val="en-GB"/>
        </w:rPr>
        <w:t xml:space="preserve">p through comparative </w:t>
      </w:r>
      <w:r w:rsidR="00326E6A">
        <w:rPr>
          <w:rFonts w:ascii="Times New Roman" w:hAnsi="Times New Roman" w:cs="Times New Roman"/>
          <w:lang w:val="en-GB"/>
        </w:rPr>
        <w:t xml:space="preserve">analysis of lighting systems in two Nigerian productions, </w:t>
      </w:r>
      <w:r w:rsidR="00326E6A">
        <w:rPr>
          <w:rFonts w:ascii="Times New Roman" w:hAnsi="Times New Roman" w:cs="Times New Roman"/>
          <w:i/>
          <w:lang w:val="en-GB"/>
        </w:rPr>
        <w:t>Saro the Musical (2023) and Death and the King’s Horseman (2021)</w:t>
      </w:r>
      <w:r w:rsidR="00326E6A">
        <w:rPr>
          <w:rFonts w:ascii="Times New Roman" w:hAnsi="Times New Roman" w:cs="Times New Roman"/>
          <w:lang w:val="en-GB"/>
        </w:rPr>
        <w:t xml:space="preserve"> both staged at Terra Kulture, Lagos. </w:t>
      </w:r>
      <w:r w:rsidR="00B86678">
        <w:rPr>
          <w:rFonts w:ascii="Times New Roman" w:hAnsi="Times New Roman" w:cs="Times New Roman"/>
          <w:lang w:val="en-GB"/>
        </w:rPr>
        <w:t>A mixed-method</w:t>
      </w:r>
      <w:r w:rsidR="00326E6A">
        <w:rPr>
          <w:rFonts w:ascii="Times New Roman" w:hAnsi="Times New Roman" w:cs="Times New Roman"/>
          <w:lang w:val="en-GB"/>
        </w:rPr>
        <w:t xml:space="preserve"> engineering approach </w:t>
      </w:r>
      <w:proofErr w:type="gramStart"/>
      <w:r w:rsidR="00326E6A">
        <w:rPr>
          <w:rFonts w:ascii="Times New Roman" w:hAnsi="Times New Roman" w:cs="Times New Roman"/>
          <w:lang w:val="en-GB"/>
        </w:rPr>
        <w:t>was employed</w:t>
      </w:r>
      <w:proofErr w:type="gramEnd"/>
      <w:r w:rsidR="00326E6A">
        <w:rPr>
          <w:rFonts w:ascii="Times New Roman" w:hAnsi="Times New Roman" w:cs="Times New Roman"/>
          <w:lang w:val="en-GB"/>
        </w:rPr>
        <w:t xml:space="preserve"> based on the McCandless Briggs framework. Quantitative methods included</w:t>
      </w:r>
      <w:r w:rsidR="00B86678">
        <w:rPr>
          <w:rFonts w:ascii="Times New Roman" w:hAnsi="Times New Roman" w:cs="Times New Roman"/>
          <w:lang w:val="en-GB"/>
        </w:rPr>
        <w:t>; comprehensive equipment inventory, in-situ illuminance measurements (Konica Minolta T-10A) across nine grid positions</w:t>
      </w:r>
      <w:r w:rsidR="005432A0">
        <w:rPr>
          <w:rFonts w:ascii="Times New Roman" w:hAnsi="Times New Roman" w:cs="Times New Roman"/>
          <w:lang w:val="en-GB"/>
        </w:rPr>
        <w:t xml:space="preserve"> (n=</w:t>
      </w:r>
      <w:proofErr w:type="gramStart"/>
      <w:r w:rsidR="005432A0">
        <w:rPr>
          <w:rFonts w:ascii="Times New Roman" w:hAnsi="Times New Roman" w:cs="Times New Roman"/>
          <w:lang w:val="en-GB"/>
        </w:rPr>
        <w:t>9</w:t>
      </w:r>
      <w:proofErr w:type="gramEnd"/>
      <w:r w:rsidR="005432A0">
        <w:rPr>
          <w:rFonts w:ascii="Times New Roman" w:hAnsi="Times New Roman" w:cs="Times New Roman"/>
          <w:lang w:val="en-GB"/>
        </w:rPr>
        <w:t xml:space="preserve"> repeated across 3 performances</w:t>
      </w:r>
      <w:r w:rsidR="00B37691">
        <w:rPr>
          <w:rFonts w:ascii="Times New Roman" w:hAnsi="Times New Roman" w:cs="Times New Roman"/>
          <w:lang w:val="en-GB"/>
        </w:rPr>
        <w:t>)</w:t>
      </w:r>
      <w:r w:rsidR="00B86678">
        <w:rPr>
          <w:rFonts w:ascii="Times New Roman" w:hAnsi="Times New Roman" w:cs="Times New Roman"/>
          <w:lang w:val="en-GB"/>
        </w:rPr>
        <w:t>, power consumption monitoring (Fluke 345</w:t>
      </w:r>
      <w:r w:rsidR="00B37691">
        <w:rPr>
          <w:rFonts w:ascii="Times New Roman" w:hAnsi="Times New Roman" w:cs="Times New Roman"/>
          <w:lang w:val="en-GB"/>
        </w:rPr>
        <w:t xml:space="preserve">, </w:t>
      </w:r>
      <w:r w:rsidR="00B37691" w:rsidRPr="00B37691">
        <w:rPr>
          <w:rFonts w:ascii="Times New Roman" w:hAnsi="Times New Roman" w:cs="Times New Roman"/>
          <w:lang w:val="en-GB"/>
        </w:rPr>
        <w:t>±</w:t>
      </w:r>
      <w:r w:rsidR="00B37691" w:rsidRPr="00B37691">
        <w:rPr>
          <w:rFonts w:ascii="Times New Roman" w:hAnsi="Times New Roman" w:cs="Times New Roman"/>
          <w:lang w:val="en-GB"/>
        </w:rPr>
        <w:t xml:space="preserve"> 2% accuracy</w:t>
      </w:r>
      <w:r w:rsidR="00B86678">
        <w:rPr>
          <w:rFonts w:ascii="Times New Roman" w:hAnsi="Times New Roman" w:cs="Times New Roman"/>
          <w:lang w:val="en-GB"/>
        </w:rPr>
        <w:t>), and DMX512 latency analysis (Tektronix MDO3000</w:t>
      </w:r>
      <w:r w:rsidR="00B37691">
        <w:rPr>
          <w:rFonts w:ascii="Times New Roman" w:hAnsi="Times New Roman" w:cs="Times New Roman"/>
          <w:lang w:val="en-GB"/>
        </w:rPr>
        <w:t xml:space="preserve">, </w:t>
      </w:r>
      <w:r w:rsidR="00B37691" w:rsidRPr="00B37691">
        <w:rPr>
          <w:rFonts w:ascii="Times New Roman" w:hAnsi="Times New Roman" w:cs="Times New Roman"/>
          <w:lang w:val="en-GB"/>
        </w:rPr>
        <w:t>±</w:t>
      </w:r>
      <w:r w:rsidR="00B37691">
        <w:rPr>
          <w:rFonts w:ascii="Times New Roman" w:hAnsi="Times New Roman" w:cs="Times New Roman"/>
          <w:lang w:val="en-GB"/>
        </w:rPr>
        <w:t>0.1 ms resolution</w:t>
      </w:r>
      <w:r w:rsidR="00B86678">
        <w:rPr>
          <w:rFonts w:ascii="Times New Roman" w:hAnsi="Times New Roman" w:cs="Times New Roman"/>
          <w:lang w:val="en-GB"/>
        </w:rPr>
        <w:t>).</w:t>
      </w:r>
      <w:r w:rsidR="00DF1DB2">
        <w:rPr>
          <w:rFonts w:ascii="Times New Roman" w:hAnsi="Times New Roman" w:cs="Times New Roman"/>
          <w:lang w:val="en-GB"/>
        </w:rPr>
        <w:t xml:space="preserve"> Results revealed maximum </w:t>
      </w:r>
      <w:r w:rsidR="00B86678" w:rsidRPr="00B86678">
        <w:rPr>
          <w:rFonts w:ascii="Times New Roman" w:hAnsi="Times New Roman" w:cs="Times New Roman"/>
          <w:lang w:val="en-GB"/>
        </w:rPr>
        <w:t>power consumption of 18.45 kW</w:t>
      </w:r>
      <w:r w:rsidR="00B37691">
        <w:rPr>
          <w:rFonts w:ascii="Times New Roman" w:hAnsi="Times New Roman" w:cs="Times New Roman"/>
          <w:lang w:val="en-GB"/>
        </w:rPr>
        <w:t xml:space="preserve"> (</w:t>
      </w:r>
      <w:r w:rsidR="00B37691" w:rsidRPr="00B37691">
        <w:rPr>
          <w:rFonts w:ascii="Times New Roman" w:hAnsi="Times New Roman" w:cs="Times New Roman"/>
          <w:lang w:val="en-GB"/>
        </w:rPr>
        <w:t>±</w:t>
      </w:r>
      <w:r w:rsidR="00B37691">
        <w:rPr>
          <w:rFonts w:ascii="Times New Roman" w:hAnsi="Times New Roman" w:cs="Times New Roman"/>
          <w:lang w:val="en-GB"/>
        </w:rPr>
        <w:t>0.37 kW, 95% Cl) for Saro and 14.18 kW (</w:t>
      </w:r>
      <w:r w:rsidR="00B37691" w:rsidRPr="00B37691">
        <w:rPr>
          <w:rFonts w:ascii="Times New Roman" w:hAnsi="Times New Roman" w:cs="Times New Roman"/>
          <w:lang w:val="en-GB"/>
        </w:rPr>
        <w:t>±</w:t>
      </w:r>
      <w:r w:rsidR="00B37691">
        <w:rPr>
          <w:rFonts w:ascii="Times New Roman" w:hAnsi="Times New Roman" w:cs="Times New Roman"/>
          <w:lang w:val="en-GB"/>
        </w:rPr>
        <w:t xml:space="preserve">0.28 kW) for </w:t>
      </w:r>
      <w:r w:rsidR="00B86678" w:rsidRPr="00B86678">
        <w:rPr>
          <w:rFonts w:ascii="Times New Roman" w:hAnsi="Times New Roman" w:cs="Times New Roman"/>
          <w:lang w:val="en-GB"/>
        </w:rPr>
        <w:t>Death, with LED adoption yielding 62–70% energy reductions and respective annual CO₂ savings of 1,040 kg and 1,265 kg</w:t>
      </w:r>
      <w:r w:rsidR="00DF1DB2">
        <w:rPr>
          <w:rFonts w:ascii="Times New Roman" w:hAnsi="Times New Roman" w:cs="Times New Roman"/>
          <w:lang w:val="en-GB"/>
        </w:rPr>
        <w:t xml:space="preserve"> respectively</w:t>
      </w:r>
      <w:r w:rsidR="00B86678" w:rsidRPr="00B86678">
        <w:rPr>
          <w:rFonts w:ascii="Times New Roman" w:hAnsi="Times New Roman" w:cs="Times New Roman"/>
          <w:lang w:val="en-GB"/>
        </w:rPr>
        <w:t>. Illuminance ranged from 650–850 lux</w:t>
      </w:r>
      <w:r w:rsidR="00B37691">
        <w:rPr>
          <w:rFonts w:ascii="Times New Roman" w:hAnsi="Times New Roman" w:cs="Times New Roman"/>
          <w:lang w:val="en-GB"/>
        </w:rPr>
        <w:t xml:space="preserve"> (</w:t>
      </w:r>
      <w:r w:rsidR="00B37691" w:rsidRPr="00B37691">
        <w:rPr>
          <w:rFonts w:ascii="Times New Roman" w:hAnsi="Times New Roman" w:cs="Times New Roman"/>
          <w:lang w:val="en-GB"/>
        </w:rPr>
        <w:t>±</w:t>
      </w:r>
      <w:r w:rsidR="00EB5A9C">
        <w:rPr>
          <w:rFonts w:ascii="Times New Roman" w:hAnsi="Times New Roman" w:cs="Times New Roman"/>
          <w:lang w:val="en-GB"/>
        </w:rPr>
        <w:t>8-12 lux measurement uncertainty)</w:t>
      </w:r>
      <w:r w:rsidR="00B86678" w:rsidRPr="00B86678">
        <w:rPr>
          <w:rFonts w:ascii="Times New Roman" w:hAnsi="Times New Roman" w:cs="Times New Roman"/>
          <w:lang w:val="en-GB"/>
        </w:rPr>
        <w:t>, with dynamic contrast ratios up to 43.3:1 and uniform stage coverage (min/max = 0.28). DMX system latency averaged 47 ms</w:t>
      </w:r>
      <w:r w:rsidR="00EB5A9C">
        <w:rPr>
          <w:rFonts w:ascii="Times New Roman" w:hAnsi="Times New Roman" w:cs="Times New Roman"/>
          <w:lang w:val="en-GB"/>
        </w:rPr>
        <w:t xml:space="preserve"> (</w:t>
      </w:r>
      <w:r w:rsidR="00EB5A9C" w:rsidRPr="00B37691">
        <w:rPr>
          <w:rFonts w:ascii="Times New Roman" w:hAnsi="Times New Roman" w:cs="Times New Roman"/>
          <w:lang w:val="en-GB"/>
        </w:rPr>
        <w:t>±</w:t>
      </w:r>
      <w:r w:rsidR="00EB5A9C">
        <w:rPr>
          <w:rFonts w:ascii="Times New Roman" w:hAnsi="Times New Roman" w:cs="Times New Roman"/>
          <w:lang w:val="en-GB"/>
        </w:rPr>
        <w:t>4.2 ms, n=498 cues)</w:t>
      </w:r>
      <w:r w:rsidR="00B86678" w:rsidRPr="00B86678">
        <w:rPr>
          <w:rFonts w:ascii="Times New Roman" w:hAnsi="Times New Roman" w:cs="Times New Roman"/>
          <w:lang w:val="en-GB"/>
        </w:rPr>
        <w:t xml:space="preserve"> with</w:t>
      </w:r>
      <w:r w:rsidR="00EB5A9C">
        <w:rPr>
          <w:rFonts w:ascii="Times New Roman" w:hAnsi="Times New Roman" w:cs="Times New Roman"/>
          <w:lang w:val="en-GB"/>
        </w:rPr>
        <w:t xml:space="preserve"> jitter of 3.1 ms (</w:t>
      </w:r>
      <w:r w:rsidR="00EB5A9C" w:rsidRPr="00EB5A9C">
        <w:rPr>
          <w:rFonts w:ascii="Times New Roman" w:hAnsi="Times New Roman" w:cs="Times New Roman"/>
          <w:color w:val="0F1115"/>
          <w:shd w:val="clear" w:color="auto" w:fill="FFFFFF"/>
        </w:rPr>
        <w:t>σ</w:t>
      </w:r>
      <w:r w:rsidR="00EB5A9C">
        <w:rPr>
          <w:rFonts w:ascii="Times New Roman" w:hAnsi="Times New Roman" w:cs="Times New Roman"/>
          <w:lang w:val="en-GB"/>
        </w:rPr>
        <w:t>) and</w:t>
      </w:r>
      <w:r w:rsidR="00B86678" w:rsidRPr="00B86678">
        <w:rPr>
          <w:rFonts w:ascii="Times New Roman" w:hAnsi="Times New Roman" w:cs="Times New Roman"/>
          <w:lang w:val="en-GB"/>
        </w:rPr>
        <w:t xml:space="preserve"> zero p</w:t>
      </w:r>
      <w:r w:rsidR="00EB5A9C">
        <w:rPr>
          <w:rFonts w:ascii="Times New Roman" w:hAnsi="Times New Roman" w:cs="Times New Roman"/>
          <w:lang w:val="en-GB"/>
        </w:rPr>
        <w:t>acket loss, complying with ESTA E1.11 and ANSI E1.20 standards.</w:t>
      </w:r>
      <w:r w:rsidR="00B86678" w:rsidRPr="00B86678">
        <w:rPr>
          <w:rFonts w:ascii="Times New Roman" w:hAnsi="Times New Roman" w:cs="Times New Roman"/>
          <w:lang w:val="en-GB"/>
        </w:rPr>
        <w:t xml:space="preserve"> Thermal load reduction of 8°C</w:t>
      </w:r>
      <w:r w:rsidR="00EB5A9C">
        <w:rPr>
          <w:rFonts w:ascii="Times New Roman" w:hAnsi="Times New Roman" w:cs="Times New Roman"/>
          <w:lang w:val="en-GB"/>
        </w:rPr>
        <w:t xml:space="preserve"> (</w:t>
      </w:r>
      <w:r w:rsidR="00EB5A9C">
        <w:rPr>
          <w:rFonts w:ascii="Times New Roman" w:hAnsi="Times New Roman" w:cs="Times New Roman"/>
          <w:lang w:val="en-GB"/>
        </w:rPr>
        <w:t>±</w:t>
      </w:r>
      <w:r w:rsidR="00EB5A9C">
        <w:rPr>
          <w:rFonts w:ascii="Times New Roman" w:hAnsi="Times New Roman" w:cs="Times New Roman"/>
          <w:lang w:val="en-GB"/>
        </w:rPr>
        <w:t>1.2</w:t>
      </w:r>
      <w:r w:rsidR="00EB5A9C" w:rsidRPr="00B86678">
        <w:rPr>
          <w:rFonts w:ascii="Times New Roman" w:hAnsi="Times New Roman" w:cs="Times New Roman"/>
          <w:lang w:val="en-GB"/>
        </w:rPr>
        <w:t>°</w:t>
      </w:r>
      <w:r w:rsidR="00EB5A9C">
        <w:rPr>
          <w:rFonts w:ascii="Times New Roman" w:hAnsi="Times New Roman" w:cs="Times New Roman"/>
          <w:lang w:val="en-GB"/>
        </w:rPr>
        <w:t>C)</w:t>
      </w:r>
      <w:r w:rsidR="00B86678" w:rsidRPr="00B86678">
        <w:rPr>
          <w:rFonts w:ascii="Times New Roman" w:hAnsi="Times New Roman" w:cs="Times New Roman"/>
          <w:lang w:val="en-GB"/>
        </w:rPr>
        <w:t xml:space="preserve"> decreased HVAC deman</w:t>
      </w:r>
      <w:r w:rsidR="00EB5A9C">
        <w:rPr>
          <w:rFonts w:ascii="Times New Roman" w:hAnsi="Times New Roman" w:cs="Times New Roman"/>
          <w:lang w:val="en-GB"/>
        </w:rPr>
        <w:t xml:space="preserve">d by 25%. </w:t>
      </w:r>
      <w:r w:rsidR="00AE0127">
        <w:rPr>
          <w:rFonts w:ascii="Times New Roman" w:hAnsi="Times New Roman" w:cs="Times New Roman"/>
          <w:lang w:val="en-GB"/>
        </w:rPr>
        <w:t>A predictive power regression model (R</w:t>
      </w:r>
      <w:r w:rsidR="00AE0127" w:rsidRPr="00AE0127">
        <w:rPr>
          <w:rFonts w:ascii="Times New Roman" w:hAnsi="Times New Roman" w:cs="Times New Roman"/>
          <w:vertAlign w:val="superscript"/>
          <w:lang w:val="en-GB"/>
        </w:rPr>
        <w:t>2</w:t>
      </w:r>
      <w:r w:rsidR="00AE0127">
        <w:rPr>
          <w:rFonts w:ascii="Times New Roman" w:hAnsi="Times New Roman" w:cs="Times New Roman"/>
          <w:lang w:val="en-GB"/>
        </w:rPr>
        <w:t xml:space="preserve"> = 0.89) was developed: P = 6.2 + 0.31C + 0.08M, where C = cue density (cues/min) and M = number of moving heads. Sensitivity analys</w:t>
      </w:r>
      <w:r w:rsidR="004D32E2">
        <w:rPr>
          <w:rFonts w:ascii="Times New Roman" w:hAnsi="Times New Roman" w:cs="Times New Roman"/>
          <w:lang w:val="en-GB"/>
        </w:rPr>
        <w:t>is revealed that a 10% increase in grid emission factor or 15% fixture lumen depreciation would alter CO</w:t>
      </w:r>
      <w:r w:rsidR="004D32E2" w:rsidRPr="004D32E2">
        <w:rPr>
          <w:rFonts w:ascii="Times New Roman" w:hAnsi="Times New Roman" w:cs="Times New Roman"/>
          <w:vertAlign w:val="subscript"/>
          <w:lang w:val="en-GB"/>
        </w:rPr>
        <w:t>2</w:t>
      </w:r>
      <w:r w:rsidR="004D32E2">
        <w:rPr>
          <w:rFonts w:ascii="Times New Roman" w:hAnsi="Times New Roman" w:cs="Times New Roman"/>
          <w:lang w:val="en-GB"/>
        </w:rPr>
        <w:t xml:space="preserve"> savings by 8% and </w:t>
      </w:r>
      <w:r w:rsidR="004D32E2">
        <w:rPr>
          <w:rFonts w:ascii="Times New Roman" w:hAnsi="Times New Roman" w:cs="Times New Roman"/>
          <w:lang w:val="en-GB"/>
        </w:rPr>
        <w:t>±</w:t>
      </w:r>
      <w:proofErr w:type="gramStart"/>
      <w:r w:rsidR="004D32E2">
        <w:rPr>
          <w:rFonts w:ascii="Times New Roman" w:hAnsi="Times New Roman" w:cs="Times New Roman"/>
          <w:lang w:val="en-GB"/>
        </w:rPr>
        <w:t>6%</w:t>
      </w:r>
      <w:proofErr w:type="gramEnd"/>
      <w:r w:rsidR="004D32E2">
        <w:rPr>
          <w:rFonts w:ascii="Times New Roman" w:hAnsi="Times New Roman" w:cs="Times New Roman"/>
          <w:lang w:val="en-GB"/>
        </w:rPr>
        <w:t xml:space="preserve"> respectively</w:t>
      </w:r>
      <w:r w:rsidR="00B86678" w:rsidRPr="00B86678">
        <w:rPr>
          <w:rFonts w:ascii="Times New Roman" w:hAnsi="Times New Roman" w:cs="Times New Roman"/>
          <w:lang w:val="en-GB"/>
        </w:rPr>
        <w:t>. The study concludes that integrated LED and DMX-controlled systems achieve enhanced visual storytelli</w:t>
      </w:r>
      <w:r w:rsidR="00DF1DB2">
        <w:rPr>
          <w:rFonts w:ascii="Times New Roman" w:hAnsi="Times New Roman" w:cs="Times New Roman"/>
          <w:lang w:val="en-GB"/>
        </w:rPr>
        <w:t>ng, substantial reductions in en</w:t>
      </w:r>
      <w:r w:rsidR="007C2875">
        <w:rPr>
          <w:rFonts w:ascii="Times New Roman" w:hAnsi="Times New Roman" w:cs="Times New Roman"/>
          <w:lang w:val="en-GB"/>
        </w:rPr>
        <w:t>ergy and CO</w:t>
      </w:r>
      <w:r w:rsidR="007C2875" w:rsidRPr="007C2875">
        <w:rPr>
          <w:rFonts w:ascii="Times New Roman" w:hAnsi="Times New Roman" w:cs="Times New Roman"/>
          <w:vertAlign w:val="subscript"/>
          <w:lang w:val="en-GB"/>
        </w:rPr>
        <w:t>2</w:t>
      </w:r>
      <w:r w:rsidR="007C2875">
        <w:rPr>
          <w:rFonts w:ascii="Times New Roman" w:hAnsi="Times New Roman" w:cs="Times New Roman"/>
          <w:lang w:val="en-GB"/>
        </w:rPr>
        <w:t xml:space="preserve"> emissions</w:t>
      </w:r>
      <w:r w:rsidR="00B86678" w:rsidRPr="00B86678">
        <w:rPr>
          <w:rFonts w:ascii="Times New Roman" w:hAnsi="Times New Roman" w:cs="Times New Roman"/>
          <w:lang w:val="en-GB"/>
        </w:rPr>
        <w:t xml:space="preserve">, and operational flexibility within Nigerian theatre contexts. A standardized engineering framework for sustainable entertainment lighting </w:t>
      </w:r>
      <w:r w:rsidR="00B86678">
        <w:rPr>
          <w:rFonts w:ascii="Times New Roman" w:hAnsi="Times New Roman" w:cs="Times New Roman"/>
          <w:lang w:val="en-GB"/>
        </w:rPr>
        <w:t xml:space="preserve">is </w:t>
      </w:r>
      <w:r w:rsidR="00B86678" w:rsidRPr="00B86678">
        <w:rPr>
          <w:rFonts w:ascii="Times New Roman" w:hAnsi="Times New Roman" w:cs="Times New Roman"/>
          <w:lang w:val="en-GB"/>
        </w:rPr>
        <w:t>established, supporting future cross-contextual evaluation and professional alignment with global technical standards.</w:t>
      </w:r>
    </w:p>
    <w:p w14:paraId="61964B35" w14:textId="77777777" w:rsidR="0067536C" w:rsidRPr="002D7771" w:rsidRDefault="00975384" w:rsidP="00975384">
      <w:pPr>
        <w:tabs>
          <w:tab w:val="left" w:pos="7395"/>
        </w:tabs>
        <w:spacing w:after="0" w:line="240" w:lineRule="auto"/>
        <w:jc w:val="both"/>
        <w:rPr>
          <w:rFonts w:ascii="Times New Roman" w:hAnsi="Times New Roman" w:cs="Times New Roman"/>
          <w:b/>
          <w:i/>
          <w:szCs w:val="20"/>
          <w:lang w:val="en-GB"/>
        </w:rPr>
      </w:pPr>
      <w:r w:rsidRPr="002D7771">
        <w:rPr>
          <w:rFonts w:ascii="Times New Roman" w:hAnsi="Times New Roman" w:cs="Times New Roman"/>
          <w:b/>
          <w:i/>
          <w:szCs w:val="20"/>
          <w:lang w:val="en-GB"/>
        </w:rPr>
        <w:tab/>
      </w:r>
    </w:p>
    <w:p w14:paraId="5DD014A8" w14:textId="60285FB8" w:rsidR="002C5932" w:rsidRPr="002D7771" w:rsidRDefault="00C809C6" w:rsidP="002C5932">
      <w:pPr>
        <w:tabs>
          <w:tab w:val="left" w:pos="720"/>
          <w:tab w:val="left" w:pos="1440"/>
          <w:tab w:val="left" w:pos="2160"/>
          <w:tab w:val="left" w:pos="2880"/>
          <w:tab w:val="center" w:pos="4680"/>
        </w:tabs>
        <w:spacing w:after="0" w:line="240" w:lineRule="auto"/>
        <w:jc w:val="both"/>
        <w:rPr>
          <w:rFonts w:ascii="Times New Roman" w:hAnsi="Times New Roman" w:cs="Times New Roman"/>
          <w:sz w:val="20"/>
          <w:szCs w:val="20"/>
          <w:lang w:val="en-GB"/>
        </w:rPr>
      </w:pPr>
      <w:r w:rsidRPr="002D7771">
        <w:rPr>
          <w:rFonts w:ascii="Times New Roman" w:hAnsi="Times New Roman" w:cs="Times New Roman"/>
          <w:b/>
          <w:i/>
          <w:sz w:val="20"/>
          <w:szCs w:val="20"/>
          <w:lang w:val="en-GB"/>
        </w:rPr>
        <w:t>KEYWORDS:</w:t>
      </w:r>
      <w:r w:rsidR="00B86678">
        <w:rPr>
          <w:rFonts w:ascii="Times New Roman" w:hAnsi="Times New Roman" w:cs="Times New Roman"/>
          <w:sz w:val="20"/>
          <w:szCs w:val="20"/>
          <w:lang w:val="en-GB"/>
        </w:rPr>
        <w:t xml:space="preserve"> Stage lighting engineering, LED technology, DMX control, projection mapping, theatrical lighting systems, sustainable entertainment technology, quantitative lighting analysis</w:t>
      </w:r>
      <w:proofErr w:type="gramStart"/>
      <w:r w:rsidR="00B86678">
        <w:rPr>
          <w:rFonts w:ascii="Times New Roman" w:hAnsi="Times New Roman" w:cs="Times New Roman"/>
          <w:sz w:val="20"/>
          <w:szCs w:val="20"/>
          <w:lang w:val="en-GB"/>
        </w:rPr>
        <w:t>.</w:t>
      </w:r>
      <w:r w:rsidR="002C5932" w:rsidRPr="002D7771">
        <w:rPr>
          <w:rFonts w:ascii="Times New Roman" w:hAnsi="Times New Roman" w:cs="Times New Roman"/>
          <w:sz w:val="20"/>
          <w:szCs w:val="20"/>
          <w:lang w:val="en-GB"/>
        </w:rPr>
        <w:t>.</w:t>
      </w:r>
      <w:proofErr w:type="gramEnd"/>
    </w:p>
    <w:p w14:paraId="12B55A29" w14:textId="77777777" w:rsidR="002C5932" w:rsidRPr="002D7771" w:rsidRDefault="002C5932">
      <w:pPr>
        <w:spacing w:line="240" w:lineRule="auto"/>
        <w:jc w:val="both"/>
        <w:rPr>
          <w:rFonts w:ascii="Times New Roman" w:hAnsi="Times New Roman" w:cs="Times New Roman"/>
          <w:sz w:val="18"/>
          <w:lang w:val="en-GB"/>
        </w:rPr>
      </w:pPr>
    </w:p>
    <w:p w14:paraId="5250844D" w14:textId="4BD96FD4" w:rsidR="0067536C" w:rsidRPr="002D7771" w:rsidRDefault="00C809C6">
      <w:pPr>
        <w:spacing w:line="240" w:lineRule="auto"/>
        <w:jc w:val="both"/>
        <w:rPr>
          <w:rFonts w:ascii="Times New Roman" w:hAnsi="Times New Roman" w:cs="Times New Roman"/>
          <w:sz w:val="20"/>
          <w:lang w:val="en-GB"/>
        </w:rPr>
        <w:sectPr w:rsidR="0067536C" w:rsidRPr="002D7771" w:rsidSect="00C139F5">
          <w:headerReference w:type="even" r:id="rId13"/>
          <w:headerReference w:type="default" r:id="rId14"/>
          <w:headerReference w:type="first" r:id="rId15"/>
          <w:footerReference w:type="first" r:id="rId16"/>
          <w:pgSz w:w="12240" w:h="15840"/>
          <w:pgMar w:top="1151" w:right="777" w:bottom="964" w:left="1151" w:header="720" w:footer="720" w:gutter="0"/>
          <w:pgNumType w:start="49"/>
          <w:cols w:space="720"/>
          <w:titlePg/>
          <w:docGrid w:linePitch="360"/>
        </w:sectPr>
      </w:pPr>
      <w:r w:rsidRPr="002D7771">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5A63860" wp14:editId="44CD9B4F">
                <wp:simplePos x="0" y="0"/>
                <wp:positionH relativeFrom="column">
                  <wp:posOffset>-9525</wp:posOffset>
                </wp:positionH>
                <wp:positionV relativeFrom="paragraph">
                  <wp:posOffset>215265</wp:posOffset>
                </wp:positionV>
                <wp:extent cx="6573520" cy="0"/>
                <wp:effectExtent l="0" t="0" r="3683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3520" cy="0"/>
                        </a:xfrm>
                        <a:prstGeom prst="straightConnector1">
                          <a:avLst/>
                        </a:prstGeom>
                        <a:noFill/>
                        <a:ln w="19050">
                          <a:solidFill>
                            <a:srgbClr val="000000"/>
                          </a:solidFill>
                          <a:roun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5B6A2A0" id="Straight Arrow Connector 13" o:spid="_x0000_s1026" type="#_x0000_t32" style="position:absolute;margin-left:-.75pt;margin-top:16.95pt;width:517.6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" strokeweight="1.5pt"/>
            </w:pict>
          </mc:Fallback>
        </mc:AlternateContent>
      </w:r>
      <w:r w:rsidR="00B86678">
        <w:rPr>
          <w:rFonts w:ascii="Times New Roman" w:hAnsi="Times New Roman" w:cs="Times New Roman"/>
          <w:sz w:val="18"/>
          <w:lang w:val="en-GB"/>
        </w:rPr>
        <w:t>[Received</w:t>
      </w:r>
      <w:r w:rsidRPr="002D7771">
        <w:rPr>
          <w:rFonts w:ascii="Times New Roman" w:hAnsi="Times New Roman" w:cs="Times New Roman"/>
          <w:sz w:val="18"/>
          <w:lang w:val="en-GB"/>
        </w:rPr>
        <w:t xml:space="preserve">]                          Print ISSN: 0189-9546 </w:t>
      </w:r>
      <w:r w:rsidRPr="002D7771">
        <w:rPr>
          <w:rFonts w:ascii="Times New Roman" w:hAnsi="Times New Roman" w:cs="Times New Roman"/>
          <w:b/>
          <w:sz w:val="18"/>
          <w:lang w:val="en-GB"/>
        </w:rPr>
        <w:t>|</w:t>
      </w:r>
      <w:r w:rsidRPr="002D7771">
        <w:rPr>
          <w:rFonts w:ascii="Times New Roman" w:hAnsi="Times New Roman" w:cs="Times New Roman"/>
          <w:sz w:val="18"/>
          <w:lang w:val="en-GB"/>
        </w:rPr>
        <w:t xml:space="preserve"> Online ISSN: 2437</w:t>
      </w:r>
      <w:r w:rsidRPr="002D7771">
        <w:rPr>
          <w:rFonts w:ascii="Times New Roman" w:hAnsi="Times New Roman" w:cs="Times New Roman"/>
          <w:sz w:val="18"/>
          <w:szCs w:val="18"/>
          <w:lang w:val="en-GB"/>
        </w:rPr>
        <w:t>-2110</w:t>
      </w:r>
    </w:p>
    <w:p w14:paraId="34B2572F" w14:textId="2D8A3CFB" w:rsidR="00E9629E" w:rsidRPr="002D7771" w:rsidRDefault="001A21DF" w:rsidP="001A21DF">
      <w:pPr>
        <w:pStyle w:val="Heading1"/>
        <w:spacing w:after="160" w:line="240" w:lineRule="auto"/>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I.  </w:t>
      </w:r>
      <w:r w:rsidR="00E9629E" w:rsidRPr="002D7771">
        <w:rPr>
          <w:rFonts w:ascii="Times New Roman" w:hAnsi="Times New Roman" w:cs="Times New Roman"/>
          <w:color w:val="auto"/>
          <w:sz w:val="20"/>
          <w:szCs w:val="20"/>
          <w:lang w:val="en-GB"/>
        </w:rPr>
        <w:t>INTRODUCTION</w:t>
      </w:r>
    </w:p>
    <w:p w14:paraId="6D2971C2" w14:textId="69A03BE4" w:rsidR="00B86678" w:rsidRPr="00B86678" w:rsidRDefault="00B86678" w:rsidP="00B86678">
      <w:pPr>
        <w:jc w:val="both"/>
        <w:rPr>
          <w:rFonts w:ascii="Times New Roman" w:hAnsi="Times New Roman" w:cs="Times New Roman"/>
          <w:sz w:val="20"/>
          <w:szCs w:val="20"/>
          <w:lang w:val="en-GB"/>
        </w:rPr>
      </w:pPr>
      <w:r w:rsidRPr="00B86678">
        <w:rPr>
          <w:rFonts w:ascii="Times New Roman" w:hAnsi="Times New Roman" w:cs="Times New Roman"/>
          <w:sz w:val="20"/>
          <w:szCs w:val="20"/>
          <w:lang w:val="en-GB"/>
        </w:rPr>
        <w:t>Stage lighting has evolved from a remarkable necessity providing visibility for performers to a complex engineering discipline that integrates optics, electronics, control systems, and human science. Stage lighting is a visual element used in the theatre as technical aid to support the communication between the performers and the audience. Thus, it is a very important component of theatrical language. Contemporary theatrical lighting systems employ digital protocols, automated luminaires, and solid-state light sources to create dynamic visual environments that support</w:t>
      </w:r>
      <w:r w:rsidR="007C2875">
        <w:rPr>
          <w:rFonts w:ascii="Times New Roman" w:hAnsi="Times New Roman" w:cs="Times New Roman"/>
          <w:sz w:val="20"/>
          <w:szCs w:val="20"/>
          <w:lang w:val="en-GB"/>
        </w:rPr>
        <w:t xml:space="preserve"> narrative storytelling (McCandless, 1958; Norbert, 2000)</w:t>
      </w:r>
      <w:r w:rsidRPr="00B86678">
        <w:rPr>
          <w:rFonts w:ascii="Times New Roman" w:hAnsi="Times New Roman" w:cs="Times New Roman"/>
          <w:sz w:val="20"/>
          <w:szCs w:val="20"/>
          <w:lang w:val="en-GB"/>
        </w:rPr>
        <w:t>.</w:t>
      </w:r>
    </w:p>
    <w:p w14:paraId="0AF263DA" w14:textId="32D1AC1A" w:rsidR="00B86678" w:rsidRDefault="00B86678" w:rsidP="00B86678">
      <w:pPr>
        <w:jc w:val="both"/>
        <w:rPr>
          <w:rFonts w:ascii="Times New Roman" w:hAnsi="Times New Roman" w:cs="Times New Roman"/>
          <w:sz w:val="20"/>
          <w:szCs w:val="20"/>
          <w:lang w:val="en-GB"/>
        </w:rPr>
      </w:pPr>
      <w:r w:rsidRPr="00B86678">
        <w:rPr>
          <w:rFonts w:ascii="Times New Roman" w:hAnsi="Times New Roman" w:cs="Times New Roman"/>
          <w:sz w:val="20"/>
          <w:szCs w:val="20"/>
          <w:lang w:val="en-GB"/>
        </w:rPr>
        <w:t xml:space="preserve">The transformative way entertainment lighting has evolved over the past decades is quite remarkable. It all started to shift in the 1980s when digital control systems first came onto the scene, but things really began to pick up in the 1990s with the widespread adoption of automated luminaires. By </w:t>
      </w:r>
      <w:r w:rsidR="00133DDF">
        <w:rPr>
          <w:rFonts w:ascii="Times New Roman" w:hAnsi="Times New Roman" w:cs="Times New Roman"/>
          <w:sz w:val="20"/>
          <w:szCs w:val="20"/>
          <w:lang w:val="en-GB"/>
        </w:rPr>
        <w:t xml:space="preserve">the 2000s, solid-state lighting </w:t>
      </w:r>
      <w:r w:rsidR="007C2875">
        <w:rPr>
          <w:rFonts w:ascii="Times New Roman" w:hAnsi="Times New Roman" w:cs="Times New Roman"/>
          <w:sz w:val="20"/>
          <w:szCs w:val="20"/>
          <w:lang w:val="en-GB"/>
        </w:rPr>
        <w:t>Light Emitting Diode (</w:t>
      </w:r>
      <w:r w:rsidR="00133DDF">
        <w:rPr>
          <w:rFonts w:ascii="Times New Roman" w:hAnsi="Times New Roman" w:cs="Times New Roman"/>
          <w:sz w:val="20"/>
          <w:szCs w:val="20"/>
          <w:lang w:val="en-GB"/>
        </w:rPr>
        <w:t>LED</w:t>
      </w:r>
      <w:r w:rsidR="007C2875">
        <w:rPr>
          <w:rFonts w:ascii="Times New Roman" w:hAnsi="Times New Roman" w:cs="Times New Roman"/>
          <w:sz w:val="20"/>
          <w:szCs w:val="20"/>
          <w:lang w:val="en-GB"/>
        </w:rPr>
        <w:t>)</w:t>
      </w:r>
      <w:r w:rsidR="00133DDF">
        <w:rPr>
          <w:rFonts w:ascii="Times New Roman" w:hAnsi="Times New Roman" w:cs="Times New Roman"/>
          <w:sz w:val="20"/>
          <w:szCs w:val="20"/>
          <w:lang w:val="en-GB"/>
        </w:rPr>
        <w:t xml:space="preserve">, in particular </w:t>
      </w:r>
      <w:r w:rsidRPr="00B86678">
        <w:rPr>
          <w:rFonts w:ascii="Times New Roman" w:hAnsi="Times New Roman" w:cs="Times New Roman"/>
          <w:sz w:val="20"/>
          <w:szCs w:val="20"/>
          <w:lang w:val="en-GB"/>
        </w:rPr>
        <w:t xml:space="preserve">had completely revolutionized the field. Traditional lighting equipment, including Fresnel spotlights, ellipsoidal reflector spotlights (ERS), and </w:t>
      </w:r>
      <w:r w:rsidR="007C2875">
        <w:rPr>
          <w:rFonts w:ascii="Times New Roman" w:hAnsi="Times New Roman" w:cs="Times New Roman"/>
          <w:sz w:val="20"/>
          <w:szCs w:val="20"/>
          <w:lang w:val="en-GB"/>
        </w:rPr>
        <w:t>Parabolic Aluminized Reflector (</w:t>
      </w:r>
      <w:r w:rsidRPr="00B86678">
        <w:rPr>
          <w:rFonts w:ascii="Times New Roman" w:hAnsi="Times New Roman" w:cs="Times New Roman"/>
          <w:sz w:val="20"/>
          <w:szCs w:val="20"/>
          <w:lang w:val="en-GB"/>
        </w:rPr>
        <w:t>PAR</w:t>
      </w:r>
      <w:r w:rsidR="007C2875">
        <w:rPr>
          <w:rFonts w:ascii="Times New Roman" w:hAnsi="Times New Roman" w:cs="Times New Roman"/>
          <w:sz w:val="20"/>
          <w:szCs w:val="20"/>
          <w:lang w:val="en-GB"/>
        </w:rPr>
        <w:t>)</w:t>
      </w:r>
      <w:r w:rsidRPr="00B86678">
        <w:rPr>
          <w:rFonts w:ascii="Times New Roman" w:hAnsi="Times New Roman" w:cs="Times New Roman"/>
          <w:sz w:val="20"/>
          <w:szCs w:val="20"/>
          <w:lang w:val="en-GB"/>
        </w:rPr>
        <w:t xml:space="preserve"> cans, has been supplemented by automated fixtures, LED arrays, and computer-controlled dimming sys</w:t>
      </w:r>
      <w:r w:rsidR="007C2875">
        <w:rPr>
          <w:rFonts w:ascii="Times New Roman" w:hAnsi="Times New Roman" w:cs="Times New Roman"/>
          <w:sz w:val="20"/>
          <w:szCs w:val="20"/>
          <w:lang w:val="en-GB"/>
        </w:rPr>
        <w:t>tems (Ododo, 1996)</w:t>
      </w:r>
      <w:r w:rsidRPr="00B86678">
        <w:rPr>
          <w:rFonts w:ascii="Times New Roman" w:hAnsi="Times New Roman" w:cs="Times New Roman"/>
          <w:sz w:val="20"/>
          <w:szCs w:val="20"/>
          <w:lang w:val="en-GB"/>
        </w:rPr>
        <w:t xml:space="preserve">. These changes have not just been about new gadgets; </w:t>
      </w:r>
      <w:r w:rsidRPr="00B86678">
        <w:rPr>
          <w:rFonts w:ascii="Times New Roman" w:hAnsi="Times New Roman" w:cs="Times New Roman"/>
          <w:sz w:val="20"/>
          <w:szCs w:val="20"/>
          <w:lang w:val="en-GB"/>
        </w:rPr>
        <w:lastRenderedPageBreak/>
        <w:t>they have fundamentally changed how engineers think about designing lighting systems.</w:t>
      </w:r>
    </w:p>
    <w:p w14:paraId="09B6E4AD" w14:textId="778765C7" w:rsidR="00133DDF" w:rsidRDefault="00133DDF" w:rsidP="00133DDF">
      <w:pPr>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In the Nigerian context, commercial theatre has experienced significant growth over the past two decades, with production companies such as Terra Kulture, Zmirage Multimedia, and Yemilights Nigeria Limited increasingly adopting advanced ligh</w:t>
      </w:r>
      <w:r w:rsidR="007C2875">
        <w:rPr>
          <w:rFonts w:ascii="Times New Roman" w:hAnsi="Times New Roman" w:cs="Times New Roman"/>
          <w:sz w:val="20"/>
          <w:szCs w:val="20"/>
          <w:lang w:val="en-GB"/>
        </w:rPr>
        <w:t>ting technologies (Ayodele, 2011; Oni, 2004)</w:t>
      </w:r>
      <w:r>
        <w:rPr>
          <w:rFonts w:ascii="Times New Roman" w:hAnsi="Times New Roman" w:cs="Times New Roman"/>
          <w:sz w:val="20"/>
          <w:szCs w:val="20"/>
          <w:lang w:val="en-GB"/>
        </w:rPr>
        <w:t xml:space="preserve">. </w:t>
      </w:r>
      <w:r w:rsidRPr="00133DDF">
        <w:rPr>
          <w:rFonts w:ascii="Times New Roman" w:hAnsi="Times New Roman" w:cs="Times New Roman"/>
          <w:sz w:val="20"/>
          <w:szCs w:val="20"/>
          <w:lang w:val="en-GB"/>
        </w:rPr>
        <w:t>However, despite this technological adoption, there exists a significant gap in the technical documentation and engineering analysis of such systems in African contexts. While extensive literature exists on theatrical lighting technology in European</w:t>
      </w:r>
      <w:r w:rsidR="007C2875">
        <w:rPr>
          <w:rFonts w:ascii="Times New Roman" w:hAnsi="Times New Roman" w:cs="Times New Roman"/>
          <w:sz w:val="20"/>
          <w:szCs w:val="20"/>
          <w:lang w:val="en-GB"/>
        </w:rPr>
        <w:t xml:space="preserve"> and North American contexts (Pilbrow, 1997)</w:t>
      </w:r>
      <w:r w:rsidRPr="00133DDF">
        <w:rPr>
          <w:rFonts w:ascii="Times New Roman" w:hAnsi="Times New Roman" w:cs="Times New Roman"/>
          <w:sz w:val="20"/>
          <w:szCs w:val="20"/>
          <w:lang w:val="en-GB"/>
        </w:rPr>
        <w:t>, little quantitative analysis has been conducted on systems deployed i</w:t>
      </w:r>
      <w:r w:rsidR="007C2875">
        <w:rPr>
          <w:rFonts w:ascii="Times New Roman" w:hAnsi="Times New Roman" w:cs="Times New Roman"/>
          <w:sz w:val="20"/>
          <w:szCs w:val="20"/>
          <w:lang w:val="en-GB"/>
        </w:rPr>
        <w:t>n African theatre (Adebisi, 2023)</w:t>
      </w:r>
      <w:r w:rsidRPr="00133DDF">
        <w:rPr>
          <w:rFonts w:ascii="Times New Roman" w:hAnsi="Times New Roman" w:cs="Times New Roman"/>
          <w:sz w:val="20"/>
          <w:szCs w:val="20"/>
          <w:lang w:val="en-GB"/>
        </w:rPr>
        <w:t>, limiting knowledge transfer and preventing the development of cont</w:t>
      </w:r>
      <w:r>
        <w:rPr>
          <w:rFonts w:ascii="Times New Roman" w:hAnsi="Times New Roman" w:cs="Times New Roman"/>
          <w:sz w:val="20"/>
          <w:szCs w:val="20"/>
          <w:lang w:val="en-GB"/>
        </w:rPr>
        <w:t>ext-appropriate best practices.</w:t>
      </w:r>
    </w:p>
    <w:p w14:paraId="20586F31" w14:textId="58D70D26" w:rsidR="0062768D" w:rsidRPr="00133DDF" w:rsidRDefault="0062768D" w:rsidP="00133DDF">
      <w:pPr>
        <w:jc w:val="both"/>
        <w:rPr>
          <w:rFonts w:ascii="Times New Roman" w:hAnsi="Times New Roman" w:cs="Times New Roman"/>
          <w:sz w:val="20"/>
          <w:szCs w:val="20"/>
          <w:lang w:val="en-GB"/>
        </w:rPr>
      </w:pPr>
      <w:r w:rsidRPr="0062768D">
        <w:rPr>
          <w:rFonts w:ascii="Times New Roman" w:hAnsi="Times New Roman" w:cs="Times New Roman"/>
          <w:sz w:val="20"/>
          <w:szCs w:val="20"/>
          <w:lang w:val="en-GB"/>
        </w:rPr>
        <w:t>This study extends existing lighting system models in three specific ways. First, it validates LED thermal load estimation models (typically developed in temperate climates) for tropical environments (mean ambient 28°C, RH 75%), demonstrating that measured thermal reduction (8°C) aligns with predictions within ±12% uncertainty. Second, it establishes DMX latency benchmarks (47 ± 4.2 ms) for non-Western production contexts, challenging the assumption that resource-constrained environments necessarily exhibit degraded system performance. Third, it provides the first empirical power regression model for theatrical lighting in developing economies, enabling predictive scaling to comparable venues across sub-Saharan Africa.</w:t>
      </w:r>
      <w:r>
        <w:rPr>
          <w:rFonts w:ascii="Times New Roman" w:hAnsi="Times New Roman" w:cs="Times New Roman"/>
          <w:sz w:val="20"/>
          <w:szCs w:val="20"/>
          <w:lang w:val="en-GB"/>
        </w:rPr>
        <w:t xml:space="preserve"> </w:t>
      </w:r>
    </w:p>
    <w:p w14:paraId="27724BBD" w14:textId="4453561C" w:rsidR="00133DDF" w:rsidRPr="00B86678" w:rsidRDefault="00133DDF" w:rsidP="00133DDF">
      <w:pPr>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This study addresses this gap by conducting</w:t>
      </w:r>
      <w:r w:rsidR="007C2875">
        <w:rPr>
          <w:rFonts w:ascii="Times New Roman" w:hAnsi="Times New Roman" w:cs="Times New Roman"/>
          <w:sz w:val="20"/>
          <w:szCs w:val="20"/>
          <w:lang w:val="en-GB"/>
        </w:rPr>
        <w:t xml:space="preserve"> an experimental analysis</w:t>
      </w:r>
      <w:r w:rsidRPr="00133DDF">
        <w:rPr>
          <w:rFonts w:ascii="Times New Roman" w:hAnsi="Times New Roman" w:cs="Times New Roman"/>
          <w:sz w:val="20"/>
          <w:szCs w:val="20"/>
          <w:lang w:val="en-GB"/>
        </w:rPr>
        <w:t xml:space="preserve"> of two major Nigerian theatrical productions: Saro </w:t>
      </w:r>
      <w:proofErr w:type="gramStart"/>
      <w:r w:rsidRPr="00133DDF">
        <w:rPr>
          <w:rFonts w:ascii="Times New Roman" w:hAnsi="Times New Roman" w:cs="Times New Roman"/>
          <w:sz w:val="20"/>
          <w:szCs w:val="20"/>
          <w:lang w:val="en-GB"/>
        </w:rPr>
        <w:t>The</w:t>
      </w:r>
      <w:proofErr w:type="gramEnd"/>
      <w:r w:rsidRPr="00133DDF">
        <w:rPr>
          <w:rFonts w:ascii="Times New Roman" w:hAnsi="Times New Roman" w:cs="Times New Roman"/>
          <w:sz w:val="20"/>
          <w:szCs w:val="20"/>
          <w:lang w:val="en-GB"/>
        </w:rPr>
        <w:t xml:space="preserve"> Musi</w:t>
      </w:r>
      <w:r w:rsidR="007C2875">
        <w:rPr>
          <w:rFonts w:ascii="Times New Roman" w:hAnsi="Times New Roman" w:cs="Times New Roman"/>
          <w:sz w:val="20"/>
          <w:szCs w:val="20"/>
          <w:lang w:val="en-GB"/>
        </w:rPr>
        <w:t>cal (2023</w:t>
      </w:r>
      <w:r w:rsidRPr="00133DDF">
        <w:rPr>
          <w:rFonts w:ascii="Times New Roman" w:hAnsi="Times New Roman" w:cs="Times New Roman"/>
          <w:sz w:val="20"/>
          <w:szCs w:val="20"/>
          <w:lang w:val="en-GB"/>
        </w:rPr>
        <w:t xml:space="preserve">) and Death </w:t>
      </w:r>
      <w:r w:rsidR="007C2875">
        <w:rPr>
          <w:rFonts w:ascii="Times New Roman" w:hAnsi="Times New Roman" w:cs="Times New Roman"/>
          <w:sz w:val="20"/>
          <w:szCs w:val="20"/>
          <w:lang w:val="en-GB"/>
        </w:rPr>
        <w:t xml:space="preserve">and the King's Horseman (2021). Both productions were </w:t>
      </w:r>
      <w:r w:rsidRPr="00133DDF">
        <w:rPr>
          <w:rFonts w:ascii="Times New Roman" w:hAnsi="Times New Roman" w:cs="Times New Roman"/>
          <w:sz w:val="20"/>
          <w:szCs w:val="20"/>
          <w:lang w:val="en-GB"/>
        </w:rPr>
        <w:t>staged at the same venue in Lagos, providing a controlled environment for comparison. The specific objectives are to document technical specifications, quantify performance metrics, analyze integration strategies for advanced technologies, evaluate energy efficiency outcomes, document technical challenges and solutions, and discuss applicability to broader engineering contexts.</w:t>
      </w:r>
    </w:p>
    <w:p w14:paraId="5D9C5B70" w14:textId="010B5AF0" w:rsidR="00E9629E" w:rsidRPr="002D7771" w:rsidRDefault="001A21DF" w:rsidP="001A21DF">
      <w:pPr>
        <w:pStyle w:val="Heading1"/>
        <w:spacing w:line="240" w:lineRule="auto"/>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II. </w:t>
      </w:r>
      <w:r w:rsidR="00E952F0">
        <w:rPr>
          <w:rFonts w:ascii="Times New Roman" w:hAnsi="Times New Roman" w:cs="Times New Roman"/>
          <w:color w:val="auto"/>
          <w:sz w:val="20"/>
          <w:szCs w:val="20"/>
          <w:lang w:val="en-GB"/>
        </w:rPr>
        <w:t>THEORETICAL</w:t>
      </w:r>
      <w:r w:rsidR="00E9629E" w:rsidRPr="002D7771">
        <w:rPr>
          <w:rFonts w:ascii="Times New Roman" w:hAnsi="Times New Roman" w:cs="Times New Roman"/>
          <w:color w:val="auto"/>
          <w:sz w:val="20"/>
          <w:szCs w:val="20"/>
          <w:lang w:val="en-GB"/>
        </w:rPr>
        <w:t xml:space="preserve"> FRAMEWORK</w:t>
      </w:r>
    </w:p>
    <w:p w14:paraId="3E302336" w14:textId="77777777" w:rsidR="0023188D" w:rsidRPr="002D7771" w:rsidRDefault="0023188D" w:rsidP="0023188D">
      <w:pPr>
        <w:spacing w:after="0"/>
        <w:rPr>
          <w:sz w:val="6"/>
          <w:szCs w:val="6"/>
          <w:lang w:val="en-GB"/>
        </w:rPr>
      </w:pPr>
    </w:p>
    <w:p w14:paraId="558EEF8C" w14:textId="37FEECC6" w:rsidR="00133DDF" w:rsidRPr="00133DDF" w:rsidRDefault="00133DDF" w:rsidP="00133DDF">
      <w:pPr>
        <w:autoSpaceDE w:val="0"/>
        <w:autoSpaceDN w:val="0"/>
        <w:adjustRightInd w:val="0"/>
        <w:spacing w:after="0" w:line="240" w:lineRule="auto"/>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 xml:space="preserve">This study </w:t>
      </w:r>
      <w:proofErr w:type="gramStart"/>
      <w:r w:rsidRPr="00133DDF">
        <w:rPr>
          <w:rFonts w:ascii="Times New Roman" w:hAnsi="Times New Roman" w:cs="Times New Roman"/>
          <w:sz w:val="20"/>
          <w:szCs w:val="20"/>
          <w:lang w:val="en-GB"/>
        </w:rPr>
        <w:t>is anchored</w:t>
      </w:r>
      <w:proofErr w:type="gramEnd"/>
      <w:r w:rsidRPr="00133DDF">
        <w:rPr>
          <w:rFonts w:ascii="Times New Roman" w:hAnsi="Times New Roman" w:cs="Times New Roman"/>
          <w:sz w:val="20"/>
          <w:szCs w:val="20"/>
          <w:lang w:val="en-GB"/>
        </w:rPr>
        <w:t xml:space="preserve"> on two interrelated ligh</w:t>
      </w:r>
      <w:r>
        <w:rPr>
          <w:rFonts w:ascii="Times New Roman" w:hAnsi="Times New Roman" w:cs="Times New Roman"/>
          <w:sz w:val="20"/>
          <w:szCs w:val="20"/>
          <w:lang w:val="en-GB"/>
        </w:rPr>
        <w:t xml:space="preserve">ting and engineering frameworks </w:t>
      </w:r>
      <w:r w:rsidRPr="00133DDF">
        <w:rPr>
          <w:rFonts w:ascii="Times New Roman" w:hAnsi="Times New Roman" w:cs="Times New Roman"/>
          <w:sz w:val="20"/>
          <w:szCs w:val="20"/>
          <w:lang w:val="en-GB"/>
        </w:rPr>
        <w:t>the McCandless-Briggs lighting theory and the principles of sustai</w:t>
      </w:r>
      <w:r>
        <w:rPr>
          <w:rFonts w:ascii="Times New Roman" w:hAnsi="Times New Roman" w:cs="Times New Roman"/>
          <w:sz w:val="20"/>
          <w:szCs w:val="20"/>
          <w:lang w:val="en-GB"/>
        </w:rPr>
        <w:t xml:space="preserve">nable entertainment engineering </w:t>
      </w:r>
      <w:r w:rsidRPr="00133DDF">
        <w:rPr>
          <w:rFonts w:ascii="Times New Roman" w:hAnsi="Times New Roman" w:cs="Times New Roman"/>
          <w:sz w:val="20"/>
          <w:szCs w:val="20"/>
          <w:lang w:val="en-GB"/>
        </w:rPr>
        <w:t>as well as the growing body of literature emphasizing the role of quantitative analysis in lighting system evaluation. These frameworks provide a theoretical lens through which the relationship between technical implementation and artistic outcome can be analysed.</w:t>
      </w:r>
    </w:p>
    <w:p w14:paraId="6788A5AC" w14:textId="77777777" w:rsidR="00133DDF" w:rsidRPr="00133DDF" w:rsidRDefault="00133DDF" w:rsidP="00133DDF">
      <w:pPr>
        <w:autoSpaceDE w:val="0"/>
        <w:autoSpaceDN w:val="0"/>
        <w:adjustRightInd w:val="0"/>
        <w:spacing w:after="0" w:line="240" w:lineRule="auto"/>
        <w:jc w:val="both"/>
        <w:rPr>
          <w:rFonts w:ascii="Times New Roman" w:hAnsi="Times New Roman" w:cs="Times New Roman"/>
          <w:sz w:val="20"/>
          <w:szCs w:val="20"/>
          <w:lang w:val="en-GB"/>
        </w:rPr>
      </w:pPr>
    </w:p>
    <w:p w14:paraId="0048B332" w14:textId="34CF8C29" w:rsidR="00133DDF" w:rsidRDefault="00133DDF" w:rsidP="00133DDF">
      <w:pPr>
        <w:autoSpaceDE w:val="0"/>
        <w:autoSpaceDN w:val="0"/>
        <w:adjustRightInd w:val="0"/>
        <w:spacing w:after="0" w:line="240" w:lineRule="auto"/>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The McCandless</w:t>
      </w:r>
      <w:r>
        <w:rPr>
          <w:rFonts w:ascii="Times New Roman" w:hAnsi="Times New Roman" w:cs="Times New Roman"/>
          <w:sz w:val="20"/>
          <w:szCs w:val="20"/>
          <w:lang w:val="en-GB"/>
        </w:rPr>
        <w:t xml:space="preserve"> </w:t>
      </w:r>
      <w:r w:rsidRPr="00133DDF">
        <w:rPr>
          <w:rFonts w:ascii="Times New Roman" w:hAnsi="Times New Roman" w:cs="Times New Roman"/>
          <w:sz w:val="20"/>
          <w:szCs w:val="20"/>
          <w:lang w:val="en-GB"/>
        </w:rPr>
        <w:t xml:space="preserve">Briggs lighting framework serves as the qualitative design evaluation basis. Stanley McCandless's 1932 method established foundational principles of stage lighting: selective visibility (directing audience attention), modelling </w:t>
      </w:r>
      <w:r w:rsidRPr="00133DDF">
        <w:rPr>
          <w:rFonts w:ascii="Times New Roman" w:hAnsi="Times New Roman" w:cs="Times New Roman"/>
          <w:sz w:val="20"/>
          <w:szCs w:val="20"/>
          <w:lang w:val="en-GB"/>
        </w:rPr>
        <w:t>(revealing three-dimensional form), mood (establishing atmosphere), and composition (</w:t>
      </w:r>
      <w:r w:rsidR="0086338C">
        <w:rPr>
          <w:rFonts w:ascii="Times New Roman" w:hAnsi="Times New Roman" w:cs="Times New Roman"/>
          <w:sz w:val="20"/>
          <w:szCs w:val="20"/>
          <w:lang w:val="en-GB"/>
        </w:rPr>
        <w:t>integrating visual elements) (McCandless, 1966)</w:t>
      </w:r>
      <w:r w:rsidRPr="00133DDF">
        <w:rPr>
          <w:rFonts w:ascii="Times New Roman" w:hAnsi="Times New Roman" w:cs="Times New Roman"/>
          <w:sz w:val="20"/>
          <w:szCs w:val="20"/>
          <w:lang w:val="en-GB"/>
        </w:rPr>
        <w:t>. In 2015, Jody Briggs revised this framework to address contemporary technologies, specifically the integration of LED colo</w:t>
      </w:r>
      <w:r w:rsidR="0086338C">
        <w:rPr>
          <w:rFonts w:ascii="Times New Roman" w:hAnsi="Times New Roman" w:cs="Times New Roman"/>
          <w:sz w:val="20"/>
          <w:szCs w:val="20"/>
          <w:lang w:val="en-GB"/>
        </w:rPr>
        <w:t>u</w:t>
      </w:r>
      <w:r w:rsidRPr="00133DDF">
        <w:rPr>
          <w:rFonts w:ascii="Times New Roman" w:hAnsi="Times New Roman" w:cs="Times New Roman"/>
          <w:sz w:val="20"/>
          <w:szCs w:val="20"/>
          <w:lang w:val="en-GB"/>
        </w:rPr>
        <w:t xml:space="preserve">r mixing, automated fixture control, and </w:t>
      </w:r>
      <w:r w:rsidR="0086338C">
        <w:rPr>
          <w:rFonts w:ascii="Times New Roman" w:hAnsi="Times New Roman" w:cs="Times New Roman"/>
          <w:sz w:val="20"/>
          <w:szCs w:val="20"/>
          <w:lang w:val="en-GB"/>
        </w:rPr>
        <w:t>interactive lighting systems (Briggs, 2015)</w:t>
      </w:r>
      <w:r w:rsidRPr="00133DDF">
        <w:rPr>
          <w:rFonts w:ascii="Times New Roman" w:hAnsi="Times New Roman" w:cs="Times New Roman"/>
          <w:sz w:val="20"/>
          <w:szCs w:val="20"/>
          <w:lang w:val="en-GB"/>
        </w:rPr>
        <w:t>.</w:t>
      </w:r>
    </w:p>
    <w:p w14:paraId="128D5A9D" w14:textId="77777777" w:rsidR="0086338C" w:rsidRPr="00133DDF" w:rsidRDefault="0086338C" w:rsidP="00133DDF">
      <w:pPr>
        <w:autoSpaceDE w:val="0"/>
        <w:autoSpaceDN w:val="0"/>
        <w:adjustRightInd w:val="0"/>
        <w:spacing w:after="0" w:line="240" w:lineRule="auto"/>
        <w:jc w:val="both"/>
        <w:rPr>
          <w:rFonts w:ascii="Times New Roman" w:hAnsi="Times New Roman" w:cs="Times New Roman"/>
          <w:sz w:val="20"/>
          <w:szCs w:val="20"/>
          <w:lang w:val="en-GB"/>
        </w:rPr>
      </w:pPr>
    </w:p>
    <w:p w14:paraId="6B194A2D" w14:textId="7F2C4541" w:rsidR="00E9629E" w:rsidRDefault="00133DDF" w:rsidP="00133DDF">
      <w:pPr>
        <w:autoSpaceDE w:val="0"/>
        <w:autoSpaceDN w:val="0"/>
        <w:adjustRightInd w:val="0"/>
        <w:spacing w:after="0" w:line="240" w:lineRule="auto"/>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From an engineering perspective, this framework translates into quantifiable parameters. Selective visibility corresponds to illuminance uniformity ratios (target min/max &gt; 0.25). Mood corresponds to correlated color temperature (CCT) ranges (typically 2,700K–6,500K). The framework thus allows evaluation of whether technical implementations successfully achieve their artistic objectives</w:t>
      </w:r>
      <w:r w:rsidR="0086338C">
        <w:rPr>
          <w:rFonts w:ascii="Times New Roman" w:hAnsi="Times New Roman" w:cs="Times New Roman"/>
          <w:sz w:val="20"/>
          <w:szCs w:val="20"/>
          <w:lang w:val="en-GB"/>
        </w:rPr>
        <w:t xml:space="preserve"> or not</w:t>
      </w:r>
      <w:r w:rsidRPr="00133DDF">
        <w:rPr>
          <w:rFonts w:ascii="Times New Roman" w:hAnsi="Times New Roman" w:cs="Times New Roman"/>
          <w:sz w:val="20"/>
          <w:szCs w:val="20"/>
          <w:lang w:val="en-GB"/>
        </w:rPr>
        <w:t>.</w:t>
      </w:r>
    </w:p>
    <w:p w14:paraId="5B68CA9B" w14:textId="77777777" w:rsidR="001232B1" w:rsidRPr="002D7771" w:rsidRDefault="001232B1" w:rsidP="00133DDF">
      <w:pPr>
        <w:autoSpaceDE w:val="0"/>
        <w:autoSpaceDN w:val="0"/>
        <w:adjustRightInd w:val="0"/>
        <w:spacing w:after="0" w:line="240" w:lineRule="auto"/>
        <w:jc w:val="both"/>
        <w:rPr>
          <w:rFonts w:ascii="Times New Roman" w:hAnsi="Times New Roman" w:cs="Times New Roman"/>
          <w:sz w:val="20"/>
          <w:szCs w:val="20"/>
          <w:lang w:val="en-GB"/>
        </w:rPr>
      </w:pPr>
    </w:p>
    <w:p w14:paraId="443F9310" w14:textId="5D046A90" w:rsidR="00E9629E" w:rsidRPr="002D7771" w:rsidRDefault="001A21DF" w:rsidP="001A21DF">
      <w:pPr>
        <w:pStyle w:val="Heading1"/>
        <w:spacing w:before="0" w:line="240" w:lineRule="auto"/>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III. </w:t>
      </w:r>
      <w:r w:rsidR="00E9629E" w:rsidRPr="002D7771">
        <w:rPr>
          <w:rFonts w:ascii="Times New Roman" w:hAnsi="Times New Roman" w:cs="Times New Roman"/>
          <w:color w:val="auto"/>
          <w:sz w:val="20"/>
          <w:szCs w:val="20"/>
          <w:lang w:val="en-GB"/>
        </w:rPr>
        <w:t>MATERIALS AND METHOD</w:t>
      </w:r>
    </w:p>
    <w:p w14:paraId="39A55D80" w14:textId="77777777" w:rsidR="0023188D" w:rsidRPr="002D7771" w:rsidRDefault="0023188D" w:rsidP="0023188D">
      <w:pPr>
        <w:spacing w:after="0"/>
        <w:rPr>
          <w:sz w:val="6"/>
          <w:szCs w:val="6"/>
          <w:lang w:val="en-GB"/>
        </w:rPr>
      </w:pPr>
    </w:p>
    <w:p w14:paraId="55F9AA3F" w14:textId="4949D294" w:rsidR="00E9629E" w:rsidRPr="002D7771" w:rsidRDefault="0023188D" w:rsidP="0023188D">
      <w:pPr>
        <w:pStyle w:val="Heading2"/>
        <w:spacing w:before="0" w:line="240" w:lineRule="auto"/>
        <w:rPr>
          <w:rFonts w:ascii="Times New Roman" w:hAnsi="Times New Roman" w:cs="Times New Roman"/>
          <w:bCs/>
          <w:iCs/>
          <w:color w:val="auto"/>
          <w:sz w:val="20"/>
          <w:szCs w:val="20"/>
          <w:lang w:val="en-GB"/>
        </w:rPr>
      </w:pPr>
      <w:r w:rsidRPr="002D7771">
        <w:rPr>
          <w:rFonts w:ascii="Times New Roman" w:hAnsi="Times New Roman" w:cs="Times New Roman"/>
          <w:bCs/>
          <w:iCs/>
          <w:color w:val="auto"/>
          <w:sz w:val="20"/>
          <w:szCs w:val="20"/>
          <w:lang w:val="en-GB"/>
        </w:rPr>
        <w:t xml:space="preserve">A.    </w:t>
      </w:r>
      <w:r w:rsidR="00E9629E" w:rsidRPr="002D7771">
        <w:rPr>
          <w:rFonts w:ascii="Times New Roman" w:hAnsi="Times New Roman" w:cs="Times New Roman"/>
          <w:bCs/>
          <w:iCs/>
          <w:color w:val="auto"/>
          <w:sz w:val="20"/>
          <w:szCs w:val="20"/>
          <w:lang w:val="en-GB"/>
        </w:rPr>
        <w:t xml:space="preserve">The </w:t>
      </w:r>
      <w:r w:rsidR="001232B1">
        <w:rPr>
          <w:rFonts w:ascii="Times New Roman" w:hAnsi="Times New Roman" w:cs="Times New Roman"/>
          <w:bCs/>
          <w:iCs/>
          <w:color w:val="auto"/>
          <w:sz w:val="20"/>
          <w:szCs w:val="20"/>
          <w:lang w:val="en-GB"/>
        </w:rPr>
        <w:t>Play Area: Terra Kulture</w:t>
      </w:r>
    </w:p>
    <w:p w14:paraId="6DAE8BBF" w14:textId="1D8E5946" w:rsidR="00E9629E" w:rsidRPr="002D7771" w:rsidRDefault="0023188D" w:rsidP="00133DDF">
      <w:pPr>
        <w:pStyle w:val="NormalWeb"/>
        <w:spacing w:before="0" w:beforeAutospacing="0" w:after="0" w:afterAutospacing="0"/>
        <w:jc w:val="both"/>
        <w:rPr>
          <w:bCs/>
          <w:sz w:val="20"/>
          <w:szCs w:val="20"/>
        </w:rPr>
      </w:pPr>
      <w:bookmarkStart w:id="0" w:name="_Hlk117672766"/>
      <w:r w:rsidRPr="002D7771">
        <w:rPr>
          <w:sz w:val="20"/>
          <w:szCs w:val="20"/>
        </w:rPr>
        <w:t xml:space="preserve">   </w:t>
      </w:r>
      <w:r w:rsidR="00133DDF">
        <w:rPr>
          <w:sz w:val="20"/>
          <w:szCs w:val="20"/>
        </w:rPr>
        <w:t xml:space="preserve">     </w:t>
      </w:r>
      <w:r w:rsidR="001232B1">
        <w:rPr>
          <w:sz w:val="20"/>
          <w:szCs w:val="20"/>
        </w:rPr>
        <w:t>The play</w:t>
      </w:r>
      <w:r w:rsidR="00133DDF" w:rsidRPr="00133DDF">
        <w:rPr>
          <w:sz w:val="20"/>
          <w:szCs w:val="20"/>
        </w:rPr>
        <w:t xml:space="preserve"> </w:t>
      </w:r>
      <w:proofErr w:type="gramStart"/>
      <w:r w:rsidR="00133DDF" w:rsidRPr="00133DDF">
        <w:rPr>
          <w:sz w:val="20"/>
          <w:szCs w:val="20"/>
        </w:rPr>
        <w:t>was conducted</w:t>
      </w:r>
      <w:proofErr w:type="gramEnd"/>
      <w:r w:rsidR="00133DDF" w:rsidRPr="00133DDF">
        <w:rPr>
          <w:sz w:val="20"/>
          <w:szCs w:val="20"/>
        </w:rPr>
        <w:t xml:space="preserve"> at Terra Kulture, a 350-seat proscenium theatre located in Victoria Is</w:t>
      </w:r>
      <w:r w:rsidR="0086338C">
        <w:rPr>
          <w:sz w:val="20"/>
          <w:szCs w:val="20"/>
        </w:rPr>
        <w:t>land, Lagos, Nigeria (6° 25' N, 3° 25' E). The stage dimensions are 12 m (width) × 8 m (length</w:t>
      </w:r>
      <w:r w:rsidR="00133DDF" w:rsidRPr="00133DDF">
        <w:rPr>
          <w:sz w:val="20"/>
          <w:szCs w:val="20"/>
        </w:rPr>
        <w:t>)</w:t>
      </w:r>
      <w:r w:rsidR="0086338C">
        <w:rPr>
          <w:sz w:val="20"/>
          <w:szCs w:val="20"/>
        </w:rPr>
        <w:t xml:space="preserve"> </w:t>
      </w:r>
      <w:r w:rsidR="0086338C">
        <w:rPr>
          <w:sz w:val="20"/>
          <w:szCs w:val="20"/>
        </w:rPr>
        <w:t>×</w:t>
      </w:r>
      <w:r w:rsidR="0086338C">
        <w:rPr>
          <w:sz w:val="20"/>
          <w:szCs w:val="20"/>
        </w:rPr>
        <w:t xml:space="preserve"> 6 m (height)</w:t>
      </w:r>
      <w:r w:rsidR="00133DDF" w:rsidRPr="00133DDF">
        <w:rPr>
          <w:sz w:val="20"/>
          <w:szCs w:val="20"/>
        </w:rPr>
        <w:t xml:space="preserve"> with a grid height of 5.5 m above the stage</w:t>
      </w:r>
      <w:r w:rsidR="0086338C">
        <w:rPr>
          <w:sz w:val="20"/>
          <w:szCs w:val="20"/>
        </w:rPr>
        <w:t xml:space="preserve"> floor. The power supply is 415 V, 100 A</w:t>
      </w:r>
      <w:r w:rsidR="00133DDF" w:rsidRPr="00133DDF">
        <w:rPr>
          <w:sz w:val="20"/>
          <w:szCs w:val="20"/>
        </w:rPr>
        <w:t>. The physical characteristics of the venue remained constant for both productions, providing a controlled experimental environment.</w:t>
      </w:r>
    </w:p>
    <w:bookmarkEnd w:id="0"/>
    <w:p w14:paraId="0C3896A1" w14:textId="50D81AF9" w:rsidR="005C6001" w:rsidRPr="002D7771" w:rsidRDefault="0023188D" w:rsidP="0023188D">
      <w:pPr>
        <w:pStyle w:val="Heading2"/>
        <w:spacing w:before="240" w:line="240" w:lineRule="auto"/>
        <w:rPr>
          <w:rFonts w:ascii="Times New Roman" w:hAnsi="Times New Roman" w:cs="Times New Roman"/>
          <w:bCs/>
          <w:iCs/>
          <w:color w:val="auto"/>
          <w:sz w:val="20"/>
          <w:szCs w:val="20"/>
          <w:lang w:val="en-GB"/>
        </w:rPr>
      </w:pPr>
      <w:r w:rsidRPr="002D7771">
        <w:rPr>
          <w:rFonts w:ascii="Times New Roman" w:hAnsi="Times New Roman" w:cs="Times New Roman"/>
          <w:bCs/>
          <w:iCs/>
          <w:color w:val="auto"/>
          <w:sz w:val="20"/>
          <w:szCs w:val="20"/>
          <w:lang w:val="en-GB"/>
        </w:rPr>
        <w:t xml:space="preserve">B.       </w:t>
      </w:r>
      <w:r w:rsidR="00133DDF">
        <w:rPr>
          <w:rFonts w:ascii="Times New Roman" w:hAnsi="Times New Roman" w:cs="Times New Roman"/>
          <w:bCs/>
          <w:iCs/>
          <w:color w:val="auto"/>
          <w:sz w:val="20"/>
          <w:szCs w:val="20"/>
          <w:lang w:val="en-GB"/>
        </w:rPr>
        <w:t>Production Specifications</w:t>
      </w:r>
    </w:p>
    <w:p w14:paraId="7DAF4F16" w14:textId="4E56EB43" w:rsidR="00133DDF" w:rsidRPr="00133DDF" w:rsidRDefault="00133DDF" w:rsidP="00133DDF">
      <w:pPr>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 xml:space="preserve">Two productions </w:t>
      </w:r>
      <w:proofErr w:type="gramStart"/>
      <w:r w:rsidRPr="00133DDF">
        <w:rPr>
          <w:rFonts w:ascii="Times New Roman" w:hAnsi="Times New Roman" w:cs="Times New Roman"/>
          <w:sz w:val="20"/>
          <w:szCs w:val="20"/>
          <w:lang w:val="en-GB"/>
        </w:rPr>
        <w:t>were selected</w:t>
      </w:r>
      <w:proofErr w:type="gramEnd"/>
      <w:r w:rsidRPr="00133DDF">
        <w:rPr>
          <w:rFonts w:ascii="Times New Roman" w:hAnsi="Times New Roman" w:cs="Times New Roman"/>
          <w:sz w:val="20"/>
          <w:szCs w:val="20"/>
          <w:lang w:val="en-GB"/>
        </w:rPr>
        <w:t xml:space="preserve"> for analysis based on their significance in Nigerian commercial theatre and their documented use of advanced lighting technologies.</w:t>
      </w:r>
    </w:p>
    <w:p w14:paraId="65321616" w14:textId="7D0D35E3" w:rsidR="00133DDF" w:rsidRPr="00133DDF" w:rsidRDefault="00133DDF" w:rsidP="00133DDF">
      <w:pPr>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 xml:space="preserve">Production 1: </w:t>
      </w:r>
      <w:r w:rsidRPr="00133DDF">
        <w:rPr>
          <w:rFonts w:ascii="Times New Roman" w:hAnsi="Times New Roman" w:cs="Times New Roman"/>
          <w:b/>
          <w:sz w:val="20"/>
          <w:szCs w:val="20"/>
          <w:lang w:val="en-GB"/>
        </w:rPr>
        <w:t xml:space="preserve">Saro </w:t>
      </w:r>
      <w:r w:rsidR="00E952F0" w:rsidRPr="00133DDF">
        <w:rPr>
          <w:rFonts w:ascii="Times New Roman" w:hAnsi="Times New Roman" w:cs="Times New Roman"/>
          <w:b/>
          <w:sz w:val="20"/>
          <w:szCs w:val="20"/>
          <w:lang w:val="en-GB"/>
        </w:rPr>
        <w:t>the</w:t>
      </w:r>
      <w:r w:rsidRPr="00133DDF">
        <w:rPr>
          <w:rFonts w:ascii="Times New Roman" w:hAnsi="Times New Roman" w:cs="Times New Roman"/>
          <w:b/>
          <w:sz w:val="20"/>
          <w:szCs w:val="20"/>
          <w:lang w:val="en-GB"/>
        </w:rPr>
        <w:t xml:space="preserve"> Musical</w:t>
      </w:r>
      <w:r w:rsidRPr="00133DDF">
        <w:rPr>
          <w:rFonts w:ascii="Times New Roman" w:hAnsi="Times New Roman" w:cs="Times New Roman"/>
          <w:sz w:val="20"/>
          <w:szCs w:val="20"/>
          <w:lang w:val="en-GB"/>
        </w:rPr>
        <w:t xml:space="preserve"> (May 13–16, 2023). A musical theatre piece with 11 scenes, running 120 minutes. Lighting design by Wasiu Kareem (Zmirage Multim</w:t>
      </w:r>
      <w:r w:rsidR="005245EF">
        <w:rPr>
          <w:rFonts w:ascii="Times New Roman" w:hAnsi="Times New Roman" w:cs="Times New Roman"/>
          <w:sz w:val="20"/>
          <w:szCs w:val="20"/>
          <w:lang w:val="en-GB"/>
        </w:rPr>
        <w:t>edia Limited).</w:t>
      </w:r>
    </w:p>
    <w:p w14:paraId="722C030F" w14:textId="3E3DE2B6" w:rsidR="00E952F0" w:rsidRPr="00E952F0" w:rsidRDefault="00133DDF" w:rsidP="00E952F0">
      <w:pPr>
        <w:jc w:val="both"/>
        <w:rPr>
          <w:rFonts w:ascii="Times New Roman" w:hAnsi="Times New Roman" w:cs="Times New Roman"/>
          <w:sz w:val="20"/>
          <w:szCs w:val="20"/>
          <w:lang w:val="en-GB"/>
        </w:rPr>
      </w:pPr>
      <w:r w:rsidRPr="00133DDF">
        <w:rPr>
          <w:rFonts w:ascii="Times New Roman" w:hAnsi="Times New Roman" w:cs="Times New Roman"/>
          <w:sz w:val="20"/>
          <w:szCs w:val="20"/>
          <w:lang w:val="en-GB"/>
        </w:rPr>
        <w:t xml:space="preserve">Production 2: </w:t>
      </w:r>
      <w:r w:rsidRPr="00133DDF">
        <w:rPr>
          <w:rFonts w:ascii="Times New Roman" w:hAnsi="Times New Roman" w:cs="Times New Roman"/>
          <w:b/>
          <w:sz w:val="20"/>
          <w:szCs w:val="20"/>
          <w:lang w:val="en-GB"/>
        </w:rPr>
        <w:t>Death and the King's Horseman</w:t>
      </w:r>
      <w:r w:rsidRPr="00133DDF">
        <w:rPr>
          <w:rFonts w:ascii="Times New Roman" w:hAnsi="Times New Roman" w:cs="Times New Roman"/>
          <w:sz w:val="20"/>
          <w:szCs w:val="20"/>
          <w:lang w:val="en-GB"/>
        </w:rPr>
        <w:t xml:space="preserve"> (May 13–16, 2021). A dramatic tragedy in </w:t>
      </w:r>
      <w:r w:rsidR="00E952F0" w:rsidRPr="00133DDF">
        <w:rPr>
          <w:rFonts w:ascii="Times New Roman" w:hAnsi="Times New Roman" w:cs="Times New Roman"/>
          <w:sz w:val="20"/>
          <w:szCs w:val="20"/>
          <w:lang w:val="en-GB"/>
        </w:rPr>
        <w:t>five</w:t>
      </w:r>
      <w:r w:rsidRPr="00133DDF">
        <w:rPr>
          <w:rFonts w:ascii="Times New Roman" w:hAnsi="Times New Roman" w:cs="Times New Roman"/>
          <w:sz w:val="20"/>
          <w:szCs w:val="20"/>
          <w:lang w:val="en-GB"/>
        </w:rPr>
        <w:t xml:space="preserve"> acts, running 90 minutes. Lighting design by Moses Onyeloni (Yemilights Ni</w:t>
      </w:r>
      <w:r w:rsidR="005245EF">
        <w:rPr>
          <w:rFonts w:ascii="Times New Roman" w:hAnsi="Times New Roman" w:cs="Times New Roman"/>
          <w:sz w:val="20"/>
          <w:szCs w:val="20"/>
          <w:lang w:val="en-GB"/>
        </w:rPr>
        <w:t>geria Limited).</w:t>
      </w:r>
    </w:p>
    <w:p w14:paraId="7C42EF4B" w14:textId="77777777" w:rsidR="00E952F0" w:rsidRPr="00E952F0" w:rsidRDefault="00E952F0" w:rsidP="00E952F0">
      <w:pPr>
        <w:pStyle w:val="Heading2"/>
        <w:jc w:val="both"/>
        <w:rPr>
          <w:rFonts w:ascii="Times New Roman" w:hAnsi="Times New Roman" w:cs="Times New Roman"/>
          <w:color w:val="auto"/>
          <w:sz w:val="20"/>
          <w:szCs w:val="20"/>
          <w:lang w:val="en-GB"/>
        </w:rPr>
      </w:pPr>
      <w:r w:rsidRPr="00E952F0">
        <w:rPr>
          <w:rStyle w:val="Heading2Char"/>
          <w:rFonts w:ascii="Times New Roman" w:hAnsi="Times New Roman" w:cs="Times New Roman"/>
          <w:color w:val="auto"/>
          <w:sz w:val="20"/>
          <w:szCs w:val="20"/>
        </w:rPr>
        <w:t>C</w:t>
      </w:r>
      <w:r w:rsidRPr="00E952F0">
        <w:rPr>
          <w:rFonts w:ascii="Times New Roman" w:hAnsi="Times New Roman" w:cs="Times New Roman"/>
          <w:color w:val="auto"/>
          <w:sz w:val="20"/>
          <w:szCs w:val="20"/>
          <w:lang w:val="en-GB"/>
        </w:rPr>
        <w:t>.   Data Used and Sources</w:t>
      </w:r>
    </w:p>
    <w:p w14:paraId="180B3946" w14:textId="26C45C19" w:rsidR="00E952F0" w:rsidRDefault="00E952F0" w:rsidP="00E952F0">
      <w:pPr>
        <w:pStyle w:val="Heading2"/>
        <w:jc w:val="both"/>
        <w:rPr>
          <w:rFonts w:ascii="Times New Roman" w:hAnsi="Times New Roman" w:cs="Times New Roman"/>
          <w:color w:val="auto"/>
          <w:sz w:val="20"/>
          <w:szCs w:val="20"/>
          <w:lang w:val="en-GB"/>
        </w:rPr>
      </w:pPr>
      <w:r w:rsidRPr="00E952F0">
        <w:rPr>
          <w:rFonts w:ascii="Times New Roman" w:hAnsi="Times New Roman" w:cs="Times New Roman"/>
          <w:color w:val="auto"/>
          <w:sz w:val="20"/>
          <w:szCs w:val="20"/>
          <w:lang w:val="en-GB"/>
        </w:rPr>
        <w:t xml:space="preserve">For this study, three major datasets </w:t>
      </w:r>
      <w:proofErr w:type="gramStart"/>
      <w:r w:rsidRPr="00E952F0">
        <w:rPr>
          <w:rFonts w:ascii="Times New Roman" w:hAnsi="Times New Roman" w:cs="Times New Roman"/>
          <w:color w:val="auto"/>
          <w:sz w:val="20"/>
          <w:szCs w:val="20"/>
          <w:lang w:val="en-GB"/>
        </w:rPr>
        <w:t>were utilized</w:t>
      </w:r>
      <w:proofErr w:type="gramEnd"/>
      <w:r w:rsidRPr="00E952F0">
        <w:rPr>
          <w:rFonts w:ascii="Times New Roman" w:hAnsi="Times New Roman" w:cs="Times New Roman"/>
          <w:color w:val="auto"/>
          <w:sz w:val="20"/>
          <w:szCs w:val="20"/>
          <w:lang w:val="en-GB"/>
        </w:rPr>
        <w:t xml:space="preserve">. They include equipment inventory data, illuminance measurements and </w:t>
      </w:r>
      <w:r w:rsidR="00C173C7">
        <w:rPr>
          <w:rFonts w:ascii="Times New Roman" w:hAnsi="Times New Roman" w:cs="Times New Roman"/>
          <w:color w:val="auto"/>
          <w:sz w:val="20"/>
          <w:szCs w:val="20"/>
          <w:lang w:val="en-GB"/>
        </w:rPr>
        <w:t>DMX system timing data (Table 1).</w:t>
      </w:r>
    </w:p>
    <w:p w14:paraId="560DF915" w14:textId="238BAC77" w:rsidR="00C173C7" w:rsidRDefault="00C173C7" w:rsidP="00C173C7">
      <w:pPr>
        <w:rPr>
          <w:lang w:val="en-GB"/>
        </w:rPr>
      </w:pPr>
    </w:p>
    <w:p w14:paraId="2A77E396" w14:textId="30DC785C" w:rsidR="00C173C7" w:rsidRDefault="001232B1" w:rsidP="001232B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Table </w:t>
      </w:r>
      <w:r w:rsidR="00C173C7">
        <w:rPr>
          <w:rFonts w:ascii="Times New Roman" w:hAnsi="Times New Roman" w:cs="Times New Roman"/>
          <w:sz w:val="20"/>
          <w:szCs w:val="20"/>
          <w:lang w:val="en-GB"/>
        </w:rPr>
        <w:t xml:space="preserve">I: Data Used and Sources </w:t>
      </w:r>
    </w:p>
    <w:tbl>
      <w:tblPr>
        <w:tblStyle w:val="ListTable6Colorful1"/>
        <w:tblW w:w="0" w:type="auto"/>
        <w:tblLook w:val="04A0" w:firstRow="1" w:lastRow="0" w:firstColumn="1" w:lastColumn="0" w:noHBand="0" w:noVBand="1"/>
      </w:tblPr>
      <w:tblGrid>
        <w:gridCol w:w="1657"/>
        <w:gridCol w:w="1657"/>
        <w:gridCol w:w="1658"/>
      </w:tblGrid>
      <w:tr w:rsidR="001232B1" w14:paraId="729641A5" w14:textId="77777777" w:rsidTr="00524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1DC51FB9" w14:textId="1338E71B" w:rsidR="001232B1" w:rsidRDefault="001232B1" w:rsidP="00C173C7">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Data </w:t>
            </w:r>
          </w:p>
        </w:tc>
        <w:tc>
          <w:tcPr>
            <w:tcW w:w="1657" w:type="dxa"/>
          </w:tcPr>
          <w:p w14:paraId="2E5EC8C9" w14:textId="559A4264" w:rsidR="001232B1" w:rsidRDefault="001232B1" w:rsidP="00C173C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Source </w:t>
            </w:r>
          </w:p>
        </w:tc>
        <w:tc>
          <w:tcPr>
            <w:tcW w:w="1658" w:type="dxa"/>
          </w:tcPr>
          <w:p w14:paraId="054992ED" w14:textId="33E50962" w:rsidR="001232B1" w:rsidRDefault="001232B1" w:rsidP="00C173C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Description</w:t>
            </w:r>
          </w:p>
        </w:tc>
      </w:tr>
      <w:tr w:rsidR="001232B1" w14:paraId="5A293E1E" w14:textId="77777777" w:rsidTr="005245EF">
        <w:tc>
          <w:tcPr>
            <w:cnfStyle w:val="001000000000" w:firstRow="0" w:lastRow="0" w:firstColumn="1" w:lastColumn="0" w:oddVBand="0" w:evenVBand="0" w:oddHBand="0" w:evenHBand="0" w:firstRowFirstColumn="0" w:firstRowLastColumn="0" w:lastRowFirstColumn="0" w:lastRowLastColumn="0"/>
            <w:tcW w:w="1657" w:type="dxa"/>
          </w:tcPr>
          <w:p w14:paraId="096155F3" w14:textId="31AFC43E" w:rsidR="001232B1" w:rsidRDefault="001232B1" w:rsidP="00C173C7">
            <w:pPr>
              <w:jc w:val="center"/>
              <w:rPr>
                <w:rFonts w:ascii="Times New Roman" w:hAnsi="Times New Roman" w:cs="Times New Roman"/>
                <w:sz w:val="20"/>
                <w:szCs w:val="20"/>
                <w:lang w:val="en-GB"/>
              </w:rPr>
            </w:pPr>
            <w:r>
              <w:rPr>
                <w:rFonts w:ascii="Times New Roman" w:hAnsi="Times New Roman" w:cs="Times New Roman"/>
                <w:sz w:val="20"/>
                <w:szCs w:val="20"/>
                <w:lang w:val="en-GB"/>
              </w:rPr>
              <w:t>Equipment inventory</w:t>
            </w:r>
          </w:p>
        </w:tc>
        <w:tc>
          <w:tcPr>
            <w:tcW w:w="1657" w:type="dxa"/>
          </w:tcPr>
          <w:p w14:paraId="762AFA41" w14:textId="2D16420C"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Production documentation, direct observation</w:t>
            </w:r>
          </w:p>
        </w:tc>
        <w:tc>
          <w:tcPr>
            <w:tcW w:w="1658" w:type="dxa"/>
          </w:tcPr>
          <w:p w14:paraId="69CF8B8B" w14:textId="40615106"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Fixture types, quantities, DMX channel allocation, power ratings </w:t>
            </w:r>
          </w:p>
        </w:tc>
      </w:tr>
      <w:tr w:rsidR="001232B1" w14:paraId="7FAF3E6E" w14:textId="77777777" w:rsidTr="005245EF">
        <w:tc>
          <w:tcPr>
            <w:cnfStyle w:val="001000000000" w:firstRow="0" w:lastRow="0" w:firstColumn="1" w:lastColumn="0" w:oddVBand="0" w:evenVBand="0" w:oddHBand="0" w:evenHBand="0" w:firstRowFirstColumn="0" w:firstRowLastColumn="0" w:lastRowFirstColumn="0" w:lastRowLastColumn="0"/>
            <w:tcW w:w="1657" w:type="dxa"/>
          </w:tcPr>
          <w:p w14:paraId="7B40F0F1" w14:textId="5F364BC4" w:rsidR="001232B1" w:rsidRDefault="001232B1" w:rsidP="00C173C7">
            <w:pPr>
              <w:jc w:val="center"/>
              <w:rPr>
                <w:rFonts w:ascii="Times New Roman" w:hAnsi="Times New Roman" w:cs="Times New Roman"/>
                <w:sz w:val="20"/>
                <w:szCs w:val="20"/>
                <w:lang w:val="en-GB"/>
              </w:rPr>
            </w:pPr>
            <w:r>
              <w:rPr>
                <w:rFonts w:ascii="Times New Roman" w:hAnsi="Times New Roman" w:cs="Times New Roman"/>
                <w:sz w:val="20"/>
                <w:szCs w:val="20"/>
                <w:lang w:val="en-GB"/>
              </w:rPr>
              <w:t>Illuminance measurements</w:t>
            </w:r>
          </w:p>
        </w:tc>
        <w:tc>
          <w:tcPr>
            <w:tcW w:w="1657" w:type="dxa"/>
          </w:tcPr>
          <w:p w14:paraId="05684AE9" w14:textId="03A19910"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Konica Minolta T-10A meter </w:t>
            </w:r>
          </w:p>
        </w:tc>
        <w:tc>
          <w:tcPr>
            <w:tcW w:w="1658" w:type="dxa"/>
          </w:tcPr>
          <w:p w14:paraId="0D0E7BC7" w14:textId="672EF686"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Lux values at nine grid </w:t>
            </w:r>
            <w:r>
              <w:rPr>
                <w:rFonts w:ascii="Times New Roman" w:hAnsi="Times New Roman" w:cs="Times New Roman"/>
                <w:sz w:val="20"/>
                <w:szCs w:val="20"/>
                <w:lang w:val="en-GB"/>
              </w:rPr>
              <w:lastRenderedPageBreak/>
              <w:t>positions across stage</w:t>
            </w:r>
          </w:p>
        </w:tc>
      </w:tr>
      <w:tr w:rsidR="001232B1" w14:paraId="150CA27D" w14:textId="77777777" w:rsidTr="005245EF">
        <w:tc>
          <w:tcPr>
            <w:cnfStyle w:val="001000000000" w:firstRow="0" w:lastRow="0" w:firstColumn="1" w:lastColumn="0" w:oddVBand="0" w:evenVBand="0" w:oddHBand="0" w:evenHBand="0" w:firstRowFirstColumn="0" w:firstRowLastColumn="0" w:lastRowFirstColumn="0" w:lastRowLastColumn="0"/>
            <w:tcW w:w="1657" w:type="dxa"/>
          </w:tcPr>
          <w:p w14:paraId="00FB0A8F" w14:textId="4C2332EC" w:rsidR="001232B1" w:rsidRDefault="001232B1" w:rsidP="00C173C7">
            <w:pPr>
              <w:jc w:val="center"/>
              <w:rPr>
                <w:rFonts w:ascii="Times New Roman" w:hAnsi="Times New Roman" w:cs="Times New Roman"/>
                <w:sz w:val="20"/>
                <w:szCs w:val="20"/>
                <w:lang w:val="en-GB"/>
              </w:rPr>
            </w:pPr>
            <w:r>
              <w:rPr>
                <w:rFonts w:ascii="Times New Roman" w:hAnsi="Times New Roman" w:cs="Times New Roman"/>
                <w:sz w:val="20"/>
                <w:szCs w:val="20"/>
                <w:lang w:val="en-GB"/>
              </w:rPr>
              <w:lastRenderedPageBreak/>
              <w:t>Power consumption</w:t>
            </w:r>
          </w:p>
        </w:tc>
        <w:tc>
          <w:tcPr>
            <w:tcW w:w="1657" w:type="dxa"/>
          </w:tcPr>
          <w:p w14:paraId="39D0C885" w14:textId="39FBDCC0"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Fluke 345 power quality clamp meter</w:t>
            </w:r>
          </w:p>
        </w:tc>
        <w:tc>
          <w:tcPr>
            <w:tcW w:w="1658" w:type="dxa"/>
          </w:tcPr>
          <w:p w14:paraId="19A9757B" w14:textId="70E489AE"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Peak and average power at main distribution panel </w:t>
            </w:r>
          </w:p>
        </w:tc>
      </w:tr>
      <w:tr w:rsidR="001232B1" w14:paraId="7B436FD9" w14:textId="77777777" w:rsidTr="005245EF">
        <w:tc>
          <w:tcPr>
            <w:cnfStyle w:val="001000000000" w:firstRow="0" w:lastRow="0" w:firstColumn="1" w:lastColumn="0" w:oddVBand="0" w:evenVBand="0" w:oddHBand="0" w:evenHBand="0" w:firstRowFirstColumn="0" w:firstRowLastColumn="0" w:lastRowFirstColumn="0" w:lastRowLastColumn="0"/>
            <w:tcW w:w="1657" w:type="dxa"/>
          </w:tcPr>
          <w:p w14:paraId="20C24EBC" w14:textId="7981E644" w:rsidR="001232B1" w:rsidRDefault="001232B1" w:rsidP="00C173C7">
            <w:pPr>
              <w:jc w:val="center"/>
              <w:rPr>
                <w:rFonts w:ascii="Times New Roman" w:hAnsi="Times New Roman" w:cs="Times New Roman"/>
                <w:sz w:val="20"/>
                <w:szCs w:val="20"/>
                <w:lang w:val="en-GB"/>
              </w:rPr>
            </w:pPr>
            <w:r>
              <w:rPr>
                <w:rFonts w:ascii="Times New Roman" w:hAnsi="Times New Roman" w:cs="Times New Roman"/>
                <w:sz w:val="20"/>
                <w:szCs w:val="20"/>
                <w:lang w:val="en-GB"/>
              </w:rPr>
              <w:t>DMX systems timing</w:t>
            </w:r>
          </w:p>
        </w:tc>
        <w:tc>
          <w:tcPr>
            <w:tcW w:w="1657" w:type="dxa"/>
          </w:tcPr>
          <w:p w14:paraId="5953340C" w14:textId="57565E8F"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DMX-Workshop software, </w:t>
            </w:r>
            <w:r>
              <w:rPr>
                <w:rFonts w:ascii="Times New Roman" w:hAnsi="Times New Roman" w:cs="Times New Roman"/>
                <w:sz w:val="20"/>
                <w:szCs w:val="20"/>
                <w:lang w:val="en-GB"/>
              </w:rPr>
              <w:t>Tektronix MDO3000</w:t>
            </w:r>
          </w:p>
        </w:tc>
        <w:tc>
          <w:tcPr>
            <w:tcW w:w="1658" w:type="dxa"/>
          </w:tcPr>
          <w:p w14:paraId="6800A193" w14:textId="0602D0C2"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Console to fixture latency, fade time accuracy, packet integrity</w:t>
            </w:r>
          </w:p>
        </w:tc>
      </w:tr>
      <w:tr w:rsidR="001232B1" w14:paraId="2023CD14" w14:textId="77777777" w:rsidTr="005245EF">
        <w:tc>
          <w:tcPr>
            <w:cnfStyle w:val="001000000000" w:firstRow="0" w:lastRow="0" w:firstColumn="1" w:lastColumn="0" w:oddVBand="0" w:evenVBand="0" w:oddHBand="0" w:evenHBand="0" w:firstRowFirstColumn="0" w:firstRowLastColumn="0" w:lastRowFirstColumn="0" w:lastRowLastColumn="0"/>
            <w:tcW w:w="1657" w:type="dxa"/>
          </w:tcPr>
          <w:p w14:paraId="5CC2C7E7" w14:textId="5D3C5A30" w:rsidR="001232B1" w:rsidRDefault="001232B1" w:rsidP="00C173C7">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Color analysis </w:t>
            </w:r>
          </w:p>
        </w:tc>
        <w:tc>
          <w:tcPr>
            <w:tcW w:w="1657" w:type="dxa"/>
          </w:tcPr>
          <w:p w14:paraId="377BD08B" w14:textId="2C6FBADB"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Sekonic C-800 Spectro-Master </w:t>
            </w:r>
          </w:p>
        </w:tc>
        <w:tc>
          <w:tcPr>
            <w:tcW w:w="1658" w:type="dxa"/>
          </w:tcPr>
          <w:p w14:paraId="23FC465B" w14:textId="517196A4" w:rsidR="001232B1" w:rsidRDefault="001232B1" w:rsidP="00C173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CCT (K), CRI Ra, color gamut</w:t>
            </w:r>
          </w:p>
        </w:tc>
      </w:tr>
    </w:tbl>
    <w:p w14:paraId="79B33058" w14:textId="77777777" w:rsidR="001232B1" w:rsidRPr="00C173C7" w:rsidRDefault="001232B1" w:rsidP="00C173C7">
      <w:pPr>
        <w:jc w:val="center"/>
        <w:rPr>
          <w:rFonts w:ascii="Times New Roman" w:hAnsi="Times New Roman" w:cs="Times New Roman"/>
          <w:sz w:val="20"/>
          <w:szCs w:val="20"/>
          <w:lang w:val="en-GB"/>
        </w:rPr>
        <w:sectPr w:rsidR="001232B1" w:rsidRPr="00C173C7" w:rsidSect="00D20674">
          <w:type w:val="continuous"/>
          <w:pgSz w:w="12240" w:h="15840"/>
          <w:pgMar w:top="1152" w:right="778" w:bottom="965" w:left="1152" w:header="720" w:footer="720" w:gutter="0"/>
          <w:cols w:num="2" w:space="346"/>
          <w:docGrid w:linePitch="360"/>
        </w:sectPr>
      </w:pPr>
    </w:p>
    <w:p w14:paraId="6C06E3D0" w14:textId="7365D029" w:rsidR="000E4CC7" w:rsidRPr="00C173C7" w:rsidRDefault="000E4CC7" w:rsidP="00C173C7">
      <w:pPr>
        <w:autoSpaceDE w:val="0"/>
        <w:autoSpaceDN w:val="0"/>
        <w:adjustRightInd w:val="0"/>
        <w:spacing w:after="0" w:line="240" w:lineRule="auto"/>
        <w:rPr>
          <w:rFonts w:ascii="Times New Roman" w:hAnsi="Times New Roman" w:cs="Times New Roman"/>
          <w:sz w:val="20"/>
          <w:szCs w:val="20"/>
          <w:lang w:val="en-GB"/>
        </w:rPr>
        <w:sectPr w:rsidR="000E4CC7" w:rsidRPr="00C173C7" w:rsidSect="00E9629E">
          <w:type w:val="continuous"/>
          <w:pgSz w:w="12240" w:h="15840"/>
          <w:pgMar w:top="1152" w:right="778" w:bottom="965" w:left="1152" w:header="720" w:footer="720" w:gutter="0"/>
          <w:cols w:space="346"/>
          <w:docGrid w:linePitch="360"/>
        </w:sectPr>
      </w:pPr>
    </w:p>
    <w:p w14:paraId="512E3B98" w14:textId="686FF03E" w:rsidR="00EC3C95" w:rsidRDefault="00EC3C95" w:rsidP="00EC3C95">
      <w:pPr>
        <w:pStyle w:val="Heading2"/>
        <w:spacing w:line="240" w:lineRule="auto"/>
        <w:rPr>
          <w:rFonts w:ascii="Times New Roman" w:hAnsi="Times New Roman" w:cs="Times New Roman"/>
          <w:bCs/>
          <w:iCs/>
          <w:color w:val="auto"/>
          <w:sz w:val="20"/>
          <w:szCs w:val="20"/>
          <w:lang w:val="en-GB"/>
        </w:rPr>
        <w:sectPr w:rsidR="00EC3C95" w:rsidSect="000E4CC7">
          <w:type w:val="continuous"/>
          <w:pgSz w:w="12240" w:h="15840"/>
          <w:pgMar w:top="1152" w:right="778" w:bottom="965" w:left="1152" w:header="720" w:footer="720" w:gutter="0"/>
          <w:cols w:num="2" w:space="720"/>
          <w:docGrid w:linePitch="360"/>
        </w:sectPr>
      </w:pPr>
    </w:p>
    <w:p w14:paraId="6674C203" w14:textId="034A370A" w:rsidR="00027B3C" w:rsidRDefault="00027B3C" w:rsidP="00EC3C95">
      <w:pPr>
        <w:pStyle w:val="Heading2"/>
        <w:spacing w:line="240" w:lineRule="auto"/>
        <w:rPr>
          <w:rFonts w:ascii="Times New Roman" w:hAnsi="Times New Roman" w:cs="Times New Roman"/>
          <w:bCs/>
          <w:iCs/>
          <w:color w:val="auto"/>
          <w:sz w:val="20"/>
          <w:szCs w:val="20"/>
          <w:lang w:val="en-GB"/>
        </w:rPr>
        <w:sectPr w:rsidR="00027B3C" w:rsidSect="00EC3C95">
          <w:type w:val="continuous"/>
          <w:pgSz w:w="12240" w:h="15840" w:code="1"/>
          <w:pgMar w:top="1152" w:right="778" w:bottom="965" w:left="1152" w:header="720" w:footer="720" w:gutter="0"/>
          <w:cols w:num="2" w:space="720"/>
          <w:vAlign w:val="both"/>
          <w:docGrid w:linePitch="360"/>
        </w:sectPr>
      </w:pPr>
    </w:p>
    <w:p w14:paraId="7A3DA03D" w14:textId="1086A757" w:rsidR="00BF25FC" w:rsidRDefault="00BF25FC" w:rsidP="00EC3C95">
      <w:pPr>
        <w:pStyle w:val="Heading2"/>
        <w:spacing w:line="240" w:lineRule="auto"/>
        <w:rPr>
          <w:rFonts w:ascii="Times New Roman" w:hAnsi="Times New Roman" w:cs="Times New Roman"/>
          <w:bCs/>
          <w:iCs/>
          <w:color w:val="auto"/>
          <w:sz w:val="20"/>
          <w:szCs w:val="20"/>
          <w:lang w:val="en-GB"/>
        </w:rPr>
        <w:sectPr w:rsidR="00BF25FC" w:rsidSect="00BF25FC">
          <w:type w:val="continuous"/>
          <w:pgSz w:w="12240" w:h="15840"/>
          <w:pgMar w:top="1152" w:right="778" w:bottom="965" w:left="1152" w:header="720" w:footer="720" w:gutter="0"/>
          <w:cols w:num="2" w:space="720"/>
          <w:docGrid w:linePitch="360"/>
        </w:sectPr>
      </w:pPr>
    </w:p>
    <w:p w14:paraId="02D2A9BD" w14:textId="481FC6EC" w:rsidR="000E4CC7" w:rsidRPr="002D7771" w:rsidRDefault="00F84BB1" w:rsidP="00EC3C95">
      <w:pPr>
        <w:pStyle w:val="Heading2"/>
        <w:spacing w:line="240" w:lineRule="auto"/>
        <w:rPr>
          <w:rFonts w:ascii="Times New Roman" w:hAnsi="Times New Roman" w:cs="Times New Roman"/>
          <w:bCs/>
          <w:iCs/>
          <w:color w:val="auto"/>
          <w:sz w:val="20"/>
          <w:szCs w:val="20"/>
          <w:lang w:val="en-GB"/>
        </w:rPr>
      </w:pPr>
      <w:r>
        <w:rPr>
          <w:rFonts w:ascii="Times New Roman" w:hAnsi="Times New Roman" w:cs="Times New Roman"/>
          <w:bCs/>
          <w:iCs/>
          <w:color w:val="auto"/>
          <w:sz w:val="20"/>
          <w:szCs w:val="20"/>
          <w:lang w:val="en-GB"/>
        </w:rPr>
        <w:t>D</w:t>
      </w:r>
      <w:r w:rsidR="00EC3C95">
        <w:rPr>
          <w:rFonts w:ascii="Times New Roman" w:hAnsi="Times New Roman" w:cs="Times New Roman"/>
          <w:bCs/>
          <w:iCs/>
          <w:color w:val="auto"/>
          <w:sz w:val="20"/>
          <w:szCs w:val="20"/>
          <w:lang w:val="en-GB"/>
        </w:rPr>
        <w:t xml:space="preserve">. </w:t>
      </w:r>
      <w:r w:rsidR="005245EF">
        <w:rPr>
          <w:rFonts w:ascii="Times New Roman" w:hAnsi="Times New Roman" w:cs="Times New Roman"/>
          <w:bCs/>
          <w:iCs/>
          <w:color w:val="auto"/>
          <w:sz w:val="20"/>
          <w:szCs w:val="20"/>
          <w:lang w:val="en-GB"/>
        </w:rPr>
        <w:t>Data Collection and P</w:t>
      </w:r>
      <w:r w:rsidR="000E4CC7" w:rsidRPr="002D7771">
        <w:rPr>
          <w:rFonts w:ascii="Times New Roman" w:hAnsi="Times New Roman" w:cs="Times New Roman"/>
          <w:bCs/>
          <w:iCs/>
          <w:color w:val="auto"/>
          <w:sz w:val="20"/>
          <w:szCs w:val="20"/>
          <w:lang w:val="en-GB"/>
        </w:rPr>
        <w:t>rocessing</w:t>
      </w:r>
    </w:p>
    <w:p w14:paraId="6695FDBA" w14:textId="77777777" w:rsidR="005245EF" w:rsidRDefault="00B509A0" w:rsidP="00B509A0">
      <w:pPr>
        <w:jc w:val="both"/>
        <w:rPr>
          <w:rFonts w:ascii="Times New Roman" w:hAnsi="Times New Roman" w:cs="Times New Roman"/>
          <w:sz w:val="20"/>
          <w:szCs w:val="20"/>
          <w:lang w:val="en-GB"/>
        </w:rPr>
      </w:pPr>
      <w:r w:rsidRPr="00B509A0">
        <w:rPr>
          <w:rFonts w:ascii="Times New Roman" w:hAnsi="Times New Roman" w:cs="Times New Roman"/>
          <w:sz w:val="20"/>
          <w:szCs w:val="20"/>
          <w:lang w:val="en-GB"/>
        </w:rPr>
        <w:t xml:space="preserve">The xy coordinates of all lighting fixtures </w:t>
      </w:r>
      <w:proofErr w:type="gramStart"/>
      <w:r w:rsidRPr="00B509A0">
        <w:rPr>
          <w:rFonts w:ascii="Times New Roman" w:hAnsi="Times New Roman" w:cs="Times New Roman"/>
          <w:sz w:val="20"/>
          <w:szCs w:val="20"/>
          <w:lang w:val="en-GB"/>
        </w:rPr>
        <w:t>were documented</w:t>
      </w:r>
      <w:proofErr w:type="gramEnd"/>
      <w:r w:rsidRPr="00B509A0">
        <w:rPr>
          <w:rFonts w:ascii="Times New Roman" w:hAnsi="Times New Roman" w:cs="Times New Roman"/>
          <w:sz w:val="20"/>
          <w:szCs w:val="20"/>
          <w:lang w:val="en-GB"/>
        </w:rPr>
        <w:t xml:space="preserve"> using venue technical plans verified through direct observation. In addition to locational data, attributes of the fixtures such as type, model, DMX channel allocation, and power ratings </w:t>
      </w:r>
      <w:proofErr w:type="gramStart"/>
      <w:r w:rsidRPr="00B509A0">
        <w:rPr>
          <w:rFonts w:ascii="Times New Roman" w:hAnsi="Times New Roman" w:cs="Times New Roman"/>
          <w:sz w:val="20"/>
          <w:szCs w:val="20"/>
          <w:lang w:val="en-GB"/>
        </w:rPr>
        <w:t>were recorded</w:t>
      </w:r>
      <w:proofErr w:type="gramEnd"/>
      <w:r w:rsidRPr="00B509A0">
        <w:rPr>
          <w:rFonts w:ascii="Times New Roman" w:hAnsi="Times New Roman" w:cs="Times New Roman"/>
          <w:sz w:val="20"/>
          <w:szCs w:val="20"/>
          <w:lang w:val="en-GB"/>
        </w:rPr>
        <w:t xml:space="preserve">. Overall, </w:t>
      </w:r>
      <w:proofErr w:type="gramStart"/>
      <w:r w:rsidRPr="00B509A0">
        <w:rPr>
          <w:rFonts w:ascii="Times New Roman" w:hAnsi="Times New Roman" w:cs="Times New Roman"/>
          <w:sz w:val="20"/>
          <w:szCs w:val="20"/>
          <w:lang w:val="en-GB"/>
        </w:rPr>
        <w:t>a total of 44</w:t>
      </w:r>
      <w:proofErr w:type="gramEnd"/>
      <w:r w:rsidRPr="00B509A0">
        <w:rPr>
          <w:rFonts w:ascii="Times New Roman" w:hAnsi="Times New Roman" w:cs="Times New Roman"/>
          <w:sz w:val="20"/>
          <w:szCs w:val="20"/>
          <w:lang w:val="en-GB"/>
        </w:rPr>
        <w:t xml:space="preserve"> fixtures were documented for Saro The Musical and 46 fixtures for Death and the King's Horseman. For the illuminance data, measurements </w:t>
      </w:r>
      <w:proofErr w:type="gramStart"/>
      <w:r w:rsidRPr="00B509A0">
        <w:rPr>
          <w:rFonts w:ascii="Times New Roman" w:hAnsi="Times New Roman" w:cs="Times New Roman"/>
          <w:sz w:val="20"/>
          <w:szCs w:val="20"/>
          <w:lang w:val="en-GB"/>
        </w:rPr>
        <w:t>were obtained</w:t>
      </w:r>
      <w:proofErr w:type="gramEnd"/>
      <w:r w:rsidRPr="00B509A0">
        <w:rPr>
          <w:rFonts w:ascii="Times New Roman" w:hAnsi="Times New Roman" w:cs="Times New Roman"/>
          <w:sz w:val="20"/>
          <w:szCs w:val="20"/>
          <w:lang w:val="en-GB"/>
        </w:rPr>
        <w:t xml:space="preserve"> using a Konica Minolta T-10A meter at nine grid points acros</w:t>
      </w:r>
      <w:r w:rsidR="00F84BB1">
        <w:rPr>
          <w:rFonts w:ascii="Times New Roman" w:hAnsi="Times New Roman" w:cs="Times New Roman"/>
          <w:sz w:val="20"/>
          <w:szCs w:val="20"/>
          <w:lang w:val="en-GB"/>
        </w:rPr>
        <w:t>s</w:t>
      </w:r>
      <w:r w:rsidR="005245EF">
        <w:rPr>
          <w:rFonts w:ascii="Times New Roman" w:hAnsi="Times New Roman" w:cs="Times New Roman"/>
          <w:sz w:val="20"/>
          <w:szCs w:val="20"/>
          <w:lang w:val="en-GB"/>
        </w:rPr>
        <w:t xml:space="preserve"> the stage (3 × 3 grid) during </w:t>
      </w:r>
      <w:r w:rsidRPr="00B509A0">
        <w:rPr>
          <w:rFonts w:ascii="Times New Roman" w:hAnsi="Times New Roman" w:cs="Times New Roman"/>
          <w:sz w:val="20"/>
          <w:szCs w:val="20"/>
          <w:lang w:val="en-GB"/>
        </w:rPr>
        <w:t>technical rehearsals. For the DMX timing data, system response was analyzed using DMX-Workshop software capturing console-to-fixture latency, fade time accuracy, and protocol integrity.</w:t>
      </w:r>
    </w:p>
    <w:p w14:paraId="725C3211" w14:textId="51D649A3" w:rsidR="00EC3C95" w:rsidRDefault="00027B3C" w:rsidP="00B509A0">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B509A0" w:rsidRPr="00B509A0">
        <w:rPr>
          <w:rFonts w:ascii="Times New Roman" w:hAnsi="Times New Roman" w:cs="Times New Roman"/>
          <w:sz w:val="20"/>
          <w:szCs w:val="20"/>
          <w:lang w:val="en-GB"/>
        </w:rPr>
        <w:t>We analysed the technical performance of the lighting systems using descriptive statistics</w:t>
      </w:r>
      <w:r w:rsidR="0062768D">
        <w:rPr>
          <w:rFonts w:ascii="Times New Roman" w:hAnsi="Times New Roman" w:cs="Times New Roman"/>
          <w:sz w:val="20"/>
          <w:szCs w:val="20"/>
          <w:lang w:val="en-GB"/>
        </w:rPr>
        <w:t xml:space="preserve"> (mean, standard deviation, 95% confidence intervals)</w:t>
      </w:r>
      <w:r w:rsidR="00B509A0" w:rsidRPr="00B509A0">
        <w:rPr>
          <w:rFonts w:ascii="Times New Roman" w:hAnsi="Times New Roman" w:cs="Times New Roman"/>
          <w:sz w:val="20"/>
          <w:szCs w:val="20"/>
          <w:lang w:val="en-GB"/>
        </w:rPr>
        <w:t>, power reduction calculations,</w:t>
      </w:r>
      <w:r w:rsidR="0062768D">
        <w:rPr>
          <w:rFonts w:ascii="Times New Roman" w:hAnsi="Times New Roman" w:cs="Times New Roman"/>
          <w:sz w:val="20"/>
          <w:szCs w:val="20"/>
          <w:lang w:val="en-GB"/>
        </w:rPr>
        <w:t xml:space="preserve"> one-way ANOVA for illuminance uniformity comparisons</w:t>
      </w:r>
      <w:r w:rsidR="00B509A0" w:rsidRPr="00B509A0">
        <w:rPr>
          <w:rFonts w:ascii="Times New Roman" w:hAnsi="Times New Roman" w:cs="Times New Roman"/>
          <w:sz w:val="20"/>
          <w:szCs w:val="20"/>
          <w:lang w:val="en-GB"/>
        </w:rPr>
        <w:t xml:space="preserve"> and thematic coding of interview data. The resulting quantitative data </w:t>
      </w:r>
      <w:proofErr w:type="gramStart"/>
      <w:r w:rsidR="00B509A0" w:rsidRPr="00B509A0">
        <w:rPr>
          <w:rFonts w:ascii="Times New Roman" w:hAnsi="Times New Roman" w:cs="Times New Roman"/>
          <w:sz w:val="20"/>
          <w:szCs w:val="20"/>
          <w:lang w:val="en-GB"/>
        </w:rPr>
        <w:t>were further classified</w:t>
      </w:r>
      <w:proofErr w:type="gramEnd"/>
      <w:r w:rsidR="00B509A0" w:rsidRPr="00B509A0">
        <w:rPr>
          <w:rFonts w:ascii="Times New Roman" w:hAnsi="Times New Roman" w:cs="Times New Roman"/>
          <w:sz w:val="20"/>
          <w:szCs w:val="20"/>
          <w:lang w:val="en-GB"/>
        </w:rPr>
        <w:t xml:space="preserve"> into three categories depicting illuminance intensity, power efficiency, and system response</w:t>
      </w:r>
      <w:r w:rsidR="00EC3C95">
        <w:rPr>
          <w:rFonts w:ascii="Times New Roman" w:hAnsi="Times New Roman" w:cs="Times New Roman"/>
          <w:sz w:val="20"/>
          <w:szCs w:val="20"/>
          <w:lang w:val="en-GB"/>
        </w:rPr>
        <w:t>.</w:t>
      </w:r>
    </w:p>
    <w:p w14:paraId="559E6749" w14:textId="585FB66E" w:rsidR="00BF25FC" w:rsidRDefault="00BF25FC" w:rsidP="00B509A0">
      <w:pPr>
        <w:jc w:val="both"/>
        <w:rPr>
          <w:rFonts w:ascii="Times New Roman" w:hAnsi="Times New Roman" w:cs="Times New Roman"/>
          <w:sz w:val="20"/>
          <w:szCs w:val="20"/>
          <w:lang w:val="en-GB"/>
        </w:rPr>
      </w:pPr>
    </w:p>
    <w:p w14:paraId="6AE68388" w14:textId="7638E8EE" w:rsidR="005245EF" w:rsidRDefault="005245EF" w:rsidP="00B509A0">
      <w:pPr>
        <w:jc w:val="both"/>
        <w:rPr>
          <w:rFonts w:ascii="Times New Roman" w:hAnsi="Times New Roman" w:cs="Times New Roman"/>
          <w:sz w:val="20"/>
          <w:szCs w:val="20"/>
          <w:lang w:val="en-GB"/>
        </w:rPr>
      </w:pPr>
    </w:p>
    <w:p w14:paraId="004CD7EB" w14:textId="04134EF4" w:rsidR="005245EF" w:rsidRDefault="005245EF" w:rsidP="00B509A0">
      <w:pPr>
        <w:jc w:val="both"/>
        <w:rPr>
          <w:rFonts w:ascii="Times New Roman" w:hAnsi="Times New Roman" w:cs="Times New Roman"/>
          <w:sz w:val="20"/>
          <w:szCs w:val="20"/>
          <w:lang w:val="en-GB"/>
        </w:rPr>
      </w:pPr>
    </w:p>
    <w:p w14:paraId="73C89847" w14:textId="7FC7D58F" w:rsidR="005245EF" w:rsidRDefault="005245EF" w:rsidP="00B509A0">
      <w:pPr>
        <w:jc w:val="both"/>
        <w:rPr>
          <w:rFonts w:ascii="Times New Roman" w:hAnsi="Times New Roman" w:cs="Times New Roman"/>
          <w:sz w:val="20"/>
          <w:szCs w:val="20"/>
          <w:lang w:val="en-GB"/>
        </w:rPr>
      </w:pPr>
    </w:p>
    <w:p w14:paraId="3058CD48" w14:textId="70D1C89C" w:rsidR="005245EF" w:rsidRDefault="005245EF" w:rsidP="00B509A0">
      <w:pPr>
        <w:jc w:val="both"/>
        <w:rPr>
          <w:rFonts w:ascii="Times New Roman" w:hAnsi="Times New Roman" w:cs="Times New Roman"/>
          <w:sz w:val="20"/>
          <w:szCs w:val="20"/>
          <w:lang w:val="en-GB"/>
        </w:rPr>
      </w:pPr>
    </w:p>
    <w:p w14:paraId="3B0A079A" w14:textId="0AE1E9B6" w:rsidR="005245EF" w:rsidRDefault="005245EF" w:rsidP="00B509A0">
      <w:pPr>
        <w:jc w:val="both"/>
        <w:rPr>
          <w:rFonts w:ascii="Times New Roman" w:hAnsi="Times New Roman" w:cs="Times New Roman"/>
          <w:sz w:val="20"/>
          <w:szCs w:val="20"/>
          <w:lang w:val="en-GB"/>
        </w:rPr>
      </w:pPr>
    </w:p>
    <w:p w14:paraId="17CFA963" w14:textId="7DDF0A3F" w:rsidR="005245EF" w:rsidRDefault="005245EF" w:rsidP="00B509A0">
      <w:pPr>
        <w:jc w:val="both"/>
        <w:rPr>
          <w:rFonts w:ascii="Times New Roman" w:hAnsi="Times New Roman" w:cs="Times New Roman"/>
          <w:sz w:val="20"/>
          <w:szCs w:val="20"/>
          <w:lang w:val="en-GB"/>
        </w:rPr>
      </w:pPr>
    </w:p>
    <w:p w14:paraId="70991B54" w14:textId="1AC1FD2E" w:rsidR="005245EF" w:rsidRDefault="005245EF" w:rsidP="00B509A0">
      <w:pPr>
        <w:jc w:val="both"/>
        <w:rPr>
          <w:rFonts w:ascii="Times New Roman" w:hAnsi="Times New Roman" w:cs="Times New Roman"/>
          <w:sz w:val="20"/>
          <w:szCs w:val="20"/>
          <w:lang w:val="en-GB"/>
        </w:rPr>
      </w:pPr>
    </w:p>
    <w:p w14:paraId="1F1A9AAA" w14:textId="4635AAA2" w:rsidR="005245EF" w:rsidRDefault="005245EF" w:rsidP="00B509A0">
      <w:pPr>
        <w:jc w:val="both"/>
        <w:rPr>
          <w:rFonts w:ascii="Times New Roman" w:hAnsi="Times New Roman" w:cs="Times New Roman"/>
          <w:sz w:val="20"/>
          <w:szCs w:val="20"/>
          <w:lang w:val="en-GB"/>
        </w:rPr>
      </w:pPr>
    </w:p>
    <w:p w14:paraId="13DFDA74" w14:textId="511B4629" w:rsidR="005245EF" w:rsidRDefault="005245EF" w:rsidP="00B509A0">
      <w:pPr>
        <w:jc w:val="both"/>
        <w:rPr>
          <w:rFonts w:ascii="Times New Roman" w:hAnsi="Times New Roman" w:cs="Times New Roman"/>
          <w:sz w:val="20"/>
          <w:szCs w:val="20"/>
          <w:lang w:val="en-GB"/>
        </w:rPr>
      </w:pPr>
    </w:p>
    <w:p w14:paraId="1E5F7115" w14:textId="4427367B" w:rsidR="005245EF" w:rsidRDefault="005245EF" w:rsidP="00B509A0">
      <w:pPr>
        <w:jc w:val="both"/>
        <w:rPr>
          <w:rFonts w:ascii="Times New Roman" w:hAnsi="Times New Roman" w:cs="Times New Roman"/>
          <w:sz w:val="20"/>
          <w:szCs w:val="20"/>
          <w:lang w:val="en-GB"/>
        </w:rPr>
      </w:pPr>
    </w:p>
    <w:p w14:paraId="2F61D54A" w14:textId="01839209" w:rsidR="005245EF" w:rsidRDefault="005245EF" w:rsidP="00B509A0">
      <w:pPr>
        <w:jc w:val="both"/>
        <w:rPr>
          <w:rFonts w:ascii="Times New Roman" w:hAnsi="Times New Roman" w:cs="Times New Roman"/>
          <w:sz w:val="20"/>
          <w:szCs w:val="20"/>
          <w:lang w:val="en-GB"/>
        </w:rPr>
      </w:pPr>
    </w:p>
    <w:p w14:paraId="2F86030A" w14:textId="6BDC437D" w:rsidR="005245EF" w:rsidRDefault="005245EF" w:rsidP="00B509A0">
      <w:pPr>
        <w:jc w:val="both"/>
        <w:rPr>
          <w:rFonts w:ascii="Times New Roman" w:hAnsi="Times New Roman" w:cs="Times New Roman"/>
          <w:sz w:val="20"/>
          <w:szCs w:val="20"/>
          <w:lang w:val="en-GB"/>
        </w:rPr>
      </w:pPr>
    </w:p>
    <w:p w14:paraId="7C15F2EA" w14:textId="47C6A905" w:rsidR="005245EF" w:rsidRDefault="005245EF" w:rsidP="00B509A0">
      <w:pPr>
        <w:jc w:val="both"/>
        <w:rPr>
          <w:rFonts w:ascii="Times New Roman" w:hAnsi="Times New Roman" w:cs="Times New Roman"/>
          <w:sz w:val="20"/>
          <w:szCs w:val="20"/>
          <w:lang w:val="en-GB"/>
        </w:rPr>
      </w:pPr>
    </w:p>
    <w:p w14:paraId="2B4F0FD1" w14:textId="77777777" w:rsidR="005245EF" w:rsidRPr="002D7771" w:rsidRDefault="005245EF" w:rsidP="00B509A0">
      <w:pPr>
        <w:jc w:val="both"/>
        <w:rPr>
          <w:rFonts w:ascii="Times New Roman" w:hAnsi="Times New Roman" w:cs="Times New Roman"/>
          <w:sz w:val="20"/>
          <w:szCs w:val="20"/>
          <w:lang w:val="en-GB"/>
        </w:rPr>
        <w:sectPr w:rsidR="005245EF" w:rsidRPr="002D7771" w:rsidSect="00BF25FC">
          <w:type w:val="continuous"/>
          <w:pgSz w:w="12240" w:h="15840"/>
          <w:pgMar w:top="1152" w:right="778" w:bottom="965" w:left="1152" w:header="720" w:footer="720" w:gutter="0"/>
          <w:cols w:num="2" w:space="720"/>
          <w:docGrid w:linePitch="360"/>
        </w:sectPr>
      </w:pPr>
    </w:p>
    <w:p w14:paraId="7A7B7FE1" w14:textId="3516DB90" w:rsidR="00D20740" w:rsidRPr="00B509A0" w:rsidRDefault="00B509A0" w:rsidP="00D20740">
      <w:pPr>
        <w:pStyle w:val="Heading3"/>
        <w:spacing w:line="240" w:lineRule="auto"/>
        <w:rPr>
          <w:rFonts w:cs="Times New Roman"/>
          <w:b w:val="0"/>
          <w:iCs/>
          <w:sz w:val="20"/>
          <w:szCs w:val="20"/>
          <w:lang w:val="en-GB"/>
        </w:rPr>
      </w:pPr>
      <w:r w:rsidRPr="00B509A0">
        <w:rPr>
          <w:rFonts w:cs="Times New Roman"/>
          <w:b w:val="0"/>
          <w:iCs/>
          <w:sz w:val="20"/>
          <w:szCs w:val="20"/>
          <w:lang w:val="en-GB"/>
        </w:rPr>
        <w:t xml:space="preserve">E. </w:t>
      </w:r>
      <w:r w:rsidR="00D20740" w:rsidRPr="00B509A0">
        <w:rPr>
          <w:rFonts w:cs="Times New Roman"/>
          <w:b w:val="0"/>
          <w:iCs/>
          <w:sz w:val="20"/>
          <w:szCs w:val="20"/>
          <w:lang w:val="en-GB"/>
        </w:rPr>
        <w:t xml:space="preserve">Spatial </w:t>
      </w:r>
      <w:r w:rsidR="00027B3C">
        <w:rPr>
          <w:rFonts w:cs="Times New Roman"/>
          <w:b w:val="0"/>
          <w:iCs/>
          <w:sz w:val="20"/>
          <w:szCs w:val="20"/>
          <w:lang w:val="en-GB"/>
        </w:rPr>
        <w:t>and Statistical</w:t>
      </w:r>
      <w:r w:rsidR="00D20740" w:rsidRPr="00B509A0">
        <w:rPr>
          <w:rFonts w:cs="Times New Roman"/>
          <w:b w:val="0"/>
          <w:iCs/>
          <w:sz w:val="20"/>
          <w:szCs w:val="20"/>
          <w:lang w:val="en-GB"/>
        </w:rPr>
        <w:t xml:space="preserve"> Analysis</w:t>
      </w:r>
    </w:p>
    <w:p w14:paraId="002DA1CC" w14:textId="4F5BD3CE" w:rsidR="00027B3C" w:rsidRPr="00027B3C" w:rsidRDefault="008C30BE" w:rsidP="00027B3C">
      <w:pPr>
        <w:spacing w:line="240" w:lineRule="auto"/>
        <w:jc w:val="both"/>
        <w:rPr>
          <w:rFonts w:ascii="Times New Roman" w:hAnsi="Times New Roman" w:cs="Times New Roman"/>
          <w:sz w:val="20"/>
          <w:szCs w:val="20"/>
          <w:lang w:val="en-GB"/>
        </w:rPr>
      </w:pPr>
      <w:r w:rsidRPr="002D7771">
        <w:rPr>
          <w:rFonts w:ascii="Times New Roman" w:hAnsi="Times New Roman" w:cs="Times New Roman"/>
          <w:sz w:val="20"/>
          <w:szCs w:val="20"/>
          <w:lang w:val="en-GB"/>
        </w:rPr>
        <w:t xml:space="preserve">          </w:t>
      </w:r>
      <w:r w:rsidR="005245EF">
        <w:rPr>
          <w:rFonts w:ascii="Times New Roman" w:hAnsi="Times New Roman" w:cs="Times New Roman"/>
          <w:sz w:val="20"/>
          <w:szCs w:val="20"/>
          <w:lang w:val="en-GB"/>
        </w:rPr>
        <w:t>Three different (</w:t>
      </w:r>
      <w:r w:rsidR="005245EF" w:rsidRPr="00027B3C">
        <w:rPr>
          <w:rFonts w:ascii="Times New Roman" w:hAnsi="Times New Roman" w:cs="Times New Roman"/>
          <w:sz w:val="20"/>
          <w:szCs w:val="20"/>
          <w:lang w:val="en-GB"/>
        </w:rPr>
        <w:t>power consumption analysis, illuminance distribution analysis, and</w:t>
      </w:r>
      <w:r w:rsidR="005245EF">
        <w:rPr>
          <w:rFonts w:ascii="Times New Roman" w:hAnsi="Times New Roman" w:cs="Times New Roman"/>
          <w:sz w:val="20"/>
          <w:szCs w:val="20"/>
          <w:lang w:val="en-GB"/>
        </w:rPr>
        <w:t xml:space="preserve"> DMX system timing analysis</w:t>
      </w:r>
      <w:r w:rsidR="005245EF">
        <w:rPr>
          <w:rFonts w:ascii="Times New Roman" w:hAnsi="Times New Roman" w:cs="Times New Roman"/>
          <w:sz w:val="20"/>
          <w:szCs w:val="20"/>
          <w:lang w:val="en-GB"/>
        </w:rPr>
        <w:t>)</w:t>
      </w:r>
      <w:r w:rsidR="00027B3C" w:rsidRPr="00027B3C">
        <w:rPr>
          <w:rFonts w:ascii="Times New Roman" w:hAnsi="Times New Roman" w:cs="Times New Roman"/>
          <w:sz w:val="20"/>
          <w:szCs w:val="20"/>
          <w:lang w:val="en-GB"/>
        </w:rPr>
        <w:t xml:space="preserve"> analys</w:t>
      </w:r>
      <w:r w:rsidR="00087527">
        <w:rPr>
          <w:rFonts w:ascii="Times New Roman" w:hAnsi="Times New Roman" w:cs="Times New Roman"/>
          <w:sz w:val="20"/>
          <w:szCs w:val="20"/>
          <w:lang w:val="en-GB"/>
        </w:rPr>
        <w:t>es were carried out;</w:t>
      </w:r>
    </w:p>
    <w:p w14:paraId="1312C268" w14:textId="0E97FFC4" w:rsidR="00027B3C" w:rsidRPr="00087527" w:rsidRDefault="00027B3C" w:rsidP="00087527">
      <w:pPr>
        <w:pStyle w:val="ListParagraph"/>
        <w:numPr>
          <w:ilvl w:val="0"/>
          <w:numId w:val="24"/>
        </w:numPr>
        <w:spacing w:line="240" w:lineRule="auto"/>
        <w:jc w:val="both"/>
        <w:rPr>
          <w:rFonts w:ascii="Times New Roman" w:hAnsi="Times New Roman" w:cs="Times New Roman"/>
          <w:sz w:val="20"/>
          <w:szCs w:val="20"/>
          <w:lang w:val="en-GB"/>
        </w:rPr>
      </w:pPr>
      <w:r w:rsidRPr="00027B3C">
        <w:rPr>
          <w:rFonts w:ascii="Times New Roman" w:hAnsi="Times New Roman" w:cs="Times New Roman"/>
          <w:sz w:val="20"/>
          <w:szCs w:val="20"/>
          <w:lang w:val="en-GB"/>
        </w:rPr>
        <w:t xml:space="preserve"> Power Consumption Analysis: Power consumption </w:t>
      </w:r>
      <w:proofErr w:type="gramStart"/>
      <w:r w:rsidRPr="00027B3C">
        <w:rPr>
          <w:rFonts w:ascii="Times New Roman" w:hAnsi="Times New Roman" w:cs="Times New Roman"/>
          <w:sz w:val="20"/>
          <w:szCs w:val="20"/>
          <w:lang w:val="en-GB"/>
        </w:rPr>
        <w:t>was monitored</w:t>
      </w:r>
      <w:proofErr w:type="gramEnd"/>
      <w:r w:rsidRPr="00027B3C">
        <w:rPr>
          <w:rFonts w:ascii="Times New Roman" w:hAnsi="Times New Roman" w:cs="Times New Roman"/>
          <w:sz w:val="20"/>
          <w:szCs w:val="20"/>
          <w:lang w:val="en-GB"/>
        </w:rPr>
        <w:t xml:space="preserve"> using a Fluke 345 power quality clamp meter</w:t>
      </w:r>
      <w:r w:rsidR="00087527">
        <w:rPr>
          <w:rFonts w:ascii="Times New Roman" w:hAnsi="Times New Roman" w:cs="Times New Roman"/>
          <w:sz w:val="20"/>
          <w:szCs w:val="20"/>
          <w:lang w:val="en-GB"/>
        </w:rPr>
        <w:t xml:space="preserve"> (</w:t>
      </w:r>
      <w:r w:rsidR="00087527">
        <w:rPr>
          <w:rFonts w:ascii="Times New Roman" w:hAnsi="Times New Roman" w:cs="Times New Roman"/>
          <w:lang w:val="en-GB"/>
        </w:rPr>
        <w:t>±</w:t>
      </w:r>
      <w:r w:rsidR="00087527">
        <w:rPr>
          <w:rFonts w:ascii="Times New Roman" w:hAnsi="Times New Roman" w:cs="Times New Roman"/>
          <w:lang w:val="en-GB"/>
        </w:rPr>
        <w:t>2% accuracy)</w:t>
      </w:r>
      <w:r w:rsidR="00087527">
        <w:rPr>
          <w:rFonts w:ascii="Times New Roman" w:hAnsi="Times New Roman" w:cs="Times New Roman"/>
          <w:sz w:val="20"/>
          <w:szCs w:val="20"/>
          <w:lang w:val="en-GB"/>
        </w:rPr>
        <w:t xml:space="preserve"> </w:t>
      </w:r>
      <w:r w:rsidRPr="00027B3C">
        <w:rPr>
          <w:rFonts w:ascii="Times New Roman" w:hAnsi="Times New Roman" w:cs="Times New Roman"/>
          <w:sz w:val="20"/>
          <w:szCs w:val="20"/>
          <w:lang w:val="en-GB"/>
        </w:rPr>
        <w:t>at the main distribution panel. Measurements</w:t>
      </w:r>
      <w:r w:rsidR="00BF25FC">
        <w:rPr>
          <w:rFonts w:ascii="Times New Roman" w:hAnsi="Times New Roman" w:cs="Times New Roman"/>
          <w:sz w:val="20"/>
          <w:szCs w:val="20"/>
          <w:lang w:val="en-GB"/>
        </w:rPr>
        <w:t xml:space="preserve"> were recorded for baseline (no</w:t>
      </w:r>
      <w:r w:rsidR="00087527">
        <w:rPr>
          <w:rFonts w:ascii="Times New Roman" w:hAnsi="Times New Roman" w:cs="Times New Roman"/>
          <w:sz w:val="20"/>
          <w:szCs w:val="20"/>
          <w:lang w:val="en-GB"/>
        </w:rPr>
        <w:t xml:space="preserve"> </w:t>
      </w:r>
      <w:r w:rsidRPr="00087527">
        <w:rPr>
          <w:rFonts w:ascii="Times New Roman" w:hAnsi="Times New Roman" w:cs="Times New Roman"/>
          <w:sz w:val="20"/>
          <w:szCs w:val="20"/>
          <w:lang w:val="en-GB"/>
        </w:rPr>
        <w:t>lighting), pre-show state, peak load (maximum intensity state), and average operating power over full performanc</w:t>
      </w:r>
      <w:r w:rsidR="00A26015" w:rsidRPr="00087527">
        <w:rPr>
          <w:rFonts w:ascii="Times New Roman" w:hAnsi="Times New Roman" w:cs="Times New Roman"/>
          <w:sz w:val="20"/>
          <w:szCs w:val="20"/>
          <w:lang w:val="en-GB"/>
        </w:rPr>
        <w:t>e duration.</w:t>
      </w:r>
    </w:p>
    <w:p w14:paraId="0A358518" w14:textId="77777777" w:rsidR="00A26015" w:rsidRPr="00A26015" w:rsidRDefault="00A26015" w:rsidP="00A26015">
      <w:pPr>
        <w:pStyle w:val="ListParagraph"/>
        <w:spacing w:line="240" w:lineRule="auto"/>
        <w:jc w:val="both"/>
        <w:rPr>
          <w:rFonts w:ascii="Times New Roman" w:hAnsi="Times New Roman" w:cs="Times New Roman"/>
          <w:sz w:val="20"/>
          <w:szCs w:val="20"/>
          <w:lang w:val="en-GB"/>
        </w:rPr>
      </w:pPr>
    </w:p>
    <w:p w14:paraId="1E5566E2" w14:textId="21EAF230" w:rsidR="00EC3C95" w:rsidRPr="00EC3C95" w:rsidRDefault="00027B3C" w:rsidP="00EC3C95">
      <w:pPr>
        <w:pStyle w:val="ListParagraph"/>
        <w:numPr>
          <w:ilvl w:val="0"/>
          <w:numId w:val="24"/>
        </w:numPr>
        <w:spacing w:line="240" w:lineRule="auto"/>
        <w:jc w:val="both"/>
        <w:rPr>
          <w:rFonts w:ascii="Times New Roman" w:eastAsiaTheme="minorEastAsia" w:hAnsi="Times New Roman" w:cs="Times New Roman"/>
          <w:sz w:val="20"/>
          <w:szCs w:val="20"/>
          <w:lang w:val="en-GB"/>
        </w:rPr>
      </w:pPr>
      <w:r w:rsidRPr="00027B3C">
        <w:rPr>
          <w:rFonts w:ascii="Times New Roman" w:hAnsi="Times New Roman" w:cs="Times New Roman"/>
          <w:sz w:val="20"/>
          <w:szCs w:val="20"/>
          <w:lang w:val="en-GB"/>
        </w:rPr>
        <w:t xml:space="preserve">Illuminance Distribution Analysis: Illuminance </w:t>
      </w:r>
      <w:proofErr w:type="gramStart"/>
      <w:r w:rsidRPr="00027B3C">
        <w:rPr>
          <w:rFonts w:ascii="Times New Roman" w:hAnsi="Times New Roman" w:cs="Times New Roman"/>
          <w:sz w:val="20"/>
          <w:szCs w:val="20"/>
          <w:lang w:val="en-GB"/>
        </w:rPr>
        <w:t>was measured</w:t>
      </w:r>
      <w:proofErr w:type="gramEnd"/>
      <w:r w:rsidRPr="00027B3C">
        <w:rPr>
          <w:rFonts w:ascii="Times New Roman" w:hAnsi="Times New Roman" w:cs="Times New Roman"/>
          <w:sz w:val="20"/>
          <w:szCs w:val="20"/>
          <w:lang w:val="en-GB"/>
        </w:rPr>
        <w:t xml:space="preserve"> using a calibrated Konica Minolta T-10 illuminance meter</w:t>
      </w:r>
      <w:r w:rsidR="00087527">
        <w:rPr>
          <w:rFonts w:ascii="Times New Roman" w:hAnsi="Times New Roman" w:cs="Times New Roman"/>
          <w:sz w:val="20"/>
          <w:szCs w:val="20"/>
          <w:lang w:val="en-GB"/>
        </w:rPr>
        <w:t xml:space="preserve"> (</w:t>
      </w:r>
      <w:r w:rsidR="00087527">
        <w:rPr>
          <w:rFonts w:ascii="Times New Roman" w:hAnsi="Times New Roman" w:cs="Times New Roman"/>
          <w:lang w:val="en-GB"/>
        </w:rPr>
        <w:t>±</w:t>
      </w:r>
      <w:r w:rsidR="00087527">
        <w:rPr>
          <w:rFonts w:ascii="Times New Roman" w:hAnsi="Times New Roman" w:cs="Times New Roman"/>
          <w:lang w:val="en-GB"/>
        </w:rPr>
        <w:t>2% accuracy)</w:t>
      </w:r>
      <w:r w:rsidRPr="00027B3C">
        <w:rPr>
          <w:rFonts w:ascii="Times New Roman" w:hAnsi="Times New Roman" w:cs="Times New Roman"/>
          <w:sz w:val="20"/>
          <w:szCs w:val="20"/>
          <w:lang w:val="en-GB"/>
        </w:rPr>
        <w:t xml:space="preserve"> at nine grid points across the stage (3 × 3 grid) during technical rehearsals. The measurement grid positions </w:t>
      </w:r>
      <w:proofErr w:type="gramStart"/>
      <w:r w:rsidRPr="00027B3C">
        <w:rPr>
          <w:rFonts w:ascii="Times New Roman" w:hAnsi="Times New Roman" w:cs="Times New Roman"/>
          <w:sz w:val="20"/>
          <w:szCs w:val="20"/>
          <w:lang w:val="en-GB"/>
        </w:rPr>
        <w:t>are presented</w:t>
      </w:r>
      <w:proofErr w:type="gramEnd"/>
      <w:r w:rsidRPr="00027B3C">
        <w:rPr>
          <w:rFonts w:ascii="Times New Roman" w:hAnsi="Times New Roman" w:cs="Times New Roman"/>
          <w:sz w:val="20"/>
          <w:szCs w:val="20"/>
          <w:lang w:val="en-GB"/>
        </w:rPr>
        <w:t xml:space="preserve"> in Table II.</w:t>
      </w:r>
    </w:p>
    <w:p w14:paraId="1DCAEDB6" w14:textId="6A916170" w:rsidR="00BF25FC" w:rsidRDefault="00BF25FC" w:rsidP="00BF25FC">
      <w:pPr>
        <w:pStyle w:val="ListParagraph"/>
        <w:rPr>
          <w:rFonts w:ascii="Times New Roman" w:eastAsiaTheme="minorEastAsia" w:hAnsi="Times New Roman" w:cs="Times New Roman"/>
          <w:sz w:val="20"/>
          <w:szCs w:val="20"/>
          <w:lang w:val="en-GB"/>
        </w:rPr>
      </w:pPr>
    </w:p>
    <w:p w14:paraId="6E0624A8" w14:textId="37EC567C" w:rsidR="00BF25FC" w:rsidRDefault="00BF25FC" w:rsidP="00A26015">
      <w:pPr>
        <w:pStyle w:val="ListParagraph"/>
        <w:jc w:val="center"/>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 xml:space="preserve">Table II: Illuminance measurements grid positions </w:t>
      </w:r>
    </w:p>
    <w:tbl>
      <w:tblPr>
        <w:tblStyle w:val="ListTable6Colorful1"/>
        <w:tblW w:w="0" w:type="auto"/>
        <w:tblLook w:val="04A0" w:firstRow="1" w:lastRow="0" w:firstColumn="1" w:lastColumn="0" w:noHBand="0" w:noVBand="1"/>
      </w:tblPr>
      <w:tblGrid>
        <w:gridCol w:w="1228"/>
        <w:gridCol w:w="1157"/>
        <w:gridCol w:w="1157"/>
        <w:gridCol w:w="1399"/>
      </w:tblGrid>
      <w:tr w:rsidR="00BF25FC" w14:paraId="23095712" w14:textId="77777777" w:rsidTr="00DF1D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5" w:type="dxa"/>
          </w:tcPr>
          <w:p w14:paraId="424A1EBB"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Position</w:t>
            </w:r>
          </w:p>
        </w:tc>
        <w:tc>
          <w:tcPr>
            <w:tcW w:w="2575" w:type="dxa"/>
          </w:tcPr>
          <w:p w14:paraId="3089CB2B" w14:textId="77777777" w:rsidR="00BF25FC" w:rsidRDefault="00BF25FC" w:rsidP="00DF1DB2">
            <w:pPr>
              <w:pStyle w:val="ListParagraph"/>
              <w:ind w:left="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X (m from center)</w:t>
            </w:r>
          </w:p>
        </w:tc>
        <w:tc>
          <w:tcPr>
            <w:tcW w:w="2575" w:type="dxa"/>
          </w:tcPr>
          <w:p w14:paraId="3144054B" w14:textId="77777777" w:rsidR="00BF25FC" w:rsidRDefault="00BF25FC" w:rsidP="00DF1DB2">
            <w:pPr>
              <w:pStyle w:val="ListParagraph"/>
              <w:ind w:left="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Y (m from center)</w:t>
            </w:r>
          </w:p>
        </w:tc>
        <w:tc>
          <w:tcPr>
            <w:tcW w:w="2575" w:type="dxa"/>
          </w:tcPr>
          <w:p w14:paraId="198BCB77" w14:textId="77777777" w:rsidR="00BF25FC" w:rsidRDefault="00BF25FC" w:rsidP="00DF1DB2">
            <w:pPr>
              <w:pStyle w:val="ListParagraph"/>
              <w:ind w:left="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Location</w:t>
            </w:r>
          </w:p>
        </w:tc>
      </w:tr>
      <w:tr w:rsidR="00BF25FC" w14:paraId="4985D764"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385E01EA"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1</w:t>
            </w:r>
          </w:p>
        </w:tc>
        <w:tc>
          <w:tcPr>
            <w:tcW w:w="2575" w:type="dxa"/>
          </w:tcPr>
          <w:p w14:paraId="097C4694"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-4.0</w:t>
            </w:r>
          </w:p>
        </w:tc>
        <w:tc>
          <w:tcPr>
            <w:tcW w:w="2575" w:type="dxa"/>
          </w:tcPr>
          <w:p w14:paraId="7FAC43B3"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-2.5</w:t>
            </w:r>
          </w:p>
        </w:tc>
        <w:tc>
          <w:tcPr>
            <w:tcW w:w="2575" w:type="dxa"/>
          </w:tcPr>
          <w:p w14:paraId="0EAE231D"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Upstage Left</w:t>
            </w:r>
          </w:p>
        </w:tc>
      </w:tr>
      <w:tr w:rsidR="00BF25FC" w14:paraId="6518C955"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2EA4F896"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w:t>
            </w:r>
          </w:p>
        </w:tc>
        <w:tc>
          <w:tcPr>
            <w:tcW w:w="2575" w:type="dxa"/>
          </w:tcPr>
          <w:p w14:paraId="09E1637E"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0</w:t>
            </w:r>
          </w:p>
        </w:tc>
        <w:tc>
          <w:tcPr>
            <w:tcW w:w="2575" w:type="dxa"/>
          </w:tcPr>
          <w:p w14:paraId="26B299D0"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-2.5</w:t>
            </w:r>
          </w:p>
        </w:tc>
        <w:tc>
          <w:tcPr>
            <w:tcW w:w="2575" w:type="dxa"/>
          </w:tcPr>
          <w:p w14:paraId="2CC38D84"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Upstage Center</w:t>
            </w:r>
          </w:p>
        </w:tc>
      </w:tr>
      <w:tr w:rsidR="00BF25FC" w14:paraId="15652A0A"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02F0AD8E"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3</w:t>
            </w:r>
          </w:p>
        </w:tc>
        <w:tc>
          <w:tcPr>
            <w:tcW w:w="2575" w:type="dxa"/>
          </w:tcPr>
          <w:p w14:paraId="663ED4BC"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+4.0</w:t>
            </w:r>
          </w:p>
        </w:tc>
        <w:tc>
          <w:tcPr>
            <w:tcW w:w="2575" w:type="dxa"/>
          </w:tcPr>
          <w:p w14:paraId="13741A53"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-2.5</w:t>
            </w:r>
          </w:p>
        </w:tc>
        <w:tc>
          <w:tcPr>
            <w:tcW w:w="2575" w:type="dxa"/>
          </w:tcPr>
          <w:p w14:paraId="6822AD74"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Upstage Right</w:t>
            </w:r>
          </w:p>
        </w:tc>
      </w:tr>
      <w:tr w:rsidR="00BF25FC" w14:paraId="5D322616"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650A6E83"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w:t>
            </w:r>
          </w:p>
        </w:tc>
        <w:tc>
          <w:tcPr>
            <w:tcW w:w="2575" w:type="dxa"/>
          </w:tcPr>
          <w:p w14:paraId="5C3E9039"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-4.0</w:t>
            </w:r>
          </w:p>
        </w:tc>
        <w:tc>
          <w:tcPr>
            <w:tcW w:w="2575" w:type="dxa"/>
          </w:tcPr>
          <w:p w14:paraId="672FC57A"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0</w:t>
            </w:r>
          </w:p>
        </w:tc>
        <w:tc>
          <w:tcPr>
            <w:tcW w:w="2575" w:type="dxa"/>
          </w:tcPr>
          <w:p w14:paraId="2EB7D34E"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Center Left</w:t>
            </w:r>
          </w:p>
        </w:tc>
      </w:tr>
      <w:tr w:rsidR="00BF25FC" w14:paraId="7F67D982"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67EBF028"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5</w:t>
            </w:r>
          </w:p>
        </w:tc>
        <w:tc>
          <w:tcPr>
            <w:tcW w:w="2575" w:type="dxa"/>
          </w:tcPr>
          <w:p w14:paraId="61692A63"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0</w:t>
            </w:r>
          </w:p>
        </w:tc>
        <w:tc>
          <w:tcPr>
            <w:tcW w:w="2575" w:type="dxa"/>
          </w:tcPr>
          <w:p w14:paraId="1A8BFB79"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0</w:t>
            </w:r>
          </w:p>
        </w:tc>
        <w:tc>
          <w:tcPr>
            <w:tcW w:w="2575" w:type="dxa"/>
          </w:tcPr>
          <w:p w14:paraId="073B0CD4"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Center</w:t>
            </w:r>
          </w:p>
        </w:tc>
      </w:tr>
      <w:tr w:rsidR="00BF25FC" w14:paraId="723C0896"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4E104EC8"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6</w:t>
            </w:r>
          </w:p>
        </w:tc>
        <w:tc>
          <w:tcPr>
            <w:tcW w:w="2575" w:type="dxa"/>
          </w:tcPr>
          <w:p w14:paraId="62AB208D"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+4.0</w:t>
            </w:r>
          </w:p>
        </w:tc>
        <w:tc>
          <w:tcPr>
            <w:tcW w:w="2575" w:type="dxa"/>
          </w:tcPr>
          <w:p w14:paraId="5A0CAF84"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0</w:t>
            </w:r>
          </w:p>
        </w:tc>
        <w:tc>
          <w:tcPr>
            <w:tcW w:w="2575" w:type="dxa"/>
          </w:tcPr>
          <w:p w14:paraId="33B6432E"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Center Right</w:t>
            </w:r>
          </w:p>
        </w:tc>
      </w:tr>
      <w:tr w:rsidR="00BF25FC" w14:paraId="47D68DEE"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04224A46"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7</w:t>
            </w:r>
          </w:p>
        </w:tc>
        <w:tc>
          <w:tcPr>
            <w:tcW w:w="2575" w:type="dxa"/>
          </w:tcPr>
          <w:p w14:paraId="32880292"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-4.0</w:t>
            </w:r>
          </w:p>
        </w:tc>
        <w:tc>
          <w:tcPr>
            <w:tcW w:w="2575" w:type="dxa"/>
          </w:tcPr>
          <w:p w14:paraId="26D77C26"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+2.5</w:t>
            </w:r>
          </w:p>
        </w:tc>
        <w:tc>
          <w:tcPr>
            <w:tcW w:w="2575" w:type="dxa"/>
          </w:tcPr>
          <w:p w14:paraId="33C280DE"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Downstage Left</w:t>
            </w:r>
          </w:p>
        </w:tc>
      </w:tr>
      <w:tr w:rsidR="00BF25FC" w14:paraId="711EB867"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0D0FAFAB"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lastRenderedPageBreak/>
              <w:t>8</w:t>
            </w:r>
          </w:p>
        </w:tc>
        <w:tc>
          <w:tcPr>
            <w:tcW w:w="2575" w:type="dxa"/>
          </w:tcPr>
          <w:p w14:paraId="2DD2DC2F"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0</w:t>
            </w:r>
          </w:p>
        </w:tc>
        <w:tc>
          <w:tcPr>
            <w:tcW w:w="2575" w:type="dxa"/>
          </w:tcPr>
          <w:p w14:paraId="0D55BF3C"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+2.5</w:t>
            </w:r>
          </w:p>
        </w:tc>
        <w:tc>
          <w:tcPr>
            <w:tcW w:w="2575" w:type="dxa"/>
          </w:tcPr>
          <w:p w14:paraId="2D961134"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Downstage Center</w:t>
            </w:r>
          </w:p>
        </w:tc>
      </w:tr>
      <w:tr w:rsidR="00BF25FC" w14:paraId="2A04DC7E" w14:textId="77777777" w:rsidTr="00DF1DB2">
        <w:tc>
          <w:tcPr>
            <w:cnfStyle w:val="001000000000" w:firstRow="0" w:lastRow="0" w:firstColumn="1" w:lastColumn="0" w:oddVBand="0" w:evenVBand="0" w:oddHBand="0" w:evenHBand="0" w:firstRowFirstColumn="0" w:firstRowLastColumn="0" w:lastRowFirstColumn="0" w:lastRowLastColumn="0"/>
            <w:tcW w:w="2575" w:type="dxa"/>
          </w:tcPr>
          <w:p w14:paraId="42953051" w14:textId="77777777" w:rsidR="00BF25FC" w:rsidRDefault="00BF25FC" w:rsidP="00DF1DB2">
            <w:pPr>
              <w:pStyle w:val="ListParagraph"/>
              <w:ind w:left="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9</w:t>
            </w:r>
          </w:p>
        </w:tc>
        <w:tc>
          <w:tcPr>
            <w:tcW w:w="2575" w:type="dxa"/>
          </w:tcPr>
          <w:p w14:paraId="706B78A7"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+4.0</w:t>
            </w:r>
          </w:p>
        </w:tc>
        <w:tc>
          <w:tcPr>
            <w:tcW w:w="2575" w:type="dxa"/>
          </w:tcPr>
          <w:p w14:paraId="660087B7"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+2.5</w:t>
            </w:r>
          </w:p>
        </w:tc>
        <w:tc>
          <w:tcPr>
            <w:tcW w:w="2575" w:type="dxa"/>
          </w:tcPr>
          <w:p w14:paraId="3D636ACC" w14:textId="77777777" w:rsidR="00BF25FC" w:rsidRDefault="00BF25FC" w:rsidP="00DF1DB2">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lang w:val="en-GB"/>
              </w:rPr>
            </w:pPr>
            <w:r>
              <w:rPr>
                <w:rFonts w:ascii="Times New Roman" w:eastAsiaTheme="minorEastAsia" w:hAnsi="Times New Roman" w:cs="Times New Roman"/>
                <w:sz w:val="20"/>
                <w:szCs w:val="20"/>
                <w:lang w:val="en-GB"/>
              </w:rPr>
              <w:t>Downstage Right</w:t>
            </w:r>
          </w:p>
        </w:tc>
      </w:tr>
    </w:tbl>
    <w:p w14:paraId="526B039C" w14:textId="67466020" w:rsidR="00BF25FC" w:rsidRPr="00BF25FC" w:rsidRDefault="00BF25FC" w:rsidP="00BF25FC">
      <w:pPr>
        <w:rPr>
          <w:rFonts w:ascii="Times New Roman" w:eastAsiaTheme="minorEastAsia" w:hAnsi="Times New Roman" w:cs="Times New Roman"/>
          <w:sz w:val="20"/>
          <w:szCs w:val="20"/>
          <w:lang w:val="en-GB"/>
        </w:rPr>
        <w:sectPr w:rsidR="00BF25FC" w:rsidRPr="00BF25FC" w:rsidSect="00BF25FC">
          <w:type w:val="continuous"/>
          <w:pgSz w:w="12240" w:h="15840"/>
          <w:pgMar w:top="1152" w:right="778" w:bottom="965" w:left="1152" w:header="720" w:footer="720" w:gutter="0"/>
          <w:cols w:num="2" w:space="428"/>
          <w:docGrid w:linePitch="360"/>
        </w:sectPr>
      </w:pPr>
    </w:p>
    <w:p w14:paraId="63D2AD67" w14:textId="77777777" w:rsidR="00BF25FC" w:rsidRDefault="00BF25FC" w:rsidP="00BF25FC">
      <w:pPr>
        <w:spacing w:line="240" w:lineRule="auto"/>
        <w:jc w:val="both"/>
        <w:rPr>
          <w:rFonts w:ascii="Times New Roman" w:eastAsiaTheme="minorEastAsia" w:hAnsi="Times New Roman" w:cs="Times New Roman"/>
          <w:sz w:val="20"/>
          <w:szCs w:val="20"/>
          <w:lang w:val="en-GB"/>
        </w:rPr>
        <w:sectPr w:rsidR="00BF25FC" w:rsidSect="00BF25FC">
          <w:type w:val="continuous"/>
          <w:pgSz w:w="12240" w:h="15840"/>
          <w:pgMar w:top="1152" w:right="778" w:bottom="965" w:left="1152" w:header="720" w:footer="720" w:gutter="0"/>
          <w:cols w:space="428"/>
          <w:docGrid w:linePitch="360"/>
        </w:sectPr>
      </w:pPr>
    </w:p>
    <w:p w14:paraId="112681D2" w14:textId="4D01680E" w:rsidR="00BF25FC" w:rsidRDefault="00BF25FC" w:rsidP="00BF25FC">
      <w:pPr>
        <w:spacing w:line="240" w:lineRule="auto"/>
        <w:jc w:val="both"/>
        <w:rPr>
          <w:rFonts w:ascii="Times New Roman" w:eastAsiaTheme="minorEastAsia" w:hAnsi="Times New Roman" w:cs="Times New Roman"/>
          <w:sz w:val="20"/>
          <w:szCs w:val="20"/>
          <w:lang w:val="en-GB"/>
        </w:rPr>
        <w:sectPr w:rsidR="00BF25FC" w:rsidSect="00BF25FC">
          <w:type w:val="continuous"/>
          <w:pgSz w:w="12240" w:h="15840"/>
          <w:pgMar w:top="1152" w:right="778" w:bottom="965" w:left="1152" w:header="720" w:footer="720" w:gutter="0"/>
          <w:cols w:space="428"/>
          <w:docGrid w:linePitch="360"/>
        </w:sectPr>
      </w:pPr>
    </w:p>
    <w:p w14:paraId="1A3B1B39" w14:textId="03369A2C" w:rsidR="00BF25FC" w:rsidRPr="00BF25FC" w:rsidRDefault="00BF25FC" w:rsidP="00BF25FC">
      <w:pPr>
        <w:spacing w:line="240" w:lineRule="auto"/>
        <w:jc w:val="both"/>
        <w:rPr>
          <w:rFonts w:ascii="Times New Roman" w:eastAsiaTheme="minorEastAsia" w:hAnsi="Times New Roman" w:cs="Times New Roman"/>
          <w:sz w:val="20"/>
          <w:szCs w:val="20"/>
          <w:lang w:val="en-GB"/>
        </w:rPr>
        <w:sectPr w:rsidR="00BF25FC" w:rsidRPr="00BF25FC" w:rsidSect="00027B3C">
          <w:type w:val="continuous"/>
          <w:pgSz w:w="12240" w:h="15840"/>
          <w:pgMar w:top="1152" w:right="778" w:bottom="965" w:left="1152" w:header="720" w:footer="720" w:gutter="0"/>
          <w:cols w:space="428"/>
          <w:docGrid w:linePitch="360"/>
        </w:sectPr>
      </w:pPr>
    </w:p>
    <w:p w14:paraId="7B15D818" w14:textId="41DEF95A" w:rsidR="00A26015" w:rsidRPr="00EC3C95" w:rsidRDefault="00A26015" w:rsidP="00EC3C95">
      <w:pPr>
        <w:pStyle w:val="ListParagraph"/>
        <w:numPr>
          <w:ilvl w:val="0"/>
          <w:numId w:val="24"/>
        </w:numPr>
        <w:spacing w:line="240" w:lineRule="auto"/>
        <w:jc w:val="both"/>
        <w:rPr>
          <w:rFonts w:ascii="Times New Roman" w:eastAsiaTheme="minorEastAsia" w:hAnsi="Times New Roman" w:cs="Times New Roman"/>
          <w:sz w:val="20"/>
          <w:szCs w:val="20"/>
          <w:lang w:val="en-GB"/>
        </w:rPr>
      </w:pPr>
      <w:r w:rsidRPr="00EC3C95">
        <w:rPr>
          <w:rFonts w:ascii="Times New Roman" w:eastAsiaTheme="minorEastAsia" w:hAnsi="Times New Roman" w:cs="Times New Roman"/>
          <w:sz w:val="20"/>
          <w:szCs w:val="20"/>
          <w:lang w:val="en-GB"/>
        </w:rPr>
        <w:t>DMX System Timing Analysis: DMX timing was analyzed using DMX-Workshop software with a USB-DMX interface</w:t>
      </w:r>
      <w:r w:rsidR="00F80E31">
        <w:rPr>
          <w:rFonts w:ascii="Times New Roman" w:eastAsiaTheme="minorEastAsia" w:hAnsi="Times New Roman" w:cs="Times New Roman"/>
          <w:sz w:val="20"/>
          <w:szCs w:val="20"/>
          <w:lang w:val="en-GB"/>
        </w:rPr>
        <w:t xml:space="preserve"> (100 Hz sampling rate)</w:t>
      </w:r>
      <w:r w:rsidRPr="00EC3C95">
        <w:rPr>
          <w:rFonts w:ascii="Times New Roman" w:eastAsiaTheme="minorEastAsia" w:hAnsi="Times New Roman" w:cs="Times New Roman"/>
          <w:sz w:val="20"/>
          <w:szCs w:val="20"/>
          <w:lang w:val="en-GB"/>
        </w:rPr>
        <w:t>. Console-to-fixture latency (ms)</w:t>
      </w:r>
      <w:r w:rsidR="00F80E31">
        <w:rPr>
          <w:rFonts w:ascii="Times New Roman" w:eastAsiaTheme="minorEastAsia" w:hAnsi="Times New Roman" w:cs="Times New Roman"/>
          <w:sz w:val="20"/>
          <w:szCs w:val="20"/>
          <w:lang w:val="en-GB"/>
        </w:rPr>
        <w:t>, jitter (ms)</w:t>
      </w:r>
      <w:proofErr w:type="gramStart"/>
      <w:r w:rsidR="00F80E31">
        <w:rPr>
          <w:rFonts w:ascii="Times New Roman" w:eastAsiaTheme="minorEastAsia" w:hAnsi="Times New Roman" w:cs="Times New Roman"/>
          <w:sz w:val="20"/>
          <w:szCs w:val="20"/>
          <w:lang w:val="en-GB"/>
        </w:rPr>
        <w:t xml:space="preserve">, </w:t>
      </w:r>
      <w:r w:rsidRPr="00EC3C95">
        <w:rPr>
          <w:rFonts w:ascii="Times New Roman" w:eastAsiaTheme="minorEastAsia" w:hAnsi="Times New Roman" w:cs="Times New Roman"/>
          <w:sz w:val="20"/>
          <w:szCs w:val="20"/>
          <w:lang w:val="en-GB"/>
        </w:rPr>
        <w:t xml:space="preserve"> fade</w:t>
      </w:r>
      <w:proofErr w:type="gramEnd"/>
      <w:r w:rsidRPr="00EC3C95">
        <w:rPr>
          <w:rFonts w:ascii="Times New Roman" w:eastAsiaTheme="minorEastAsia" w:hAnsi="Times New Roman" w:cs="Times New Roman"/>
          <w:sz w:val="20"/>
          <w:szCs w:val="20"/>
          <w:lang w:val="en-GB"/>
        </w:rPr>
        <w:t xml:space="preserve"> time accuracy (s) were measured by capturing packet timestamps at the console output and comparing to fixture response.</w:t>
      </w:r>
      <w:r w:rsidR="00F80E31">
        <w:rPr>
          <w:rFonts w:ascii="Times New Roman" w:eastAsiaTheme="minorEastAsia" w:hAnsi="Times New Roman" w:cs="Times New Roman"/>
          <w:sz w:val="20"/>
          <w:szCs w:val="20"/>
          <w:lang w:val="en-GB"/>
        </w:rPr>
        <w:t xml:space="preserve"> Compliance with ESTA E1.11 and ANSI E1.20 standards </w:t>
      </w:r>
      <w:proofErr w:type="gramStart"/>
      <w:r w:rsidR="00F80E31">
        <w:rPr>
          <w:rFonts w:ascii="Times New Roman" w:eastAsiaTheme="minorEastAsia" w:hAnsi="Times New Roman" w:cs="Times New Roman"/>
          <w:sz w:val="20"/>
          <w:szCs w:val="20"/>
          <w:lang w:val="en-GB"/>
        </w:rPr>
        <w:t>was assessed</w:t>
      </w:r>
      <w:proofErr w:type="gramEnd"/>
      <w:r w:rsidR="00F80E31">
        <w:rPr>
          <w:rFonts w:ascii="Times New Roman" w:eastAsiaTheme="minorEastAsia" w:hAnsi="Times New Roman" w:cs="Times New Roman"/>
          <w:sz w:val="20"/>
          <w:szCs w:val="20"/>
          <w:lang w:val="en-GB"/>
        </w:rPr>
        <w:t>.</w:t>
      </w:r>
    </w:p>
    <w:p w14:paraId="5817112C" w14:textId="70FA8496" w:rsidR="008C30BE" w:rsidRPr="00EC3C95" w:rsidRDefault="00EC3C95" w:rsidP="008C30BE">
      <w:pPr>
        <w:pStyle w:val="Heading3"/>
        <w:spacing w:before="0" w:line="240" w:lineRule="auto"/>
        <w:rPr>
          <w:rFonts w:cs="Times New Roman"/>
          <w:b w:val="0"/>
          <w:iCs/>
          <w:sz w:val="20"/>
          <w:szCs w:val="20"/>
          <w:lang w:val="en-GB"/>
        </w:rPr>
      </w:pPr>
      <w:r>
        <w:rPr>
          <w:rFonts w:cs="Times New Roman"/>
          <w:b w:val="0"/>
          <w:iCs/>
          <w:sz w:val="20"/>
          <w:szCs w:val="20"/>
          <w:lang w:val="en-GB"/>
        </w:rPr>
        <w:t xml:space="preserve">F. Baseline for comparison </w:t>
      </w:r>
    </w:p>
    <w:p w14:paraId="43714B19" w14:textId="77777777" w:rsidR="00F80E31" w:rsidRDefault="00027B3C" w:rsidP="00EC3C95">
      <w:pPr>
        <w:spacing w:after="0" w:line="240" w:lineRule="auto"/>
        <w:jc w:val="both"/>
        <w:rPr>
          <w:rFonts w:ascii="Times New Roman" w:hAnsi="Times New Roman" w:cs="Times New Roman"/>
          <w:bCs/>
          <w:sz w:val="20"/>
          <w:szCs w:val="20"/>
          <w:lang w:val="en-GB"/>
        </w:rPr>
      </w:pPr>
      <w:r>
        <w:rPr>
          <w:rFonts w:ascii="Times New Roman" w:hAnsi="Times New Roman" w:cs="Times New Roman"/>
          <w:bCs/>
          <w:sz w:val="20"/>
          <w:szCs w:val="20"/>
          <w:lang w:val="en-GB"/>
        </w:rPr>
        <w:t xml:space="preserve">   </w:t>
      </w:r>
      <w:r w:rsidR="008C30BE" w:rsidRPr="002D7771">
        <w:rPr>
          <w:rFonts w:ascii="Times New Roman" w:hAnsi="Times New Roman" w:cs="Times New Roman"/>
          <w:bCs/>
          <w:sz w:val="20"/>
          <w:szCs w:val="20"/>
          <w:lang w:val="en-GB"/>
        </w:rPr>
        <w:t xml:space="preserve">   </w:t>
      </w:r>
      <w:r w:rsidR="00EC3C95" w:rsidRPr="00EC3C95">
        <w:rPr>
          <w:rFonts w:ascii="Times New Roman" w:hAnsi="Times New Roman" w:cs="Times New Roman"/>
          <w:bCs/>
          <w:sz w:val="20"/>
          <w:szCs w:val="20"/>
          <w:lang w:val="en-GB"/>
        </w:rPr>
        <w:t xml:space="preserve">To evaluate efficiency improvements, a conventional incandescent baseline </w:t>
      </w:r>
      <w:proofErr w:type="gramStart"/>
      <w:r w:rsidR="00EC3C95" w:rsidRPr="00EC3C95">
        <w:rPr>
          <w:rFonts w:ascii="Times New Roman" w:hAnsi="Times New Roman" w:cs="Times New Roman"/>
          <w:bCs/>
          <w:sz w:val="20"/>
          <w:szCs w:val="20"/>
          <w:lang w:val="en-GB"/>
        </w:rPr>
        <w:t>was calculated</w:t>
      </w:r>
      <w:proofErr w:type="gramEnd"/>
      <w:r w:rsidR="00EC3C95" w:rsidRPr="00EC3C95">
        <w:rPr>
          <w:rFonts w:ascii="Times New Roman" w:hAnsi="Times New Roman" w:cs="Times New Roman"/>
          <w:bCs/>
          <w:sz w:val="20"/>
          <w:szCs w:val="20"/>
          <w:lang w:val="en-GB"/>
        </w:rPr>
        <w:t xml:space="preserve"> for an equivalent stage lighting system using: 1 kW Fresnel fixtures for front light (n=12), 500 W PAR cans for backlight (n=12), 2 kW cyclorama lights (n=4), and manual control console (no automated features).</w:t>
      </w:r>
      <w:r w:rsidR="00F80E31" w:rsidRPr="00F80E31">
        <w:t xml:space="preserve"> </w:t>
      </w:r>
      <w:r w:rsidR="00F80E31" w:rsidRPr="00F80E31">
        <w:rPr>
          <w:rFonts w:ascii="Times New Roman" w:hAnsi="Times New Roman" w:cs="Times New Roman"/>
          <w:bCs/>
          <w:sz w:val="20"/>
          <w:szCs w:val="20"/>
          <w:lang w:val="en-GB"/>
        </w:rPr>
        <w:t xml:space="preserve">This 1:1 fixture replacement approach </w:t>
      </w:r>
      <w:proofErr w:type="gramStart"/>
      <w:r w:rsidR="00F80E31" w:rsidRPr="00F80E31">
        <w:rPr>
          <w:rFonts w:ascii="Times New Roman" w:hAnsi="Times New Roman" w:cs="Times New Roman"/>
          <w:bCs/>
          <w:sz w:val="20"/>
          <w:szCs w:val="20"/>
          <w:lang w:val="en-GB"/>
        </w:rPr>
        <w:t>was validated</w:t>
      </w:r>
      <w:proofErr w:type="gramEnd"/>
      <w:r w:rsidR="00F80E31" w:rsidRPr="00F80E31">
        <w:rPr>
          <w:rFonts w:ascii="Times New Roman" w:hAnsi="Times New Roman" w:cs="Times New Roman"/>
          <w:bCs/>
          <w:sz w:val="20"/>
          <w:szCs w:val="20"/>
          <w:lang w:val="en-GB"/>
        </w:rPr>
        <w:t xml:space="preserve"> against Nigerian theatre practice through interviews with three Nigerian lighting designers, who confirmed that the baseline configuration represents typical practice for productions of equivalent scale.</w:t>
      </w:r>
      <w:r w:rsidR="00EC3C95" w:rsidRPr="00EC3C95">
        <w:rPr>
          <w:rFonts w:ascii="Times New Roman" w:hAnsi="Times New Roman" w:cs="Times New Roman"/>
          <w:bCs/>
          <w:sz w:val="20"/>
          <w:szCs w:val="20"/>
          <w:lang w:val="en-GB"/>
        </w:rPr>
        <w:t xml:space="preserve"> Baseline total power: 48 kW.</w:t>
      </w:r>
    </w:p>
    <w:p w14:paraId="6CAA093D" w14:textId="77777777" w:rsidR="00F80E31" w:rsidRDefault="00F80E31" w:rsidP="00EC3C95">
      <w:pPr>
        <w:spacing w:after="0" w:line="240" w:lineRule="auto"/>
        <w:jc w:val="both"/>
        <w:rPr>
          <w:rFonts w:ascii="Times New Roman" w:hAnsi="Times New Roman" w:cs="Times New Roman"/>
          <w:bCs/>
          <w:sz w:val="20"/>
          <w:szCs w:val="20"/>
          <w:lang w:val="en-GB"/>
        </w:rPr>
      </w:pPr>
    </w:p>
    <w:p w14:paraId="793D898E" w14:textId="1AFEF390" w:rsidR="00D20740" w:rsidRPr="002D7771" w:rsidRDefault="00F80E31" w:rsidP="00EC3C95">
      <w:pPr>
        <w:spacing w:after="0" w:line="240" w:lineRule="auto"/>
        <w:jc w:val="both"/>
        <w:rPr>
          <w:rFonts w:ascii="Times New Roman" w:eastAsiaTheme="minorEastAsia" w:hAnsi="Times New Roman" w:cs="Times New Roman"/>
          <w:sz w:val="20"/>
          <w:szCs w:val="20"/>
          <w:lang w:val="en-GB"/>
        </w:rPr>
      </w:pPr>
      <w:r w:rsidRPr="00F80E31">
        <w:rPr>
          <w:rFonts w:ascii="Times New Roman" w:hAnsi="Times New Roman" w:cs="Times New Roman"/>
          <w:b/>
          <w:bCs/>
          <w:sz w:val="20"/>
          <w:szCs w:val="20"/>
          <w:lang w:val="en-GB"/>
        </w:rPr>
        <w:t>Grid Emission Factor:</w:t>
      </w:r>
      <w:r w:rsidRPr="00F80E31">
        <w:rPr>
          <w:rFonts w:ascii="Times New Roman" w:hAnsi="Times New Roman" w:cs="Times New Roman"/>
          <w:bCs/>
          <w:sz w:val="20"/>
          <w:szCs w:val="20"/>
          <w:lang w:val="en-GB"/>
        </w:rPr>
        <w:t xml:space="preserve"> CO₂ savings were calculated using the Nigerian Electricity Regulatory Commission (NERC) 2022 grid emission factor of 0.523 kg CO₂/kWh (Nigerian Electricity Regulatory Commission, 2022), with a reported uncertainty of ±5%.</w:t>
      </w:r>
      <w:r w:rsidR="008C30BE" w:rsidRPr="002D7771">
        <w:rPr>
          <w:rFonts w:ascii="Times New Roman" w:hAnsi="Times New Roman" w:cs="Times New Roman"/>
          <w:bCs/>
          <w:sz w:val="20"/>
          <w:szCs w:val="20"/>
          <w:lang w:val="en-GB"/>
        </w:rPr>
        <w:t xml:space="preserve">   </w:t>
      </w:r>
    </w:p>
    <w:p w14:paraId="48D30C7D" w14:textId="5603DB1F" w:rsidR="00D20740" w:rsidRPr="002D7771" w:rsidRDefault="00D20740" w:rsidP="001A21DF">
      <w:pPr>
        <w:pStyle w:val="Heading1"/>
        <w:spacing w:line="240" w:lineRule="auto"/>
        <w:rPr>
          <w:rFonts w:ascii="Times New Roman" w:hAnsi="Times New Roman" w:cs="Times New Roman"/>
          <w:color w:val="auto"/>
          <w:sz w:val="20"/>
          <w:szCs w:val="20"/>
          <w:lang w:val="en-GB"/>
        </w:rPr>
      </w:pPr>
      <w:r w:rsidRPr="002D7771">
        <w:rPr>
          <w:rFonts w:ascii="Times New Roman" w:hAnsi="Times New Roman" w:cs="Times New Roman"/>
          <w:color w:val="auto"/>
          <w:sz w:val="20"/>
          <w:szCs w:val="20"/>
          <w:lang w:val="en-GB"/>
        </w:rPr>
        <w:t>I</w:t>
      </w:r>
      <w:r w:rsidR="001A21DF">
        <w:rPr>
          <w:rFonts w:ascii="Times New Roman" w:hAnsi="Times New Roman" w:cs="Times New Roman"/>
          <w:color w:val="auto"/>
          <w:sz w:val="20"/>
          <w:szCs w:val="20"/>
          <w:lang w:val="en-GB"/>
        </w:rPr>
        <w:t xml:space="preserve">V. </w:t>
      </w:r>
      <w:r w:rsidRPr="002D7771">
        <w:rPr>
          <w:rFonts w:ascii="Times New Roman" w:hAnsi="Times New Roman" w:cs="Times New Roman"/>
          <w:color w:val="auto"/>
          <w:sz w:val="20"/>
          <w:szCs w:val="20"/>
          <w:lang w:val="en-GB"/>
        </w:rPr>
        <w:t>RESULTS</w:t>
      </w:r>
      <w:r w:rsidR="00EB18DD" w:rsidRPr="002D7771">
        <w:rPr>
          <w:rFonts w:ascii="Times New Roman" w:hAnsi="Times New Roman" w:cs="Times New Roman"/>
          <w:color w:val="auto"/>
          <w:sz w:val="20"/>
          <w:szCs w:val="20"/>
          <w:lang w:val="en-GB"/>
        </w:rPr>
        <w:t xml:space="preserve"> AND DISCUSSION</w:t>
      </w:r>
    </w:p>
    <w:p w14:paraId="7E86EBD9" w14:textId="77777777" w:rsidR="008C30BE" w:rsidRPr="00E20774" w:rsidRDefault="008C30BE" w:rsidP="008C30BE">
      <w:pPr>
        <w:spacing w:after="0"/>
        <w:rPr>
          <w:sz w:val="8"/>
          <w:szCs w:val="8"/>
          <w:lang w:val="en-GB"/>
        </w:rPr>
      </w:pPr>
    </w:p>
    <w:p w14:paraId="6392F3A5" w14:textId="5CE8A892" w:rsidR="00D20740" w:rsidRPr="002D7771" w:rsidRDefault="00EC3C95" w:rsidP="00F84BB1">
      <w:pPr>
        <w:pStyle w:val="Heading2"/>
        <w:spacing w:before="0" w:line="240" w:lineRule="auto"/>
        <w:jc w:val="both"/>
        <w:rPr>
          <w:rFonts w:ascii="Times New Roman" w:hAnsi="Times New Roman" w:cs="Times New Roman"/>
          <w:bCs/>
          <w:iCs/>
          <w:color w:val="auto"/>
          <w:sz w:val="20"/>
          <w:szCs w:val="20"/>
          <w:lang w:val="en-GB"/>
        </w:rPr>
      </w:pPr>
      <w:r>
        <w:rPr>
          <w:rFonts w:ascii="Times New Roman" w:hAnsi="Times New Roman" w:cs="Times New Roman"/>
          <w:bCs/>
          <w:iCs/>
          <w:color w:val="auto"/>
          <w:sz w:val="20"/>
          <w:szCs w:val="20"/>
          <w:lang w:val="en-GB"/>
        </w:rPr>
        <w:t xml:space="preserve">A. </w:t>
      </w:r>
      <w:r>
        <w:rPr>
          <w:rFonts w:ascii="Times New Roman" w:hAnsi="Times New Roman" w:cs="Times New Roman"/>
          <w:bCs/>
          <w:iCs/>
          <w:color w:val="auto"/>
          <w:sz w:val="20"/>
          <w:szCs w:val="20"/>
          <w:lang w:val="en-GB"/>
        </w:rPr>
        <w:tab/>
        <w:t>Equipment Configuration</w:t>
      </w:r>
      <w:r w:rsidR="00D20740" w:rsidRPr="002D7771">
        <w:rPr>
          <w:rFonts w:ascii="Times New Roman" w:hAnsi="Times New Roman" w:cs="Times New Roman"/>
          <w:bCs/>
          <w:iCs/>
          <w:color w:val="auto"/>
          <w:sz w:val="20"/>
          <w:szCs w:val="20"/>
          <w:lang w:val="en-GB"/>
        </w:rPr>
        <w:t xml:space="preserve"> </w:t>
      </w:r>
    </w:p>
    <w:p w14:paraId="7821CB9D" w14:textId="1CD2D32E" w:rsidR="00046C8A" w:rsidRPr="002D7771" w:rsidRDefault="008C30BE" w:rsidP="00F84BB1">
      <w:pPr>
        <w:spacing w:line="240" w:lineRule="auto"/>
        <w:jc w:val="both"/>
        <w:rPr>
          <w:rFonts w:ascii="Times New Roman" w:hAnsi="Times New Roman" w:cs="Times New Roman"/>
          <w:sz w:val="20"/>
          <w:szCs w:val="20"/>
          <w:lang w:val="en-GB"/>
        </w:rPr>
      </w:pPr>
      <w:r w:rsidRPr="002D7771">
        <w:rPr>
          <w:rFonts w:ascii="Times New Roman" w:hAnsi="Times New Roman" w:cs="Times New Roman"/>
          <w:sz w:val="20"/>
          <w:szCs w:val="20"/>
          <w:lang w:val="en-GB"/>
        </w:rPr>
        <w:t xml:space="preserve">          </w:t>
      </w:r>
      <w:r w:rsidR="00FB3264">
        <w:rPr>
          <w:rFonts w:ascii="Times New Roman" w:hAnsi="Times New Roman" w:cs="Times New Roman"/>
          <w:sz w:val="20"/>
          <w:szCs w:val="20"/>
          <w:lang w:val="en-GB"/>
        </w:rPr>
        <w:t xml:space="preserve">Table III presents the equipment distribution for both productions. </w:t>
      </w:r>
      <w:r w:rsidR="00046C8A" w:rsidRPr="00046C8A">
        <w:rPr>
          <w:rFonts w:ascii="Times New Roman" w:hAnsi="Times New Roman" w:cs="Times New Roman"/>
          <w:sz w:val="20"/>
          <w:szCs w:val="20"/>
          <w:lang w:val="en-GB"/>
        </w:rPr>
        <w:t xml:space="preserve">Saro </w:t>
      </w:r>
      <w:proofErr w:type="gramStart"/>
      <w:r w:rsidR="00046C8A" w:rsidRPr="00046C8A">
        <w:rPr>
          <w:rFonts w:ascii="Times New Roman" w:hAnsi="Times New Roman" w:cs="Times New Roman"/>
          <w:sz w:val="20"/>
          <w:szCs w:val="20"/>
          <w:lang w:val="en-GB"/>
        </w:rPr>
        <w:t>The</w:t>
      </w:r>
      <w:proofErr w:type="gramEnd"/>
      <w:r w:rsidR="00046C8A" w:rsidRPr="00046C8A">
        <w:rPr>
          <w:rFonts w:ascii="Times New Roman" w:hAnsi="Times New Roman" w:cs="Times New Roman"/>
          <w:sz w:val="20"/>
          <w:szCs w:val="20"/>
          <w:lang w:val="en-GB"/>
        </w:rPr>
        <w:t xml:space="preserve"> Musical employed 44 fixtures, dominated by automated moving heads (20 units) and LED PAR cans (24 units). Death and the King's Horseman employed 46 fixtures </w:t>
      </w:r>
    </w:p>
    <w:p w14:paraId="185BFD3B" w14:textId="1C65919D" w:rsidR="00046C8A" w:rsidRDefault="00046C8A" w:rsidP="0017193A">
      <w:pPr>
        <w:spacing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Table III: Fixture distribution by category</w:t>
      </w:r>
    </w:p>
    <w:tbl>
      <w:tblPr>
        <w:tblStyle w:val="ListTable6Colorful1"/>
        <w:tblW w:w="0" w:type="auto"/>
        <w:tblLook w:val="04A0" w:firstRow="1" w:lastRow="0" w:firstColumn="1" w:lastColumn="0" w:noHBand="0" w:noVBand="1"/>
      </w:tblPr>
      <w:tblGrid>
        <w:gridCol w:w="1644"/>
        <w:gridCol w:w="1645"/>
        <w:gridCol w:w="1645"/>
      </w:tblGrid>
      <w:tr w:rsidR="00046C8A" w14:paraId="51356DE8" w14:textId="77777777" w:rsidTr="00C17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7D0754F9" w14:textId="58603DC5" w:rsidR="00046C8A" w:rsidRDefault="00046C8A"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Category</w:t>
            </w:r>
          </w:p>
        </w:tc>
        <w:tc>
          <w:tcPr>
            <w:tcW w:w="1645" w:type="dxa"/>
          </w:tcPr>
          <w:p w14:paraId="1D53DA82" w14:textId="7B05A484" w:rsidR="00046C8A" w:rsidRDefault="00046C8A" w:rsidP="00046C8A">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Saro The Musical</w:t>
            </w:r>
          </w:p>
        </w:tc>
        <w:tc>
          <w:tcPr>
            <w:tcW w:w="1645" w:type="dxa"/>
          </w:tcPr>
          <w:p w14:paraId="34F25F0E" w14:textId="79ED3E6D" w:rsidR="00046C8A" w:rsidRDefault="00046C8A" w:rsidP="00046C8A">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Death &amp; King’s Horseman</w:t>
            </w:r>
          </w:p>
        </w:tc>
      </w:tr>
      <w:tr w:rsidR="00046C8A" w14:paraId="1651EBB5"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09C6449C" w14:textId="5E79AB8E" w:rsidR="00046C8A" w:rsidRDefault="00046C8A"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LED Moving Head Wash</w:t>
            </w:r>
          </w:p>
        </w:tc>
        <w:tc>
          <w:tcPr>
            <w:tcW w:w="1645" w:type="dxa"/>
          </w:tcPr>
          <w:p w14:paraId="1642DAA8" w14:textId="5AF9A38E"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 (44%)</w:t>
            </w:r>
          </w:p>
        </w:tc>
        <w:tc>
          <w:tcPr>
            <w:tcW w:w="1645" w:type="dxa"/>
          </w:tcPr>
          <w:p w14:paraId="1DCB2B89" w14:textId="5C11D4B4"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 (36%)</w:t>
            </w:r>
          </w:p>
        </w:tc>
      </w:tr>
      <w:tr w:rsidR="00046C8A" w14:paraId="1FBADA1C"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5FCC366D" w14:textId="374E2DA5" w:rsidR="00046C8A" w:rsidRDefault="00046C8A"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LED Moving Head Beam</w:t>
            </w:r>
          </w:p>
        </w:tc>
        <w:tc>
          <w:tcPr>
            <w:tcW w:w="1645" w:type="dxa"/>
          </w:tcPr>
          <w:p w14:paraId="3850CBDD" w14:textId="48CE8EB3"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12 (67%)</w:t>
            </w:r>
          </w:p>
        </w:tc>
        <w:tc>
          <w:tcPr>
            <w:tcW w:w="1645" w:type="dxa"/>
          </w:tcPr>
          <w:p w14:paraId="0EA9B614" w14:textId="764B984E"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10 (45%)</w:t>
            </w:r>
          </w:p>
        </w:tc>
      </w:tr>
      <w:tr w:rsidR="00046C8A" w14:paraId="351E5504"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5E4E2A87" w14:textId="1A73386F" w:rsidR="00046C8A" w:rsidRDefault="00046C8A"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LED PAR Can</w:t>
            </w:r>
          </w:p>
        </w:tc>
        <w:tc>
          <w:tcPr>
            <w:tcW w:w="1645" w:type="dxa"/>
          </w:tcPr>
          <w:p w14:paraId="77C26C62" w14:textId="46E6623F"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24 (133%)</w:t>
            </w:r>
          </w:p>
        </w:tc>
        <w:tc>
          <w:tcPr>
            <w:tcW w:w="1645" w:type="dxa"/>
          </w:tcPr>
          <w:p w14:paraId="78C4E8A7" w14:textId="1C61D64D"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16 (73%)</w:t>
            </w:r>
          </w:p>
        </w:tc>
      </w:tr>
      <w:tr w:rsidR="00046C8A" w14:paraId="05FFB84C"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67B04827" w14:textId="7ED3FFF7" w:rsidR="00046C8A" w:rsidRDefault="00046C8A"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Conventional Fresnel</w:t>
            </w:r>
          </w:p>
        </w:tc>
        <w:tc>
          <w:tcPr>
            <w:tcW w:w="1645" w:type="dxa"/>
          </w:tcPr>
          <w:p w14:paraId="70CCE7DE" w14:textId="03306917"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0 (0%)</w:t>
            </w:r>
          </w:p>
        </w:tc>
        <w:tc>
          <w:tcPr>
            <w:tcW w:w="1645" w:type="dxa"/>
          </w:tcPr>
          <w:p w14:paraId="7FE81878" w14:textId="5F92536F"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12 (55%)</w:t>
            </w:r>
          </w:p>
        </w:tc>
      </w:tr>
      <w:tr w:rsidR="00046C8A" w14:paraId="77EBF696"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3E4DE319" w14:textId="7C2B66BA" w:rsidR="00046C8A" w:rsidRPr="00046C8A" w:rsidRDefault="00046C8A"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LED Display Screen Area (m</w:t>
            </w:r>
            <w:r w:rsidRPr="00046C8A">
              <w:rPr>
                <w:rFonts w:ascii="Times New Roman" w:hAnsi="Times New Roman" w:cs="Times New Roman"/>
                <w:sz w:val="20"/>
                <w:szCs w:val="20"/>
                <w:vertAlign w:val="superscript"/>
                <w:lang w:val="en-GB"/>
              </w:rPr>
              <w:t>2</w:t>
            </w:r>
            <w:r>
              <w:rPr>
                <w:rFonts w:ascii="Times New Roman" w:hAnsi="Times New Roman" w:cs="Times New Roman"/>
                <w:sz w:val="20"/>
                <w:szCs w:val="20"/>
                <w:lang w:val="en-GB"/>
              </w:rPr>
              <w:t>)</w:t>
            </w:r>
          </w:p>
        </w:tc>
        <w:tc>
          <w:tcPr>
            <w:tcW w:w="1645" w:type="dxa"/>
          </w:tcPr>
          <w:p w14:paraId="4D0E055B" w14:textId="274C3119"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45</w:t>
            </w:r>
          </w:p>
        </w:tc>
        <w:tc>
          <w:tcPr>
            <w:tcW w:w="1645" w:type="dxa"/>
          </w:tcPr>
          <w:p w14:paraId="2DF054A5" w14:textId="4AA67829"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30</w:t>
            </w:r>
          </w:p>
        </w:tc>
      </w:tr>
      <w:tr w:rsidR="00046C8A" w14:paraId="1896EA68"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325FBE9F" w14:textId="20FCE09D" w:rsidR="00046C8A" w:rsidRDefault="00C173C7"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Total Fixtures </w:t>
            </w:r>
          </w:p>
        </w:tc>
        <w:tc>
          <w:tcPr>
            <w:tcW w:w="1645" w:type="dxa"/>
          </w:tcPr>
          <w:p w14:paraId="1E20A36B" w14:textId="1C088719"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44</w:t>
            </w:r>
          </w:p>
        </w:tc>
        <w:tc>
          <w:tcPr>
            <w:tcW w:w="1645" w:type="dxa"/>
          </w:tcPr>
          <w:p w14:paraId="652A088D" w14:textId="59CE374A" w:rsidR="00046C8A" w:rsidRDefault="00C173C7"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46</w:t>
            </w:r>
          </w:p>
        </w:tc>
      </w:tr>
      <w:tr w:rsidR="00046C8A" w14:paraId="5C7470DE"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70AB61CF" w14:textId="41FF325F" w:rsidR="00046C8A" w:rsidRDefault="00C173C7" w:rsidP="00046C8A">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Total DMX Channels Used</w:t>
            </w:r>
          </w:p>
        </w:tc>
        <w:tc>
          <w:tcPr>
            <w:tcW w:w="1645" w:type="dxa"/>
          </w:tcPr>
          <w:p w14:paraId="79D42DB8" w14:textId="64EE94F3" w:rsidR="00046C8A" w:rsidRDefault="00D7411C"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1,824/</w:t>
            </w:r>
            <w:r w:rsidR="00C173C7">
              <w:rPr>
                <w:rFonts w:ascii="Times New Roman" w:hAnsi="Times New Roman" w:cs="Times New Roman"/>
                <w:sz w:val="20"/>
                <w:szCs w:val="20"/>
                <w:lang w:val="en-GB"/>
              </w:rPr>
              <w:t>2,048 (89%)</w:t>
            </w:r>
          </w:p>
        </w:tc>
        <w:tc>
          <w:tcPr>
            <w:tcW w:w="1645" w:type="dxa"/>
          </w:tcPr>
          <w:p w14:paraId="5BEADEDB" w14:textId="3DBFC996" w:rsidR="00046C8A" w:rsidRDefault="00D7411C" w:rsidP="00046C8A">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1,024/</w:t>
            </w:r>
            <w:r w:rsidR="00C173C7">
              <w:rPr>
                <w:rFonts w:ascii="Times New Roman" w:hAnsi="Times New Roman" w:cs="Times New Roman"/>
                <w:sz w:val="20"/>
                <w:szCs w:val="20"/>
                <w:lang w:val="en-GB"/>
              </w:rPr>
              <w:t>1,024 (100%)</w:t>
            </w:r>
          </w:p>
        </w:tc>
      </w:tr>
    </w:tbl>
    <w:p w14:paraId="7F8FF751" w14:textId="77777777" w:rsidR="00046C8A" w:rsidRDefault="00046C8A" w:rsidP="00046C8A">
      <w:pPr>
        <w:spacing w:line="240" w:lineRule="auto"/>
        <w:jc w:val="both"/>
        <w:rPr>
          <w:rFonts w:ascii="Times New Roman" w:hAnsi="Times New Roman" w:cs="Times New Roman"/>
          <w:sz w:val="20"/>
          <w:szCs w:val="20"/>
          <w:lang w:val="en-GB"/>
        </w:rPr>
      </w:pPr>
    </w:p>
    <w:p w14:paraId="32835B46" w14:textId="3D4F554F" w:rsidR="00C173C7" w:rsidRPr="00C173C7" w:rsidRDefault="00C173C7" w:rsidP="00C173C7">
      <w:pPr>
        <w:spacing w:line="240" w:lineRule="auto"/>
        <w:rPr>
          <w:rFonts w:ascii="Times New Roman" w:hAnsi="Times New Roman" w:cs="Times New Roman"/>
          <w:sz w:val="20"/>
          <w:szCs w:val="20"/>
          <w:lang w:val="en-GB"/>
        </w:rPr>
      </w:pPr>
      <w:r w:rsidRPr="00C173C7">
        <w:rPr>
          <w:rFonts w:ascii="Times New Roman" w:hAnsi="Times New Roman" w:cs="Times New Roman"/>
          <w:sz w:val="20"/>
          <w:szCs w:val="20"/>
          <w:lang w:val="en-GB"/>
        </w:rPr>
        <w:t>Note: Percentages in parentheses indicate relative proportion compa</w:t>
      </w:r>
      <w:r>
        <w:rPr>
          <w:rFonts w:ascii="Times New Roman" w:hAnsi="Times New Roman" w:cs="Times New Roman"/>
          <w:sz w:val="20"/>
          <w:szCs w:val="20"/>
          <w:lang w:val="en-GB"/>
        </w:rPr>
        <w:t>red to the other production.</w:t>
      </w:r>
    </w:p>
    <w:p w14:paraId="378D52EC" w14:textId="7B697994" w:rsidR="00046C8A" w:rsidRDefault="00C173C7" w:rsidP="00C173C7">
      <w:pPr>
        <w:spacing w:line="240" w:lineRule="auto"/>
        <w:rPr>
          <w:rFonts w:ascii="Times New Roman" w:hAnsi="Times New Roman" w:cs="Times New Roman"/>
          <w:sz w:val="20"/>
          <w:szCs w:val="20"/>
          <w:lang w:val="en-GB"/>
        </w:rPr>
      </w:pPr>
      <w:r w:rsidRPr="00C173C7">
        <w:rPr>
          <w:rFonts w:ascii="Times New Roman" w:hAnsi="Times New Roman" w:cs="Times New Roman"/>
          <w:sz w:val="20"/>
          <w:szCs w:val="20"/>
          <w:lang w:val="en-GB"/>
        </w:rPr>
        <w:t xml:space="preserve">The DMX channel allocation (Table IV) reflected the complexity of each production. Saro </w:t>
      </w:r>
      <w:proofErr w:type="gramStart"/>
      <w:r w:rsidRPr="00C173C7">
        <w:rPr>
          <w:rFonts w:ascii="Times New Roman" w:hAnsi="Times New Roman" w:cs="Times New Roman"/>
          <w:sz w:val="20"/>
          <w:szCs w:val="20"/>
          <w:lang w:val="en-GB"/>
        </w:rPr>
        <w:t>The</w:t>
      </w:r>
      <w:proofErr w:type="gramEnd"/>
      <w:r w:rsidRPr="00C173C7">
        <w:rPr>
          <w:rFonts w:ascii="Times New Roman" w:hAnsi="Times New Roman" w:cs="Times New Roman"/>
          <w:sz w:val="20"/>
          <w:szCs w:val="20"/>
          <w:lang w:val="en-GB"/>
        </w:rPr>
        <w:t xml:space="preserve"> Musical used 1,824 DMX channels across two universes, with 512 channels for intensity control, 384 for color mixing, 320 for pan/tilt control, 288 for gobo/effects, and 320 for media server control. Death and the King's Horseman used 1,024 DMX channels across </w:t>
      </w:r>
      <w:r w:rsidR="00346D40" w:rsidRPr="00C173C7">
        <w:rPr>
          <w:rFonts w:ascii="Times New Roman" w:hAnsi="Times New Roman" w:cs="Times New Roman"/>
          <w:sz w:val="20"/>
          <w:szCs w:val="20"/>
          <w:lang w:val="en-GB"/>
        </w:rPr>
        <w:t>1</w:t>
      </w:r>
      <w:r w:rsidRPr="00C173C7">
        <w:rPr>
          <w:rFonts w:ascii="Times New Roman" w:hAnsi="Times New Roman" w:cs="Times New Roman"/>
          <w:sz w:val="20"/>
          <w:szCs w:val="20"/>
          <w:lang w:val="en-GB"/>
        </w:rPr>
        <w:t xml:space="preserve"> universe, with 384 channels for intensity, 256 for color mixing, 192 for pan/tilt, and 96 each for gobo/effects and media server.</w:t>
      </w:r>
    </w:p>
    <w:p w14:paraId="59F8D0F4" w14:textId="7B7C2D28" w:rsidR="00C173C7" w:rsidRDefault="00C173C7" w:rsidP="00C173C7">
      <w:pPr>
        <w:spacing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Table IV: DMX channel allocation by function </w:t>
      </w:r>
    </w:p>
    <w:tbl>
      <w:tblPr>
        <w:tblStyle w:val="ListTable6Colorful1"/>
        <w:tblW w:w="0" w:type="auto"/>
        <w:tblLook w:val="04A0" w:firstRow="1" w:lastRow="0" w:firstColumn="1" w:lastColumn="0" w:noHBand="0" w:noVBand="1"/>
      </w:tblPr>
      <w:tblGrid>
        <w:gridCol w:w="1644"/>
        <w:gridCol w:w="1645"/>
        <w:gridCol w:w="1645"/>
      </w:tblGrid>
      <w:tr w:rsidR="00C173C7" w14:paraId="03C975EC" w14:textId="77777777" w:rsidTr="00C17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5C315C1E" w14:textId="19AA6189"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Function</w:t>
            </w:r>
          </w:p>
        </w:tc>
        <w:tc>
          <w:tcPr>
            <w:tcW w:w="1645" w:type="dxa"/>
          </w:tcPr>
          <w:p w14:paraId="6CA7C0EA" w14:textId="1BA60032" w:rsidR="00C173C7" w:rsidRDefault="00C173C7" w:rsidP="00C173C7">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Saro The Musical</w:t>
            </w:r>
          </w:p>
        </w:tc>
        <w:tc>
          <w:tcPr>
            <w:tcW w:w="1645" w:type="dxa"/>
          </w:tcPr>
          <w:p w14:paraId="7AA0BEED" w14:textId="6370B68D" w:rsidR="00C173C7" w:rsidRDefault="00C173C7" w:rsidP="00C173C7">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Death &amp; King’s Horseman</w:t>
            </w:r>
          </w:p>
        </w:tc>
      </w:tr>
      <w:tr w:rsidR="00C173C7" w14:paraId="6F0AAE65"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62BDA0E5" w14:textId="502F0420"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Intensity Control</w:t>
            </w:r>
          </w:p>
        </w:tc>
        <w:tc>
          <w:tcPr>
            <w:tcW w:w="1645" w:type="dxa"/>
          </w:tcPr>
          <w:p w14:paraId="1FD259F2" w14:textId="6619AC73"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512 channels</w:t>
            </w:r>
          </w:p>
        </w:tc>
        <w:tc>
          <w:tcPr>
            <w:tcW w:w="1645" w:type="dxa"/>
          </w:tcPr>
          <w:p w14:paraId="63D149D7" w14:textId="68813BEA"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384 channels</w:t>
            </w:r>
          </w:p>
        </w:tc>
      </w:tr>
      <w:tr w:rsidR="00C173C7" w14:paraId="1AE2A4A9"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07D14B1C" w14:textId="1B075F5E"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Colo</w:t>
            </w:r>
            <w:r w:rsidR="000917B9">
              <w:rPr>
                <w:rFonts w:ascii="Times New Roman" w:hAnsi="Times New Roman" w:cs="Times New Roman"/>
                <w:sz w:val="20"/>
                <w:szCs w:val="20"/>
                <w:lang w:val="en-GB"/>
              </w:rPr>
              <w:t>u</w:t>
            </w:r>
            <w:r>
              <w:rPr>
                <w:rFonts w:ascii="Times New Roman" w:hAnsi="Times New Roman" w:cs="Times New Roman"/>
                <w:sz w:val="20"/>
                <w:szCs w:val="20"/>
                <w:lang w:val="en-GB"/>
              </w:rPr>
              <w:t>r Mixing (RGBW)</w:t>
            </w:r>
          </w:p>
        </w:tc>
        <w:tc>
          <w:tcPr>
            <w:tcW w:w="1645" w:type="dxa"/>
          </w:tcPr>
          <w:p w14:paraId="033B32BD" w14:textId="046DAEF9"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384 channels</w:t>
            </w:r>
          </w:p>
        </w:tc>
        <w:tc>
          <w:tcPr>
            <w:tcW w:w="1645" w:type="dxa"/>
          </w:tcPr>
          <w:p w14:paraId="11162DAB" w14:textId="33A03B52"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256 channels</w:t>
            </w:r>
          </w:p>
        </w:tc>
      </w:tr>
      <w:tr w:rsidR="00C173C7" w14:paraId="345FC7BF"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03D39FF8" w14:textId="67710BCD"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Pan/Tilt Control</w:t>
            </w:r>
          </w:p>
        </w:tc>
        <w:tc>
          <w:tcPr>
            <w:tcW w:w="1645" w:type="dxa"/>
          </w:tcPr>
          <w:p w14:paraId="68ACA5E3" w14:textId="623611AE"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320 channels</w:t>
            </w:r>
          </w:p>
        </w:tc>
        <w:tc>
          <w:tcPr>
            <w:tcW w:w="1645" w:type="dxa"/>
          </w:tcPr>
          <w:p w14:paraId="4264E987" w14:textId="5F76A173"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192 channels</w:t>
            </w:r>
          </w:p>
        </w:tc>
      </w:tr>
      <w:tr w:rsidR="00C173C7" w14:paraId="0DC0A18C"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597EACD9" w14:textId="50D2B92B"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Gobo/Effects</w:t>
            </w:r>
          </w:p>
        </w:tc>
        <w:tc>
          <w:tcPr>
            <w:tcW w:w="1645" w:type="dxa"/>
          </w:tcPr>
          <w:p w14:paraId="6BB9DF17" w14:textId="43E217E5"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288 channels</w:t>
            </w:r>
          </w:p>
        </w:tc>
        <w:tc>
          <w:tcPr>
            <w:tcW w:w="1645" w:type="dxa"/>
          </w:tcPr>
          <w:p w14:paraId="54B06286" w14:textId="3EE63D4F"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96 channels</w:t>
            </w:r>
          </w:p>
        </w:tc>
      </w:tr>
      <w:tr w:rsidR="00C173C7" w14:paraId="426A4386"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32023CCB" w14:textId="29E477BD"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Media server Control</w:t>
            </w:r>
          </w:p>
        </w:tc>
        <w:tc>
          <w:tcPr>
            <w:tcW w:w="1645" w:type="dxa"/>
          </w:tcPr>
          <w:p w14:paraId="1AE315C9" w14:textId="23E03B4B"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320 channels</w:t>
            </w:r>
          </w:p>
        </w:tc>
        <w:tc>
          <w:tcPr>
            <w:tcW w:w="1645" w:type="dxa"/>
          </w:tcPr>
          <w:p w14:paraId="14C771ED" w14:textId="7D4AAEF7"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96 channels</w:t>
            </w:r>
          </w:p>
        </w:tc>
      </w:tr>
      <w:tr w:rsidR="00C173C7" w14:paraId="61C1BF9F" w14:textId="77777777" w:rsidTr="00C173C7">
        <w:tc>
          <w:tcPr>
            <w:cnfStyle w:val="001000000000" w:firstRow="0" w:lastRow="0" w:firstColumn="1" w:lastColumn="0" w:oddVBand="0" w:evenVBand="0" w:oddHBand="0" w:evenHBand="0" w:firstRowFirstColumn="0" w:firstRowLastColumn="0" w:lastRowFirstColumn="0" w:lastRowLastColumn="0"/>
            <w:tcW w:w="1644" w:type="dxa"/>
          </w:tcPr>
          <w:p w14:paraId="01AD4EE4" w14:textId="3D4E4ED4" w:rsidR="00C173C7" w:rsidRDefault="00C173C7" w:rsidP="00C173C7">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Total</w:t>
            </w:r>
          </w:p>
        </w:tc>
        <w:tc>
          <w:tcPr>
            <w:tcW w:w="1645" w:type="dxa"/>
          </w:tcPr>
          <w:p w14:paraId="70B820D2" w14:textId="384C082E"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1,824</w:t>
            </w:r>
          </w:p>
        </w:tc>
        <w:tc>
          <w:tcPr>
            <w:tcW w:w="1645" w:type="dxa"/>
          </w:tcPr>
          <w:p w14:paraId="62D007A2" w14:textId="7B15ED09" w:rsidR="00C173C7" w:rsidRDefault="00C173C7" w:rsidP="00C173C7">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1,024 </w:t>
            </w:r>
          </w:p>
        </w:tc>
      </w:tr>
    </w:tbl>
    <w:p w14:paraId="65DD5209" w14:textId="492884D3" w:rsidR="00C173C7" w:rsidRDefault="00C173C7" w:rsidP="00C173C7">
      <w:pPr>
        <w:spacing w:line="240" w:lineRule="auto"/>
        <w:jc w:val="both"/>
        <w:rPr>
          <w:rFonts w:ascii="Times New Roman" w:hAnsi="Times New Roman" w:cs="Times New Roman"/>
          <w:sz w:val="20"/>
          <w:szCs w:val="20"/>
          <w:lang w:val="en-GB"/>
        </w:rPr>
      </w:pPr>
    </w:p>
    <w:p w14:paraId="327C691F" w14:textId="2C4A35B1" w:rsidR="00F84BB1" w:rsidRDefault="00F84BB1" w:rsidP="00F84BB1">
      <w:pPr>
        <w:pStyle w:val="Heading2"/>
        <w:rPr>
          <w:rFonts w:ascii="Times New Roman" w:hAnsi="Times New Roman" w:cs="Times New Roman"/>
          <w:color w:val="auto"/>
          <w:sz w:val="20"/>
          <w:szCs w:val="20"/>
          <w:lang w:val="en-GB"/>
        </w:rPr>
      </w:pPr>
      <w:r w:rsidRPr="00F84BB1">
        <w:rPr>
          <w:rFonts w:ascii="Times New Roman" w:hAnsi="Times New Roman" w:cs="Times New Roman"/>
          <w:color w:val="auto"/>
          <w:sz w:val="20"/>
          <w:szCs w:val="20"/>
          <w:lang w:val="en-GB"/>
        </w:rPr>
        <w:t xml:space="preserve">B. </w:t>
      </w:r>
      <w:r>
        <w:rPr>
          <w:rFonts w:ascii="Times New Roman" w:hAnsi="Times New Roman" w:cs="Times New Roman"/>
          <w:color w:val="auto"/>
          <w:sz w:val="20"/>
          <w:szCs w:val="20"/>
          <w:lang w:val="en-GB"/>
        </w:rPr>
        <w:t xml:space="preserve">Power Consumption Analysis </w:t>
      </w:r>
    </w:p>
    <w:p w14:paraId="35FAA423" w14:textId="13A47B9F" w:rsidR="00F84BB1" w:rsidRDefault="00F84BB1" w:rsidP="00F84BB1">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Pr="00F84BB1">
        <w:rPr>
          <w:rFonts w:ascii="Times New Roman" w:hAnsi="Times New Roman" w:cs="Times New Roman"/>
          <w:sz w:val="20"/>
          <w:szCs w:val="20"/>
          <w:lang w:val="en-GB"/>
        </w:rPr>
        <w:t xml:space="preserve">Table V presents the power consumption results. Saro </w:t>
      </w:r>
      <w:proofErr w:type="gramStart"/>
      <w:r w:rsidRPr="00F84BB1">
        <w:rPr>
          <w:rFonts w:ascii="Times New Roman" w:hAnsi="Times New Roman" w:cs="Times New Roman"/>
          <w:sz w:val="20"/>
          <w:szCs w:val="20"/>
          <w:lang w:val="en-GB"/>
        </w:rPr>
        <w:t>The</w:t>
      </w:r>
      <w:proofErr w:type="gramEnd"/>
      <w:r w:rsidRPr="00F84BB1">
        <w:rPr>
          <w:rFonts w:ascii="Times New Roman" w:hAnsi="Times New Roman" w:cs="Times New Roman"/>
          <w:sz w:val="20"/>
          <w:szCs w:val="20"/>
          <w:lang w:val="en-GB"/>
        </w:rPr>
        <w:t xml:space="preserve"> Musical drew 18.45 kW at peak and averaged 11.2 kW during performances—a 62% reduction from the 48 kW conventional baseline. Death and the King's Horseman drew 14.18 kW at </w:t>
      </w:r>
      <w:r w:rsidRPr="00F84BB1">
        <w:rPr>
          <w:rFonts w:ascii="Times New Roman" w:hAnsi="Times New Roman" w:cs="Times New Roman"/>
          <w:sz w:val="20"/>
          <w:szCs w:val="20"/>
          <w:lang w:val="en-GB"/>
        </w:rPr>
        <w:lastRenderedPageBreak/>
        <w:t xml:space="preserve">peak and averaged 8.9 kW, a 70% reduction. The lower consumption in the latter </w:t>
      </w:r>
      <w:proofErr w:type="gramStart"/>
      <w:r w:rsidRPr="00F84BB1">
        <w:rPr>
          <w:rFonts w:ascii="Times New Roman" w:hAnsi="Times New Roman" w:cs="Times New Roman"/>
          <w:sz w:val="20"/>
          <w:szCs w:val="20"/>
          <w:lang w:val="en-GB"/>
        </w:rPr>
        <w:t>is attributed</w:t>
      </w:r>
      <w:proofErr w:type="gramEnd"/>
      <w:r w:rsidRPr="00F84BB1">
        <w:rPr>
          <w:rFonts w:ascii="Times New Roman" w:hAnsi="Times New Roman" w:cs="Times New Roman"/>
          <w:sz w:val="20"/>
          <w:szCs w:val="20"/>
          <w:lang w:val="en-GB"/>
        </w:rPr>
        <w:t xml:space="preserve"> to the use of lower-wattage LED wash fixtures (240W vs. 1,200W) and the absence of high-power laser effects.</w:t>
      </w:r>
    </w:p>
    <w:p w14:paraId="282743BA" w14:textId="187857DA" w:rsidR="00F84BB1" w:rsidRDefault="00F84BB1"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Table V: Power consumption comparison</w:t>
      </w:r>
    </w:p>
    <w:tbl>
      <w:tblPr>
        <w:tblStyle w:val="ListTable6Colorful1"/>
        <w:tblW w:w="0" w:type="auto"/>
        <w:tblLook w:val="04A0" w:firstRow="1" w:lastRow="0" w:firstColumn="1" w:lastColumn="0" w:noHBand="0" w:noVBand="1"/>
      </w:tblPr>
      <w:tblGrid>
        <w:gridCol w:w="1837"/>
        <w:gridCol w:w="831"/>
        <w:gridCol w:w="1022"/>
        <w:gridCol w:w="1254"/>
      </w:tblGrid>
      <w:tr w:rsidR="00F84BB1" w14:paraId="604DDA8B" w14:textId="77777777" w:rsidTr="00774A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3" w:type="dxa"/>
          </w:tcPr>
          <w:p w14:paraId="0D323FAD" w14:textId="12864F27" w:rsidR="00F84BB1" w:rsidRDefault="00BB62B8"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Parameter </w:t>
            </w:r>
          </w:p>
        </w:tc>
        <w:tc>
          <w:tcPr>
            <w:tcW w:w="1233" w:type="dxa"/>
          </w:tcPr>
          <w:p w14:paraId="5BC1917C" w14:textId="23B7A3E5" w:rsidR="00F84BB1" w:rsidRDefault="00BB62B8" w:rsidP="00F84BB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Saro The Musical</w:t>
            </w:r>
          </w:p>
        </w:tc>
        <w:tc>
          <w:tcPr>
            <w:tcW w:w="1234" w:type="dxa"/>
          </w:tcPr>
          <w:p w14:paraId="2BF72062" w14:textId="49542EE0" w:rsidR="00F84BB1" w:rsidRDefault="00BB62B8" w:rsidP="00F84BB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Death &amp; King’s Horseman</w:t>
            </w:r>
          </w:p>
        </w:tc>
        <w:tc>
          <w:tcPr>
            <w:tcW w:w="1234" w:type="dxa"/>
          </w:tcPr>
          <w:p w14:paraId="42A21D61" w14:textId="2879CA9C" w:rsidR="00F84BB1" w:rsidRDefault="00BB62B8" w:rsidP="00F84BB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Conventional Baseline</w:t>
            </w:r>
          </w:p>
        </w:tc>
      </w:tr>
      <w:tr w:rsidR="00F84BB1" w14:paraId="1AFD0B6A" w14:textId="77777777" w:rsidTr="00774A2C">
        <w:tc>
          <w:tcPr>
            <w:cnfStyle w:val="001000000000" w:firstRow="0" w:lastRow="0" w:firstColumn="1" w:lastColumn="0" w:oddVBand="0" w:evenVBand="0" w:oddHBand="0" w:evenHBand="0" w:firstRowFirstColumn="0" w:firstRowLastColumn="0" w:lastRowFirstColumn="0" w:lastRowLastColumn="0"/>
            <w:tcW w:w="1233" w:type="dxa"/>
          </w:tcPr>
          <w:p w14:paraId="25C5EB34" w14:textId="45B1E29C" w:rsidR="00F84BB1" w:rsidRDefault="00BB62B8"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Peak Power </w:t>
            </w:r>
            <w:r w:rsidR="00346D40">
              <w:rPr>
                <w:rFonts w:ascii="Times New Roman" w:hAnsi="Times New Roman" w:cs="Times New Roman"/>
                <w:sz w:val="20"/>
                <w:szCs w:val="20"/>
                <w:lang w:val="en-GB"/>
              </w:rPr>
              <w:t xml:space="preserve">(kW) </w:t>
            </w:r>
          </w:p>
        </w:tc>
        <w:tc>
          <w:tcPr>
            <w:tcW w:w="1233" w:type="dxa"/>
          </w:tcPr>
          <w:p w14:paraId="34DCE22A" w14:textId="15EE3ED9"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18.45</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0.37</w:t>
            </w:r>
          </w:p>
        </w:tc>
        <w:tc>
          <w:tcPr>
            <w:tcW w:w="1234" w:type="dxa"/>
          </w:tcPr>
          <w:p w14:paraId="18DD288C" w14:textId="63611459"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14.18</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0.28</w:t>
            </w:r>
          </w:p>
        </w:tc>
        <w:tc>
          <w:tcPr>
            <w:tcW w:w="1234" w:type="dxa"/>
          </w:tcPr>
          <w:p w14:paraId="77693AAE" w14:textId="7B2091F9"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48.00</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4.8</w:t>
            </w:r>
          </w:p>
        </w:tc>
      </w:tr>
      <w:tr w:rsidR="00F84BB1" w14:paraId="53307354" w14:textId="77777777" w:rsidTr="00774A2C">
        <w:tc>
          <w:tcPr>
            <w:cnfStyle w:val="001000000000" w:firstRow="0" w:lastRow="0" w:firstColumn="1" w:lastColumn="0" w:oddVBand="0" w:evenVBand="0" w:oddHBand="0" w:evenHBand="0" w:firstRowFirstColumn="0" w:firstRowLastColumn="0" w:lastRowFirstColumn="0" w:lastRowLastColumn="0"/>
            <w:tcW w:w="1233" w:type="dxa"/>
          </w:tcPr>
          <w:p w14:paraId="78ABB20D" w14:textId="0D3E8FA8" w:rsidR="00F84BB1" w:rsidRDefault="00346D40"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Average Operating Power (kW) </w:t>
            </w:r>
          </w:p>
        </w:tc>
        <w:tc>
          <w:tcPr>
            <w:tcW w:w="1233" w:type="dxa"/>
          </w:tcPr>
          <w:p w14:paraId="6DDAA70A" w14:textId="10A32A7F"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11.2</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0.22</w:t>
            </w:r>
          </w:p>
        </w:tc>
        <w:tc>
          <w:tcPr>
            <w:tcW w:w="1234" w:type="dxa"/>
          </w:tcPr>
          <w:p w14:paraId="78471075" w14:textId="6B9D17AF"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8.9</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0.18</w:t>
            </w:r>
          </w:p>
        </w:tc>
        <w:tc>
          <w:tcPr>
            <w:tcW w:w="1234" w:type="dxa"/>
          </w:tcPr>
          <w:p w14:paraId="594F5303" w14:textId="298A417A"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32.0</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3.2</w:t>
            </w:r>
          </w:p>
        </w:tc>
      </w:tr>
      <w:tr w:rsidR="00F84BB1" w14:paraId="6CEBF929" w14:textId="77777777" w:rsidTr="00774A2C">
        <w:tc>
          <w:tcPr>
            <w:cnfStyle w:val="001000000000" w:firstRow="0" w:lastRow="0" w:firstColumn="1" w:lastColumn="0" w:oddVBand="0" w:evenVBand="0" w:oddHBand="0" w:evenHBand="0" w:firstRowFirstColumn="0" w:firstRowLastColumn="0" w:lastRowFirstColumn="0" w:lastRowLastColumn="0"/>
            <w:tcW w:w="1233" w:type="dxa"/>
          </w:tcPr>
          <w:p w14:paraId="04C5442C" w14:textId="1F90DD09" w:rsidR="00F84BB1" w:rsidRDefault="00346D40"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Power Reduction vs. Baseline</w:t>
            </w:r>
          </w:p>
        </w:tc>
        <w:tc>
          <w:tcPr>
            <w:tcW w:w="1233" w:type="dxa"/>
          </w:tcPr>
          <w:p w14:paraId="1ED4F99E" w14:textId="75D06306"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62%</w:t>
            </w:r>
          </w:p>
        </w:tc>
        <w:tc>
          <w:tcPr>
            <w:tcW w:w="1234" w:type="dxa"/>
          </w:tcPr>
          <w:p w14:paraId="6B78EDA0" w14:textId="0B613BD0"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70%</w:t>
            </w:r>
          </w:p>
        </w:tc>
        <w:tc>
          <w:tcPr>
            <w:tcW w:w="1234" w:type="dxa"/>
          </w:tcPr>
          <w:p w14:paraId="1940FB0E" w14:textId="742060F7"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r>
      <w:tr w:rsidR="00F84BB1" w14:paraId="0641DCB9" w14:textId="77777777" w:rsidTr="00774A2C">
        <w:tc>
          <w:tcPr>
            <w:cnfStyle w:val="001000000000" w:firstRow="0" w:lastRow="0" w:firstColumn="1" w:lastColumn="0" w:oddVBand="0" w:evenVBand="0" w:oddHBand="0" w:evenHBand="0" w:firstRowFirstColumn="0" w:firstRowLastColumn="0" w:lastRowFirstColumn="0" w:lastRowLastColumn="0"/>
            <w:tcW w:w="1233" w:type="dxa"/>
          </w:tcPr>
          <w:p w14:paraId="33C29920" w14:textId="28866892" w:rsidR="00F84BB1" w:rsidRDefault="00346D40"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Estimated Energy/Performance (kWh)</w:t>
            </w:r>
          </w:p>
        </w:tc>
        <w:tc>
          <w:tcPr>
            <w:tcW w:w="1233" w:type="dxa"/>
          </w:tcPr>
          <w:p w14:paraId="4B792496" w14:textId="2646961D"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56</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1.1</w:t>
            </w:r>
          </w:p>
        </w:tc>
        <w:tc>
          <w:tcPr>
            <w:tcW w:w="1234" w:type="dxa"/>
          </w:tcPr>
          <w:p w14:paraId="017D5EAB" w14:textId="2945C0B5"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44.5</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0.9</w:t>
            </w:r>
          </w:p>
        </w:tc>
        <w:tc>
          <w:tcPr>
            <w:tcW w:w="1234" w:type="dxa"/>
          </w:tcPr>
          <w:p w14:paraId="41A5873C" w14:textId="764737BD"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160</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16</w:t>
            </w:r>
          </w:p>
        </w:tc>
      </w:tr>
      <w:tr w:rsidR="00F84BB1" w14:paraId="17268BC2" w14:textId="77777777" w:rsidTr="00774A2C">
        <w:tc>
          <w:tcPr>
            <w:cnfStyle w:val="001000000000" w:firstRow="0" w:lastRow="0" w:firstColumn="1" w:lastColumn="0" w:oddVBand="0" w:evenVBand="0" w:oddHBand="0" w:evenHBand="0" w:firstRowFirstColumn="0" w:firstRowLastColumn="0" w:lastRowFirstColumn="0" w:lastRowLastColumn="0"/>
            <w:tcW w:w="1233" w:type="dxa"/>
          </w:tcPr>
          <w:p w14:paraId="27BD4E92" w14:textId="08BA6DE4" w:rsidR="00F84BB1" w:rsidRDefault="00346D40"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Estimated Annual Energy (kWh)</w:t>
            </w:r>
          </w:p>
        </w:tc>
        <w:tc>
          <w:tcPr>
            <w:tcW w:w="1233" w:type="dxa"/>
          </w:tcPr>
          <w:p w14:paraId="247BF4B5" w14:textId="46193011"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2,800</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55</w:t>
            </w:r>
          </w:p>
        </w:tc>
        <w:tc>
          <w:tcPr>
            <w:tcW w:w="1234" w:type="dxa"/>
          </w:tcPr>
          <w:p w14:paraId="42678A09" w14:textId="7B76FD34"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2,225</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45</w:t>
            </w:r>
          </w:p>
        </w:tc>
        <w:tc>
          <w:tcPr>
            <w:tcW w:w="1234" w:type="dxa"/>
          </w:tcPr>
          <w:p w14:paraId="192763A6" w14:textId="1CC84957" w:rsidR="00F84BB1" w:rsidRDefault="00346D40" w:rsidP="00F84BB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8.000</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800</w:t>
            </w:r>
          </w:p>
        </w:tc>
      </w:tr>
    </w:tbl>
    <w:p w14:paraId="5BCEF9BF" w14:textId="79D90B8B" w:rsidR="00F84BB1" w:rsidRDefault="00346D40" w:rsidP="00F84BB1">
      <w:pPr>
        <w:jc w:val="center"/>
        <w:rPr>
          <w:rFonts w:ascii="Times New Roman" w:hAnsi="Times New Roman" w:cs="Times New Roman"/>
          <w:sz w:val="20"/>
          <w:szCs w:val="20"/>
          <w:lang w:val="en-GB"/>
        </w:rPr>
      </w:pPr>
      <w:r>
        <w:rPr>
          <w:rFonts w:ascii="Times New Roman" w:hAnsi="Times New Roman" w:cs="Times New Roman"/>
          <w:sz w:val="20"/>
          <w:szCs w:val="20"/>
          <w:lang w:val="en-GB"/>
        </w:rPr>
        <w:t>*Based on 50 performance</w:t>
      </w:r>
      <w:r w:rsidR="00DD5988">
        <w:rPr>
          <w:rFonts w:ascii="Times New Roman" w:hAnsi="Times New Roman" w:cs="Times New Roman"/>
          <w:sz w:val="20"/>
          <w:szCs w:val="20"/>
          <w:lang w:val="en-GB"/>
        </w:rPr>
        <w:t>s</w:t>
      </w:r>
      <w:r>
        <w:rPr>
          <w:rFonts w:ascii="Times New Roman" w:hAnsi="Times New Roman" w:cs="Times New Roman"/>
          <w:sz w:val="20"/>
          <w:szCs w:val="20"/>
          <w:lang w:val="en-GB"/>
        </w:rPr>
        <w:t>/year average.</w:t>
      </w:r>
    </w:p>
    <w:p w14:paraId="570F4916" w14:textId="1DB3AF27" w:rsidR="00346D40" w:rsidRDefault="00DD5988" w:rsidP="00F84BB1">
      <w:pPr>
        <w:jc w:val="center"/>
        <w:rPr>
          <w:rFonts w:ascii="Times New Roman" w:hAnsi="Times New Roman" w:cs="Times New Roman"/>
          <w:b/>
          <w:sz w:val="20"/>
          <w:szCs w:val="20"/>
          <w:lang w:val="en-GB"/>
        </w:rPr>
      </w:pPr>
      <w:r>
        <w:rPr>
          <w:rFonts w:ascii="Times New Roman" w:hAnsi="Times New Roman" w:cs="Times New Roman"/>
          <w:b/>
          <w:sz w:val="20"/>
          <w:szCs w:val="20"/>
          <w:lang w:val="en-GB"/>
        </w:rPr>
        <w:t>Calculation of Percentage Power Reduction</w:t>
      </w:r>
      <w:r w:rsidR="00346D40" w:rsidRPr="00346D40">
        <w:rPr>
          <w:rFonts w:ascii="Times New Roman" w:hAnsi="Times New Roman" w:cs="Times New Roman"/>
          <w:b/>
          <w:sz w:val="20"/>
          <w:szCs w:val="20"/>
          <w:lang w:val="en-GB"/>
        </w:rPr>
        <w:t>:</w:t>
      </w:r>
      <w:r w:rsidR="00346D40">
        <w:rPr>
          <w:rFonts w:ascii="Times New Roman" w:hAnsi="Times New Roman" w:cs="Times New Roman"/>
          <w:b/>
          <w:sz w:val="20"/>
          <w:szCs w:val="20"/>
          <w:lang w:val="en-GB"/>
        </w:rPr>
        <w:t xml:space="preserve"> </w:t>
      </w:r>
    </w:p>
    <w:p w14:paraId="4C43777A" w14:textId="78DE08D1" w:rsidR="00346D40" w:rsidRDefault="00346D40" w:rsidP="00346D40">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Saro: [(48.0 – 18.45) / 48.0] </w:t>
      </w:r>
      <w:r>
        <w:rPr>
          <w:rFonts w:ascii="Dubai" w:hAnsi="Dubai" w:cs="Dubai"/>
          <w:sz w:val="20"/>
          <w:szCs w:val="20"/>
          <w:lang w:val="en-GB"/>
        </w:rPr>
        <w:t>×</w:t>
      </w:r>
      <w:r>
        <w:rPr>
          <w:rFonts w:ascii="Times New Roman" w:hAnsi="Times New Roman" w:cs="Times New Roman"/>
          <w:sz w:val="20"/>
          <w:szCs w:val="20"/>
          <w:lang w:val="en-GB"/>
        </w:rPr>
        <w:t xml:space="preserve"> 100% = 61.6%</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5C2746">
        <w:rPr>
          <w:rFonts w:ascii="Times New Roman" w:hAnsi="Times New Roman" w:cs="Times New Roman"/>
          <w:lang w:val="en-GB"/>
        </w:rPr>
        <w:t>1.2%)</w:t>
      </w:r>
    </w:p>
    <w:p w14:paraId="108A49B2" w14:textId="605F59CA" w:rsidR="00046C8A" w:rsidRDefault="00346D40"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Death: [(48.0 – 14.18) / 48.0] </w:t>
      </w:r>
      <w:r>
        <w:rPr>
          <w:rFonts w:ascii="Dubai" w:hAnsi="Dubai" w:cs="Dubai"/>
          <w:sz w:val="20"/>
          <w:szCs w:val="20"/>
          <w:lang w:val="en-GB"/>
        </w:rPr>
        <w:t xml:space="preserve">× </w:t>
      </w:r>
      <w:r>
        <w:rPr>
          <w:rFonts w:ascii="Times New Roman" w:hAnsi="Times New Roman" w:cs="Times New Roman"/>
          <w:sz w:val="20"/>
          <w:szCs w:val="20"/>
          <w:lang w:val="en-GB"/>
        </w:rPr>
        <w:t>100% = 70.5%</w:t>
      </w:r>
      <w:r w:rsidR="005C2746">
        <w:rPr>
          <w:rFonts w:ascii="Times New Roman" w:hAnsi="Times New Roman" w:cs="Times New Roman"/>
          <w:sz w:val="20"/>
          <w:szCs w:val="20"/>
          <w:lang w:val="en-GB"/>
        </w:rPr>
        <w:t xml:space="preserve"> (</w:t>
      </w:r>
      <w:r w:rsidR="005C2746">
        <w:rPr>
          <w:rFonts w:ascii="Times New Roman" w:hAnsi="Times New Roman" w:cs="Times New Roman"/>
          <w:lang w:val="en-GB"/>
        </w:rPr>
        <w:t>±</w:t>
      </w:r>
      <w:r w:rsidR="00161F59">
        <w:rPr>
          <w:rFonts w:ascii="Times New Roman" w:hAnsi="Times New Roman" w:cs="Times New Roman"/>
          <w:lang w:val="en-GB"/>
        </w:rPr>
        <w:t>1.0%)</w:t>
      </w:r>
    </w:p>
    <w:p w14:paraId="4B14DA94" w14:textId="6D6B97B6" w:rsidR="00046C8A" w:rsidRDefault="00774A2C" w:rsidP="00774A2C">
      <w:pPr>
        <w:pStyle w:val="Heading2"/>
        <w:jc w:val="both"/>
        <w:rPr>
          <w:rFonts w:ascii="Times New Roman" w:hAnsi="Times New Roman" w:cs="Times New Roman"/>
          <w:color w:val="auto"/>
          <w:sz w:val="20"/>
          <w:szCs w:val="20"/>
          <w:lang w:val="en-GB"/>
        </w:rPr>
      </w:pPr>
      <w:r w:rsidRPr="00774A2C">
        <w:rPr>
          <w:rFonts w:ascii="Times New Roman" w:hAnsi="Times New Roman" w:cs="Times New Roman"/>
          <w:color w:val="auto"/>
          <w:sz w:val="20"/>
          <w:szCs w:val="20"/>
          <w:lang w:val="en-GB"/>
        </w:rPr>
        <w:t xml:space="preserve">C. </w:t>
      </w:r>
      <w:r>
        <w:rPr>
          <w:rFonts w:ascii="Times New Roman" w:hAnsi="Times New Roman" w:cs="Times New Roman"/>
          <w:color w:val="auto"/>
          <w:sz w:val="20"/>
          <w:szCs w:val="20"/>
          <w:lang w:val="en-GB"/>
        </w:rPr>
        <w:t>Illuminance Measurements</w:t>
      </w:r>
    </w:p>
    <w:p w14:paraId="53A822BE" w14:textId="66E4010A" w:rsidR="00774A2C" w:rsidRDefault="00774A2C" w:rsidP="00774A2C">
      <w:pPr>
        <w:jc w:val="both"/>
        <w:rPr>
          <w:rFonts w:ascii="Times New Roman" w:hAnsi="Times New Roman" w:cs="Times New Roman"/>
          <w:color w:val="0F1115"/>
          <w:sz w:val="20"/>
          <w:szCs w:val="20"/>
          <w:shd w:val="clear" w:color="auto" w:fill="FFFFFF"/>
        </w:rPr>
      </w:pPr>
      <w:r>
        <w:rPr>
          <w:lang w:val="en-GB"/>
        </w:rPr>
        <w:t xml:space="preserve">      </w:t>
      </w:r>
      <w:r w:rsidRPr="00774A2C">
        <w:rPr>
          <w:rFonts w:ascii="Times New Roman" w:hAnsi="Times New Roman" w:cs="Times New Roman"/>
          <w:color w:val="0F1115"/>
          <w:sz w:val="20"/>
          <w:szCs w:val="20"/>
          <w:shd w:val="clear" w:color="auto" w:fill="FFFFFF"/>
        </w:rPr>
        <w:t>Table VI presents illumina</w:t>
      </w:r>
      <w:r w:rsidR="00753D04">
        <w:rPr>
          <w:rFonts w:ascii="Times New Roman" w:hAnsi="Times New Roman" w:cs="Times New Roman"/>
          <w:color w:val="0F1115"/>
          <w:sz w:val="20"/>
          <w:szCs w:val="20"/>
          <w:shd w:val="clear" w:color="auto" w:fill="FFFFFF"/>
        </w:rPr>
        <w:t>nce at stage center</w:t>
      </w:r>
      <w:r w:rsidRPr="00774A2C">
        <w:rPr>
          <w:rFonts w:ascii="Times New Roman" w:hAnsi="Times New Roman" w:cs="Times New Roman"/>
          <w:color w:val="0F1115"/>
          <w:sz w:val="20"/>
          <w:szCs w:val="20"/>
          <w:shd w:val="clear" w:color="auto" w:fill="FFFFFF"/>
        </w:rPr>
        <w:t xml:space="preserve"> by scene state. </w:t>
      </w:r>
      <w:r w:rsidRPr="00774A2C">
        <w:rPr>
          <w:rStyle w:val="Emphasis"/>
          <w:rFonts w:ascii="Times New Roman" w:hAnsi="Times New Roman" w:cs="Times New Roman"/>
          <w:color w:val="0F1115"/>
          <w:sz w:val="20"/>
          <w:szCs w:val="20"/>
          <w:shd w:val="clear" w:color="auto" w:fill="FFFFFF"/>
        </w:rPr>
        <w:t xml:space="preserve">Saro </w:t>
      </w:r>
      <w:proofErr w:type="gramStart"/>
      <w:r w:rsidRPr="00774A2C">
        <w:rPr>
          <w:rStyle w:val="Emphasis"/>
          <w:rFonts w:ascii="Times New Roman" w:hAnsi="Times New Roman" w:cs="Times New Roman"/>
          <w:color w:val="0F1115"/>
          <w:sz w:val="20"/>
          <w:szCs w:val="20"/>
          <w:shd w:val="clear" w:color="auto" w:fill="FFFFFF"/>
        </w:rPr>
        <w:t>The</w:t>
      </w:r>
      <w:proofErr w:type="gramEnd"/>
      <w:r w:rsidRPr="00774A2C">
        <w:rPr>
          <w:rStyle w:val="Emphasis"/>
          <w:rFonts w:ascii="Times New Roman" w:hAnsi="Times New Roman" w:cs="Times New Roman"/>
          <w:color w:val="0F1115"/>
          <w:sz w:val="20"/>
          <w:szCs w:val="20"/>
          <w:shd w:val="clear" w:color="auto" w:fill="FFFFFF"/>
        </w:rPr>
        <w:t xml:space="preserve"> Musical</w:t>
      </w:r>
      <w:r w:rsidRPr="00774A2C">
        <w:rPr>
          <w:rFonts w:ascii="Times New Roman" w:hAnsi="Times New Roman" w:cs="Times New Roman"/>
          <w:color w:val="0F1115"/>
          <w:sz w:val="20"/>
          <w:szCs w:val="20"/>
          <w:shd w:val="clear" w:color="auto" w:fill="FFFFFF"/>
        </w:rPr>
        <w:t> achieved 850 lux</w:t>
      </w:r>
      <w:r w:rsidR="00753D04">
        <w:rPr>
          <w:rFonts w:ascii="Times New Roman" w:hAnsi="Times New Roman" w:cs="Times New Roman"/>
          <w:color w:val="0F1115"/>
          <w:sz w:val="20"/>
          <w:szCs w:val="20"/>
          <w:shd w:val="clear" w:color="auto" w:fill="FFFFFF"/>
        </w:rPr>
        <w:t xml:space="preserve"> (</w:t>
      </w:r>
      <w:r w:rsidR="00753D04">
        <w:rPr>
          <w:rFonts w:ascii="Times New Roman" w:hAnsi="Times New Roman" w:cs="Times New Roman"/>
          <w:lang w:val="en-GB"/>
        </w:rPr>
        <w:t>±</w:t>
      </w:r>
      <w:r w:rsidR="00753D04">
        <w:rPr>
          <w:rFonts w:ascii="Times New Roman" w:hAnsi="Times New Roman" w:cs="Times New Roman"/>
          <w:lang w:val="en-GB"/>
        </w:rPr>
        <w:t xml:space="preserve">12 lux measurement uncertainty) </w:t>
      </w:r>
      <w:r w:rsidRPr="00774A2C">
        <w:rPr>
          <w:rFonts w:ascii="Times New Roman" w:hAnsi="Times New Roman" w:cs="Times New Roman"/>
          <w:color w:val="0F1115"/>
          <w:sz w:val="20"/>
          <w:szCs w:val="20"/>
          <w:shd w:val="clear" w:color="auto" w:fill="FFFFFF"/>
        </w:rPr>
        <w:t>during musical numbers, appropriate for the genre's high-energy aesthetic. </w:t>
      </w:r>
      <w:r w:rsidRPr="00774A2C">
        <w:rPr>
          <w:rStyle w:val="Emphasis"/>
          <w:rFonts w:ascii="Times New Roman" w:hAnsi="Times New Roman" w:cs="Times New Roman"/>
          <w:color w:val="0F1115"/>
          <w:sz w:val="20"/>
          <w:szCs w:val="20"/>
          <w:shd w:val="clear" w:color="auto" w:fill="FFFFFF"/>
        </w:rPr>
        <w:t>Death and the King's Horseman</w:t>
      </w:r>
      <w:r w:rsidRPr="00774A2C">
        <w:rPr>
          <w:rFonts w:ascii="Times New Roman" w:hAnsi="Times New Roman" w:cs="Times New Roman"/>
          <w:color w:val="0F1115"/>
          <w:sz w:val="20"/>
          <w:szCs w:val="20"/>
          <w:shd w:val="clear" w:color="auto" w:fill="FFFFFF"/>
        </w:rPr>
        <w:t> achieved 650 lux</w:t>
      </w:r>
      <w:r w:rsidR="00753D04">
        <w:rPr>
          <w:rFonts w:ascii="Times New Roman" w:hAnsi="Times New Roman" w:cs="Times New Roman"/>
          <w:color w:val="0F1115"/>
          <w:sz w:val="20"/>
          <w:szCs w:val="20"/>
          <w:shd w:val="clear" w:color="auto" w:fill="FFFFFF"/>
        </w:rPr>
        <w:t xml:space="preserve"> (</w:t>
      </w:r>
      <w:r w:rsidR="00753D04">
        <w:rPr>
          <w:rFonts w:ascii="Times New Roman" w:hAnsi="Times New Roman" w:cs="Times New Roman"/>
          <w:lang w:val="en-GB"/>
        </w:rPr>
        <w:t>±</w:t>
      </w:r>
      <w:r w:rsidR="00753D04">
        <w:rPr>
          <w:rFonts w:ascii="Times New Roman" w:hAnsi="Times New Roman" w:cs="Times New Roman"/>
          <w:lang w:val="en-GB"/>
        </w:rPr>
        <w:t>8 lux)</w:t>
      </w:r>
      <w:r w:rsidRPr="00774A2C">
        <w:rPr>
          <w:rFonts w:ascii="Times New Roman" w:hAnsi="Times New Roman" w:cs="Times New Roman"/>
          <w:color w:val="0F1115"/>
          <w:sz w:val="20"/>
          <w:szCs w:val="20"/>
          <w:shd w:val="clear" w:color="auto" w:fill="FFFFFF"/>
        </w:rPr>
        <w:t>, suitable for dramatic tension. The dynamic range (brightest/darkest scene) was 30.4:1 for the musical and 43.3:1 for the drama, exceeding typical thea</w:t>
      </w:r>
      <w:r w:rsidR="00DD5988">
        <w:rPr>
          <w:rFonts w:ascii="Times New Roman" w:hAnsi="Times New Roman" w:cs="Times New Roman"/>
          <w:color w:val="0F1115"/>
          <w:sz w:val="20"/>
          <w:szCs w:val="20"/>
          <w:shd w:val="clear" w:color="auto" w:fill="FFFFFF"/>
        </w:rPr>
        <w:t>trical requirements of 20:1 (Brockett, 2011)</w:t>
      </w:r>
      <w:r w:rsidRPr="00774A2C">
        <w:rPr>
          <w:rFonts w:ascii="Times New Roman" w:hAnsi="Times New Roman" w:cs="Times New Roman"/>
          <w:color w:val="0F1115"/>
          <w:sz w:val="20"/>
          <w:szCs w:val="20"/>
          <w:shd w:val="clear" w:color="auto" w:fill="FFFFFF"/>
        </w:rPr>
        <w:t>.</w:t>
      </w:r>
    </w:p>
    <w:p w14:paraId="0F5C456D" w14:textId="78CAAF50" w:rsidR="00774A2C" w:rsidRDefault="00774A2C" w:rsidP="00774A2C">
      <w:pPr>
        <w:jc w:val="center"/>
        <w:rPr>
          <w:rFonts w:ascii="Times New Roman" w:hAnsi="Times New Roman" w:cs="Times New Roman"/>
          <w:color w:val="0F1115"/>
          <w:sz w:val="20"/>
          <w:szCs w:val="20"/>
          <w:shd w:val="clear" w:color="auto" w:fill="FFFFFF"/>
        </w:rPr>
      </w:pPr>
      <w:r>
        <w:rPr>
          <w:rFonts w:ascii="Times New Roman" w:hAnsi="Times New Roman" w:cs="Times New Roman"/>
          <w:color w:val="0F1115"/>
          <w:sz w:val="20"/>
          <w:szCs w:val="20"/>
          <w:shd w:val="clear" w:color="auto" w:fill="FFFFFF"/>
        </w:rPr>
        <w:t xml:space="preserve">Table VI: Illuminance (lux) at stage center (Position 5) by scene state </w:t>
      </w:r>
    </w:p>
    <w:tbl>
      <w:tblPr>
        <w:tblStyle w:val="ListTable6Colorful1"/>
        <w:tblW w:w="0" w:type="auto"/>
        <w:tblLook w:val="04A0" w:firstRow="1" w:lastRow="0" w:firstColumn="1" w:lastColumn="0" w:noHBand="0" w:noVBand="1"/>
      </w:tblPr>
      <w:tblGrid>
        <w:gridCol w:w="1644"/>
        <w:gridCol w:w="1645"/>
        <w:gridCol w:w="1645"/>
      </w:tblGrid>
      <w:tr w:rsidR="00774A2C" w14:paraId="3A996F40" w14:textId="77777777" w:rsidTr="00774A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0D38081C" w14:textId="660C432D"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Scene State</w:t>
            </w:r>
          </w:p>
        </w:tc>
        <w:tc>
          <w:tcPr>
            <w:tcW w:w="1645" w:type="dxa"/>
          </w:tcPr>
          <w:p w14:paraId="399BDD62" w14:textId="028E3322" w:rsidR="00774A2C" w:rsidRDefault="00774A2C" w:rsidP="00774A2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Saro The Musical</w:t>
            </w:r>
          </w:p>
        </w:tc>
        <w:tc>
          <w:tcPr>
            <w:tcW w:w="1645" w:type="dxa"/>
          </w:tcPr>
          <w:p w14:paraId="2B88CFD2" w14:textId="06304BC5" w:rsidR="00774A2C" w:rsidRDefault="00774A2C" w:rsidP="00774A2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Death &amp; King’s Horseman</w:t>
            </w:r>
          </w:p>
        </w:tc>
      </w:tr>
      <w:tr w:rsidR="00774A2C" w14:paraId="79649DE4"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2B4DBA6D" w14:textId="7BDEDF52"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Baseline (no lighting)</w:t>
            </w:r>
          </w:p>
        </w:tc>
        <w:tc>
          <w:tcPr>
            <w:tcW w:w="1645" w:type="dxa"/>
          </w:tcPr>
          <w:p w14:paraId="5FF5A8B5" w14:textId="24C2FB50"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0.5</w:t>
            </w:r>
          </w:p>
        </w:tc>
        <w:tc>
          <w:tcPr>
            <w:tcW w:w="1645" w:type="dxa"/>
          </w:tcPr>
          <w:p w14:paraId="6E562209" w14:textId="13780BE7"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0.5</w:t>
            </w:r>
          </w:p>
        </w:tc>
      </w:tr>
      <w:tr w:rsidR="00774A2C" w14:paraId="4000F34E"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240A1FF4" w14:textId="006FCBA6"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Pre-show</w:t>
            </w:r>
          </w:p>
        </w:tc>
        <w:tc>
          <w:tcPr>
            <w:tcW w:w="1645" w:type="dxa"/>
          </w:tcPr>
          <w:p w14:paraId="33788B50" w14:textId="33C77967"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2.1</w:t>
            </w:r>
          </w:p>
        </w:tc>
        <w:tc>
          <w:tcPr>
            <w:tcW w:w="1645" w:type="dxa"/>
          </w:tcPr>
          <w:p w14:paraId="32855454" w14:textId="29F103A9"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1.8</w:t>
            </w:r>
          </w:p>
        </w:tc>
      </w:tr>
      <w:tr w:rsidR="00774A2C" w14:paraId="278382B3"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7F82DA8A" w14:textId="25978636"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Village/Kutunji Opening</w:t>
            </w:r>
          </w:p>
        </w:tc>
        <w:tc>
          <w:tcPr>
            <w:tcW w:w="1645" w:type="dxa"/>
          </w:tcPr>
          <w:p w14:paraId="5A06CCDA" w14:textId="30EFB784"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5.6</w:t>
            </w:r>
          </w:p>
        </w:tc>
        <w:tc>
          <w:tcPr>
            <w:tcW w:w="1645" w:type="dxa"/>
          </w:tcPr>
          <w:p w14:paraId="51EDB69D" w14:textId="64E99411"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r>
      <w:tr w:rsidR="00774A2C" w14:paraId="68C5EB77"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7B39C273" w14:textId="2AA6E3AC"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Lagos City/Urban Scenes </w:t>
            </w:r>
          </w:p>
        </w:tc>
        <w:tc>
          <w:tcPr>
            <w:tcW w:w="1645" w:type="dxa"/>
          </w:tcPr>
          <w:p w14:paraId="71E5A32C" w14:textId="70E3AB85"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420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8.4</w:t>
            </w:r>
          </w:p>
        </w:tc>
        <w:tc>
          <w:tcPr>
            <w:tcW w:w="1645" w:type="dxa"/>
          </w:tcPr>
          <w:p w14:paraId="11B1B052" w14:textId="3E0ACDFE"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r>
      <w:tr w:rsidR="00774A2C" w14:paraId="57CD2E5B"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0BE71E7B" w14:textId="5AAD6FAC"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Market Scenes </w:t>
            </w:r>
          </w:p>
        </w:tc>
        <w:tc>
          <w:tcPr>
            <w:tcW w:w="1645" w:type="dxa"/>
          </w:tcPr>
          <w:p w14:paraId="3C891DE4" w14:textId="6748CF3D"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c>
          <w:tcPr>
            <w:tcW w:w="1645" w:type="dxa"/>
          </w:tcPr>
          <w:p w14:paraId="734C790F" w14:textId="2A425317"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3.2</w:t>
            </w:r>
          </w:p>
        </w:tc>
      </w:tr>
      <w:tr w:rsidR="00774A2C" w14:paraId="45F6E0FC"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75784746" w14:textId="2A68239D"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Interior/Night Scenes</w:t>
            </w:r>
          </w:p>
        </w:tc>
        <w:tc>
          <w:tcPr>
            <w:tcW w:w="1645" w:type="dxa"/>
          </w:tcPr>
          <w:p w14:paraId="2253500D" w14:textId="16E6C99E"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2.5</w:t>
            </w:r>
          </w:p>
        </w:tc>
        <w:tc>
          <w:tcPr>
            <w:tcW w:w="1645" w:type="dxa"/>
          </w:tcPr>
          <w:p w14:paraId="7132D3DE" w14:textId="51303CEB"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2.2</w:t>
            </w:r>
          </w:p>
        </w:tc>
      </w:tr>
      <w:tr w:rsidR="00774A2C" w14:paraId="358E3594"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2B220EC5" w14:textId="3B1E688C"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Musical/Dance Numbers</w:t>
            </w:r>
          </w:p>
        </w:tc>
        <w:tc>
          <w:tcPr>
            <w:tcW w:w="1645" w:type="dxa"/>
          </w:tcPr>
          <w:p w14:paraId="549D72A2" w14:textId="347251B8"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780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11</w:t>
            </w:r>
          </w:p>
        </w:tc>
        <w:tc>
          <w:tcPr>
            <w:tcW w:w="1645" w:type="dxa"/>
          </w:tcPr>
          <w:p w14:paraId="37438D3D" w14:textId="178F62F4"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r>
      <w:tr w:rsidR="00774A2C" w14:paraId="73A039AF"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2BAA2F21" w14:textId="7BA5FB3A"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Ritual/Spiritual Scenes </w:t>
            </w:r>
          </w:p>
        </w:tc>
        <w:tc>
          <w:tcPr>
            <w:tcW w:w="1645" w:type="dxa"/>
          </w:tcPr>
          <w:p w14:paraId="3ADEDFF4" w14:textId="7E2AB1BD"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c>
          <w:tcPr>
            <w:tcW w:w="1645" w:type="dxa"/>
          </w:tcPr>
          <w:p w14:paraId="13425AC0" w14:textId="2A0FFA43"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1.5</w:t>
            </w:r>
          </w:p>
        </w:tc>
      </w:tr>
      <w:tr w:rsidR="00774A2C" w14:paraId="5944B728"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64D1E8C8" w14:textId="12C90950"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Emotional Climax</w:t>
            </w:r>
          </w:p>
        </w:tc>
        <w:tc>
          <w:tcPr>
            <w:tcW w:w="1645" w:type="dxa"/>
          </w:tcPr>
          <w:p w14:paraId="63DC2462" w14:textId="0581CF84"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1.8</w:t>
            </w:r>
          </w:p>
        </w:tc>
        <w:tc>
          <w:tcPr>
            <w:tcW w:w="1645" w:type="dxa"/>
          </w:tcPr>
          <w:p w14:paraId="0F6CBABE" w14:textId="7C675D6C"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1.2</w:t>
            </w:r>
          </w:p>
        </w:tc>
      </w:tr>
      <w:tr w:rsidR="00774A2C" w14:paraId="3086E30A"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3C3352D9" w14:textId="248495EA"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Finale</w:t>
            </w:r>
          </w:p>
        </w:tc>
        <w:tc>
          <w:tcPr>
            <w:tcW w:w="1645" w:type="dxa"/>
          </w:tcPr>
          <w:p w14:paraId="17FE1617" w14:textId="5E23CA19"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850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12</w:t>
            </w:r>
          </w:p>
        </w:tc>
        <w:tc>
          <w:tcPr>
            <w:tcW w:w="1645" w:type="dxa"/>
          </w:tcPr>
          <w:p w14:paraId="09A2403C" w14:textId="305274EB"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r>
      <w:tr w:rsidR="00774A2C" w14:paraId="79F29ABC" w14:textId="77777777" w:rsidTr="00774A2C">
        <w:tc>
          <w:tcPr>
            <w:cnfStyle w:val="001000000000" w:firstRow="0" w:lastRow="0" w:firstColumn="1" w:lastColumn="0" w:oddVBand="0" w:evenVBand="0" w:oddHBand="0" w:evenHBand="0" w:firstRowFirstColumn="0" w:firstRowLastColumn="0" w:lastRowFirstColumn="0" w:lastRowLastColumn="0"/>
            <w:tcW w:w="1644" w:type="dxa"/>
          </w:tcPr>
          <w:p w14:paraId="41C0B4AC" w14:textId="10337B77" w:rsidR="00774A2C" w:rsidRDefault="00774A2C" w:rsidP="00774A2C">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Colonial Authority Scenes </w:t>
            </w:r>
          </w:p>
        </w:tc>
        <w:tc>
          <w:tcPr>
            <w:tcW w:w="1645" w:type="dxa"/>
          </w:tcPr>
          <w:p w14:paraId="18E0139D" w14:textId="50FB1FF7"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t>
            </w:r>
          </w:p>
        </w:tc>
        <w:tc>
          <w:tcPr>
            <w:tcW w:w="1645" w:type="dxa"/>
          </w:tcPr>
          <w:p w14:paraId="675D1B71" w14:textId="03D4C78E" w:rsidR="00774A2C" w:rsidRDefault="00774A2C" w:rsidP="00774A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 xml:space="preserve"> 5.2</w:t>
            </w:r>
          </w:p>
        </w:tc>
      </w:tr>
    </w:tbl>
    <w:p w14:paraId="10C96DCE" w14:textId="57B85531" w:rsidR="00D7411C" w:rsidRDefault="00D7411C" w:rsidP="00DD5988">
      <w:pPr>
        <w:spacing w:line="240" w:lineRule="auto"/>
        <w:rPr>
          <w:rFonts w:ascii="Times New Roman" w:hAnsi="Times New Roman" w:cs="Times New Roman"/>
          <w:sz w:val="20"/>
          <w:szCs w:val="20"/>
          <w:lang w:val="en-GB"/>
        </w:rPr>
      </w:pPr>
    </w:p>
    <w:p w14:paraId="55A91AA8" w14:textId="6CD00811" w:rsidR="00DD5988" w:rsidRPr="00DD5988" w:rsidRDefault="00DD5988" w:rsidP="00DD5988">
      <w:pPr>
        <w:spacing w:line="240" w:lineRule="auto"/>
        <w:rPr>
          <w:rFonts w:ascii="Times New Roman" w:hAnsi="Times New Roman" w:cs="Times New Roman"/>
          <w:sz w:val="20"/>
          <w:szCs w:val="20"/>
          <w:lang w:val="en-GB"/>
        </w:rPr>
      </w:pPr>
      <w:r>
        <w:rPr>
          <w:rFonts w:ascii="Times New Roman" w:hAnsi="Times New Roman" w:cs="Times New Roman"/>
          <w:sz w:val="20"/>
          <w:szCs w:val="20"/>
          <w:lang w:val="en-GB"/>
        </w:rPr>
        <w:t>Both productions achieved identical stage uniformity ratios (min/max = 0.28</w:t>
      </w:r>
      <w:r w:rsidR="00753D04">
        <w:rPr>
          <w:rFonts w:ascii="Times New Roman" w:hAnsi="Times New Roman" w:cs="Times New Roman"/>
          <w:sz w:val="20"/>
          <w:szCs w:val="20"/>
          <w:lang w:val="en-GB"/>
        </w:rPr>
        <w:t xml:space="preserve">, </w:t>
      </w:r>
      <w:r w:rsidR="00753D04">
        <w:rPr>
          <w:rFonts w:ascii="Times New Roman" w:hAnsi="Times New Roman" w:cs="Times New Roman"/>
          <w:lang w:val="en-GB"/>
        </w:rPr>
        <w:t>±</w:t>
      </w:r>
      <w:r w:rsidR="00753D04">
        <w:rPr>
          <w:rFonts w:ascii="Times New Roman" w:hAnsi="Times New Roman" w:cs="Times New Roman"/>
          <w:lang w:val="en-GB"/>
        </w:rPr>
        <w:t>0.02</w:t>
      </w:r>
      <w:r>
        <w:rPr>
          <w:rFonts w:ascii="Times New Roman" w:hAnsi="Times New Roman" w:cs="Times New Roman"/>
          <w:sz w:val="20"/>
          <w:szCs w:val="20"/>
          <w:lang w:val="en-GB"/>
        </w:rPr>
        <w:t>), indicating comparable coverage quality despite different fixture configurations.</w:t>
      </w:r>
    </w:p>
    <w:p w14:paraId="7B6566B0" w14:textId="6AC08158" w:rsidR="00D7411C" w:rsidRDefault="00D7411C" w:rsidP="00D7411C">
      <w:pPr>
        <w:spacing w:line="240" w:lineRule="auto"/>
        <w:jc w:val="both"/>
        <w:rPr>
          <w:rFonts w:ascii="Times New Roman" w:hAnsi="Times New Roman" w:cs="Times New Roman"/>
          <w:sz w:val="20"/>
          <w:szCs w:val="20"/>
          <w:lang w:val="en-GB"/>
        </w:rPr>
      </w:pPr>
    </w:p>
    <w:p w14:paraId="762EF484" w14:textId="236751C1" w:rsidR="00D7411C" w:rsidRDefault="00EA6066" w:rsidP="00EA6066">
      <w:pPr>
        <w:pStyle w:val="Heading2"/>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D. Color Anal</w:t>
      </w:r>
      <w:bookmarkStart w:id="1" w:name="_GoBack"/>
      <w:bookmarkEnd w:id="1"/>
      <w:r>
        <w:rPr>
          <w:rFonts w:ascii="Times New Roman" w:hAnsi="Times New Roman" w:cs="Times New Roman"/>
          <w:color w:val="auto"/>
          <w:sz w:val="20"/>
          <w:szCs w:val="20"/>
          <w:lang w:val="en-GB"/>
        </w:rPr>
        <w:t xml:space="preserve">ysis </w:t>
      </w:r>
    </w:p>
    <w:p w14:paraId="4DB81F05" w14:textId="7DDF7DE0" w:rsidR="00EA6066" w:rsidRDefault="00EA6066" w:rsidP="00EA6066">
      <w:pPr>
        <w:jc w:val="both"/>
        <w:rPr>
          <w:rFonts w:ascii="Times New Roman" w:hAnsi="Times New Roman" w:cs="Times New Roman"/>
          <w:sz w:val="20"/>
          <w:szCs w:val="20"/>
          <w:lang w:val="en-GB"/>
        </w:rPr>
      </w:pPr>
      <w:r>
        <w:rPr>
          <w:lang w:val="en-GB"/>
        </w:rPr>
        <w:t xml:space="preserve">      </w:t>
      </w:r>
      <w:r w:rsidR="00DD5988">
        <w:rPr>
          <w:rFonts w:ascii="Times New Roman" w:hAnsi="Times New Roman" w:cs="Times New Roman"/>
          <w:sz w:val="20"/>
          <w:szCs w:val="20"/>
          <w:lang w:val="en-GB"/>
        </w:rPr>
        <w:t>Table VII</w:t>
      </w:r>
      <w:r>
        <w:rPr>
          <w:rFonts w:ascii="Times New Roman" w:hAnsi="Times New Roman" w:cs="Times New Roman"/>
          <w:sz w:val="20"/>
          <w:szCs w:val="20"/>
          <w:lang w:val="en-GB"/>
        </w:rPr>
        <w:t xml:space="preserve"> present the color parameters by scene type. The analysis revealed RGBW mixing achieving 92% of Rec. 709 gamut for Saro </w:t>
      </w:r>
      <w:proofErr w:type="gramStart"/>
      <w:r>
        <w:rPr>
          <w:rFonts w:ascii="Times New Roman" w:hAnsi="Times New Roman" w:cs="Times New Roman"/>
          <w:sz w:val="20"/>
          <w:szCs w:val="20"/>
          <w:lang w:val="en-GB"/>
        </w:rPr>
        <w:t>The</w:t>
      </w:r>
      <w:proofErr w:type="gramEnd"/>
      <w:r>
        <w:rPr>
          <w:rFonts w:ascii="Times New Roman" w:hAnsi="Times New Roman" w:cs="Times New Roman"/>
          <w:sz w:val="20"/>
          <w:szCs w:val="20"/>
          <w:lang w:val="en-GB"/>
        </w:rPr>
        <w:t xml:space="preserve"> Musical and 85% for Death and the King’s Horseman. CCT ranged from 1,800K (ritual scenes) to 5,800K (colonial authority scenes). CRI values of 78-94 indicate </w:t>
      </w:r>
      <w:proofErr w:type="gramStart"/>
      <w:r>
        <w:rPr>
          <w:rFonts w:ascii="Times New Roman" w:hAnsi="Times New Roman" w:cs="Times New Roman"/>
          <w:sz w:val="20"/>
          <w:szCs w:val="20"/>
          <w:lang w:val="en-GB"/>
        </w:rPr>
        <w:t>good</w:t>
      </w:r>
      <w:proofErr w:type="gramEnd"/>
      <w:r w:rsidR="00DD5988">
        <w:rPr>
          <w:rFonts w:ascii="Times New Roman" w:hAnsi="Times New Roman" w:cs="Times New Roman"/>
          <w:sz w:val="20"/>
          <w:szCs w:val="20"/>
          <w:lang w:val="en-GB"/>
        </w:rPr>
        <w:t xml:space="preserve"> to excellent color rendering (Corie, 2014)</w:t>
      </w:r>
      <w:r>
        <w:rPr>
          <w:rFonts w:ascii="Times New Roman" w:hAnsi="Times New Roman" w:cs="Times New Roman"/>
          <w:sz w:val="20"/>
          <w:szCs w:val="20"/>
          <w:lang w:val="en-GB"/>
        </w:rPr>
        <w:t>.</w:t>
      </w:r>
    </w:p>
    <w:p w14:paraId="5C9BEDD0" w14:textId="77777777"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p>
    <w:p w14:paraId="2561FA90" w14:textId="1CF752BD"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DD5988">
        <w:rPr>
          <w:rFonts w:ascii="Times New Roman" w:hAnsi="Times New Roman" w:cs="Times New Roman"/>
          <w:sz w:val="20"/>
          <w:szCs w:val="20"/>
          <w:lang w:val="en-GB"/>
        </w:rPr>
        <w:t>Table VII</w:t>
      </w:r>
      <w:r>
        <w:rPr>
          <w:rFonts w:ascii="Times New Roman" w:hAnsi="Times New Roman" w:cs="Times New Roman"/>
          <w:sz w:val="20"/>
          <w:szCs w:val="20"/>
          <w:lang w:val="en-GB"/>
        </w:rPr>
        <w:t>: Color parameters by scene type</w:t>
      </w:r>
    </w:p>
    <w:tbl>
      <w:tblPr>
        <w:tblStyle w:val="ListTable6Colorful1"/>
        <w:tblW w:w="0" w:type="auto"/>
        <w:tblLook w:val="04A0" w:firstRow="1" w:lastRow="0" w:firstColumn="1" w:lastColumn="0" w:noHBand="0" w:noVBand="1"/>
      </w:tblPr>
      <w:tblGrid>
        <w:gridCol w:w="1233"/>
        <w:gridCol w:w="1233"/>
        <w:gridCol w:w="1234"/>
        <w:gridCol w:w="1234"/>
      </w:tblGrid>
      <w:tr w:rsidR="00EA6066" w14:paraId="37CCFD93" w14:textId="77777777" w:rsidTr="00EA60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3" w:type="dxa"/>
          </w:tcPr>
          <w:p w14:paraId="5575879A" w14:textId="7C9F0264"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Scene Type </w:t>
            </w:r>
          </w:p>
        </w:tc>
        <w:tc>
          <w:tcPr>
            <w:tcW w:w="1233" w:type="dxa"/>
          </w:tcPr>
          <w:p w14:paraId="18E00FB7" w14:textId="503A1FB5"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CCT (K)</w:t>
            </w:r>
          </w:p>
        </w:tc>
        <w:tc>
          <w:tcPr>
            <w:tcW w:w="1234" w:type="dxa"/>
          </w:tcPr>
          <w:p w14:paraId="66C7A11E" w14:textId="0F8CFC7D"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CRI Ra </w:t>
            </w:r>
          </w:p>
        </w:tc>
        <w:tc>
          <w:tcPr>
            <w:tcW w:w="1234" w:type="dxa"/>
          </w:tcPr>
          <w:p w14:paraId="137CDA3C" w14:textId="5C04F139"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Primary Gamut</w:t>
            </w:r>
          </w:p>
        </w:tc>
      </w:tr>
      <w:tr w:rsidR="00EA6066" w14:paraId="00BB80F9"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4E28B8B5" w14:textId="31221EF5"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Saro Village</w:t>
            </w:r>
          </w:p>
        </w:tc>
        <w:tc>
          <w:tcPr>
            <w:tcW w:w="1233" w:type="dxa"/>
          </w:tcPr>
          <w:p w14:paraId="0B42DC76" w14:textId="542B6464"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3,200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64</w:t>
            </w:r>
          </w:p>
        </w:tc>
        <w:tc>
          <w:tcPr>
            <w:tcW w:w="1234" w:type="dxa"/>
          </w:tcPr>
          <w:p w14:paraId="1F105324" w14:textId="294D8D04"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92</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1.4</w:t>
            </w:r>
          </w:p>
        </w:tc>
        <w:tc>
          <w:tcPr>
            <w:tcW w:w="1234" w:type="dxa"/>
          </w:tcPr>
          <w:p w14:paraId="50524F5D" w14:textId="1953326F"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Warm (amber, gold)</w:t>
            </w:r>
          </w:p>
        </w:tc>
      </w:tr>
      <w:tr w:rsidR="00EA6066" w14:paraId="1598EBDC"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344F904C" w14:textId="01839FCE"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Saro Lagos Day</w:t>
            </w:r>
          </w:p>
        </w:tc>
        <w:tc>
          <w:tcPr>
            <w:tcW w:w="1233" w:type="dxa"/>
          </w:tcPr>
          <w:p w14:paraId="6B5F8428" w14:textId="5187D18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5,600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112</w:t>
            </w:r>
          </w:p>
        </w:tc>
        <w:tc>
          <w:tcPr>
            <w:tcW w:w="1234" w:type="dxa"/>
          </w:tcPr>
          <w:p w14:paraId="4A5DE1FD" w14:textId="5B3F291D"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1.3</w:t>
            </w:r>
          </w:p>
        </w:tc>
        <w:tc>
          <w:tcPr>
            <w:tcW w:w="1234" w:type="dxa"/>
          </w:tcPr>
          <w:p w14:paraId="0EB374EA" w14:textId="74E42821"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Cool (white, cyan)</w:t>
            </w:r>
          </w:p>
        </w:tc>
      </w:tr>
      <w:tr w:rsidR="00EA6066" w14:paraId="60EAE276"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269D08E7" w14:textId="6B433D46"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Saro Nightclub</w:t>
            </w:r>
          </w:p>
        </w:tc>
        <w:tc>
          <w:tcPr>
            <w:tcW w:w="1233" w:type="dxa"/>
          </w:tcPr>
          <w:p w14:paraId="716B3F4F" w14:textId="03AC7B41"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2,800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56</w:t>
            </w:r>
          </w:p>
        </w:tc>
        <w:tc>
          <w:tcPr>
            <w:tcW w:w="1234" w:type="dxa"/>
          </w:tcPr>
          <w:p w14:paraId="3A68BF26" w14:textId="0223A9EE"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1.3</w:t>
            </w:r>
          </w:p>
        </w:tc>
        <w:tc>
          <w:tcPr>
            <w:tcW w:w="1234" w:type="dxa"/>
          </w:tcPr>
          <w:p w14:paraId="5F79DB9C" w14:textId="69C798A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RGB saturated</w:t>
            </w:r>
          </w:p>
        </w:tc>
      </w:tr>
      <w:tr w:rsidR="00EA6066" w14:paraId="69C3BF20"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2DFEAD33" w14:textId="7D14E449"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lastRenderedPageBreak/>
              <w:t>Saro Emotional</w:t>
            </w:r>
          </w:p>
        </w:tc>
        <w:tc>
          <w:tcPr>
            <w:tcW w:w="1233" w:type="dxa"/>
          </w:tcPr>
          <w:p w14:paraId="1E473953" w14:textId="07ACD98D"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2,700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54</w:t>
            </w:r>
          </w:p>
        </w:tc>
        <w:tc>
          <w:tcPr>
            <w:tcW w:w="1234" w:type="dxa"/>
          </w:tcPr>
          <w:p w14:paraId="2D6ED6AE" w14:textId="3C72AB53"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1.4</w:t>
            </w:r>
          </w:p>
        </w:tc>
        <w:tc>
          <w:tcPr>
            <w:tcW w:w="1234" w:type="dxa"/>
          </w:tcPr>
          <w:p w14:paraId="102EAD87" w14:textId="62427B2A"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Deep blue, purple</w:t>
            </w:r>
          </w:p>
        </w:tc>
      </w:tr>
      <w:tr w:rsidR="00EA6066" w14:paraId="42CA119D"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1588197A" w14:textId="3B2AE86C"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Death Market</w:t>
            </w:r>
          </w:p>
        </w:tc>
        <w:tc>
          <w:tcPr>
            <w:tcW w:w="1233" w:type="dxa"/>
          </w:tcPr>
          <w:p w14:paraId="2146118C" w14:textId="07198FE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3,500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70</w:t>
            </w:r>
          </w:p>
        </w:tc>
        <w:tc>
          <w:tcPr>
            <w:tcW w:w="1234" w:type="dxa"/>
          </w:tcPr>
          <w:p w14:paraId="181BF27E" w14:textId="637CEBEC"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94</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1.4</w:t>
            </w:r>
          </w:p>
        </w:tc>
        <w:tc>
          <w:tcPr>
            <w:tcW w:w="1234" w:type="dxa"/>
          </w:tcPr>
          <w:p w14:paraId="03327BF5" w14:textId="44DA11FE"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Earth tones</w:t>
            </w:r>
          </w:p>
        </w:tc>
      </w:tr>
      <w:tr w:rsidR="00EA6066" w14:paraId="6C589D05"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5D1282EF" w14:textId="1D5EFF27"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Death Ritual</w:t>
            </w:r>
          </w:p>
        </w:tc>
        <w:tc>
          <w:tcPr>
            <w:tcW w:w="1233" w:type="dxa"/>
          </w:tcPr>
          <w:p w14:paraId="2A3605EF" w14:textId="538FE505"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36</w:t>
            </w:r>
          </w:p>
        </w:tc>
        <w:tc>
          <w:tcPr>
            <w:tcW w:w="1234" w:type="dxa"/>
          </w:tcPr>
          <w:p w14:paraId="758E6602" w14:textId="67EF0A5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78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1.2</w:t>
            </w:r>
          </w:p>
        </w:tc>
        <w:tc>
          <w:tcPr>
            <w:tcW w:w="1234" w:type="dxa"/>
          </w:tcPr>
          <w:p w14:paraId="72EC3FCD" w14:textId="5746726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Deep red, amber</w:t>
            </w:r>
          </w:p>
        </w:tc>
      </w:tr>
      <w:tr w:rsidR="00EA6066" w14:paraId="1B6AFC0E"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1E8CCB45" w14:textId="56349153"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Death Colonial</w:t>
            </w:r>
          </w:p>
        </w:tc>
        <w:tc>
          <w:tcPr>
            <w:tcW w:w="1233" w:type="dxa"/>
          </w:tcPr>
          <w:p w14:paraId="1A5ED2B0" w14:textId="78AEED49"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5,800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116</w:t>
            </w:r>
          </w:p>
        </w:tc>
        <w:tc>
          <w:tcPr>
            <w:tcW w:w="1234" w:type="dxa"/>
          </w:tcPr>
          <w:p w14:paraId="42C55B64" w14:textId="3FAFC0DA"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1.3</w:t>
            </w:r>
          </w:p>
        </w:tc>
        <w:tc>
          <w:tcPr>
            <w:tcW w:w="1234" w:type="dxa"/>
          </w:tcPr>
          <w:p w14:paraId="284FE0AC" w14:textId="4B1048AB"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Cool, white</w:t>
            </w:r>
          </w:p>
        </w:tc>
      </w:tr>
      <w:tr w:rsidR="00EA6066" w14:paraId="0F9E9398" w14:textId="77777777" w:rsidTr="00EA6066">
        <w:tc>
          <w:tcPr>
            <w:cnfStyle w:val="001000000000" w:firstRow="0" w:lastRow="0" w:firstColumn="1" w:lastColumn="0" w:oddVBand="0" w:evenVBand="0" w:oddHBand="0" w:evenHBand="0" w:firstRowFirstColumn="0" w:firstRowLastColumn="0" w:lastRowFirstColumn="0" w:lastRowLastColumn="0"/>
            <w:tcW w:w="1233" w:type="dxa"/>
          </w:tcPr>
          <w:p w14:paraId="4ED6786A" w14:textId="342DD1DA"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Death Spiritual</w:t>
            </w:r>
          </w:p>
        </w:tc>
        <w:tc>
          <w:tcPr>
            <w:tcW w:w="1233" w:type="dxa"/>
          </w:tcPr>
          <w:p w14:paraId="14D663EF" w14:textId="76D3A530"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4,200</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84</w:t>
            </w:r>
          </w:p>
        </w:tc>
        <w:tc>
          <w:tcPr>
            <w:tcW w:w="1234" w:type="dxa"/>
          </w:tcPr>
          <w:p w14:paraId="7FC4911A" w14:textId="6F71515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82</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1.2</w:t>
            </w:r>
          </w:p>
        </w:tc>
        <w:tc>
          <w:tcPr>
            <w:tcW w:w="1234" w:type="dxa"/>
          </w:tcPr>
          <w:p w14:paraId="32FF8503" w14:textId="5FCC742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Blue, lavender</w:t>
            </w:r>
          </w:p>
        </w:tc>
      </w:tr>
    </w:tbl>
    <w:p w14:paraId="3826FC9E" w14:textId="73D6F6C0" w:rsidR="00EA6066" w:rsidRDefault="00EA6066" w:rsidP="00EA6066">
      <w:pPr>
        <w:jc w:val="both"/>
        <w:rPr>
          <w:rFonts w:ascii="Times New Roman" w:hAnsi="Times New Roman" w:cs="Times New Roman"/>
          <w:b/>
          <w:sz w:val="20"/>
          <w:szCs w:val="20"/>
          <w:lang w:val="en-GB"/>
        </w:rPr>
      </w:pPr>
      <w:r>
        <w:rPr>
          <w:rFonts w:ascii="Times New Roman" w:hAnsi="Times New Roman" w:cs="Times New Roman"/>
          <w:b/>
          <w:sz w:val="20"/>
          <w:szCs w:val="20"/>
          <w:lang w:val="en-GB"/>
        </w:rPr>
        <w:t>RGBW Color Mixing Capability:</w:t>
      </w:r>
    </w:p>
    <w:p w14:paraId="1C210CCE" w14:textId="4773F9E4" w:rsidR="00EA6066" w:rsidRDefault="00EA6066" w:rsidP="00EA6066">
      <w:pPr>
        <w:pStyle w:val="ListParagraph"/>
        <w:numPr>
          <w:ilvl w:val="0"/>
          <w:numId w:val="31"/>
        </w:numPr>
        <w:jc w:val="both"/>
        <w:rPr>
          <w:rFonts w:ascii="Times New Roman" w:hAnsi="Times New Roman" w:cs="Times New Roman"/>
          <w:sz w:val="20"/>
          <w:szCs w:val="20"/>
          <w:lang w:val="en-GB"/>
        </w:rPr>
      </w:pPr>
      <w:r>
        <w:rPr>
          <w:rFonts w:ascii="Times New Roman" w:hAnsi="Times New Roman" w:cs="Times New Roman"/>
          <w:sz w:val="20"/>
          <w:szCs w:val="20"/>
          <w:lang w:val="en-GB"/>
        </w:rPr>
        <w:t>Available color: 16,77,216 (8-bit per channel)</w:t>
      </w:r>
    </w:p>
    <w:p w14:paraId="5336CADB" w14:textId="452D930E" w:rsidR="00EA6066" w:rsidRDefault="00EA6066" w:rsidP="00EA6066">
      <w:pPr>
        <w:pStyle w:val="ListParagraph"/>
        <w:numPr>
          <w:ilvl w:val="0"/>
          <w:numId w:val="31"/>
        </w:numPr>
        <w:jc w:val="both"/>
        <w:rPr>
          <w:rFonts w:ascii="Times New Roman" w:hAnsi="Times New Roman" w:cs="Times New Roman"/>
          <w:sz w:val="20"/>
          <w:szCs w:val="20"/>
          <w:lang w:val="en-GB"/>
        </w:rPr>
      </w:pPr>
      <w:r>
        <w:rPr>
          <w:rFonts w:ascii="Times New Roman" w:hAnsi="Times New Roman" w:cs="Times New Roman"/>
          <w:sz w:val="20"/>
          <w:szCs w:val="20"/>
          <w:lang w:val="en-GB"/>
        </w:rPr>
        <w:t>Measured color gamut: 92% of Rec. 709</w:t>
      </w:r>
    </w:p>
    <w:p w14:paraId="006F4F37" w14:textId="6E102AA1" w:rsidR="00EA6066" w:rsidRPr="00EA6066" w:rsidRDefault="00EA6066" w:rsidP="00EA6066">
      <w:pPr>
        <w:pStyle w:val="ListParagraph"/>
        <w:numPr>
          <w:ilvl w:val="0"/>
          <w:numId w:val="31"/>
        </w:numPr>
        <w:jc w:val="both"/>
        <w:rPr>
          <w:rFonts w:ascii="Times New Roman" w:hAnsi="Times New Roman" w:cs="Times New Roman"/>
          <w:sz w:val="20"/>
          <w:szCs w:val="20"/>
          <w:lang w:val="en-GB"/>
        </w:rPr>
      </w:pPr>
      <w:r>
        <w:rPr>
          <w:rFonts w:ascii="Times New Roman" w:hAnsi="Times New Roman" w:cs="Times New Roman"/>
          <w:sz w:val="20"/>
          <w:szCs w:val="20"/>
          <w:lang w:val="en-GB"/>
        </w:rPr>
        <w:t>Color mixing speed; &lt;0.5 seconds for full crossfade</w:t>
      </w:r>
    </w:p>
    <w:p w14:paraId="42E1F1E6" w14:textId="3CD13A34" w:rsidR="00046C8A" w:rsidRDefault="00EA6066" w:rsidP="00EA6066">
      <w:pPr>
        <w:pStyle w:val="Heading2"/>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   E. Dynamic System Performance</w:t>
      </w:r>
    </w:p>
    <w:p w14:paraId="41B2AC04" w14:textId="2EFDC54B" w:rsidR="00EA6066" w:rsidRDefault="00EA6066" w:rsidP="00EA6066">
      <w:pPr>
        <w:jc w:val="both"/>
        <w:rPr>
          <w:rFonts w:ascii="Times New Roman" w:hAnsi="Times New Roman" w:cs="Times New Roman"/>
          <w:sz w:val="20"/>
          <w:szCs w:val="20"/>
          <w:lang w:val="en-GB"/>
        </w:rPr>
      </w:pPr>
      <w:r>
        <w:rPr>
          <w:lang w:val="en-GB"/>
        </w:rPr>
        <w:t xml:space="preserve">          </w:t>
      </w:r>
      <w:r w:rsidR="00DD5988">
        <w:rPr>
          <w:rFonts w:ascii="Times New Roman" w:hAnsi="Times New Roman" w:cs="Times New Roman"/>
          <w:sz w:val="20"/>
          <w:szCs w:val="20"/>
          <w:lang w:val="en-GB"/>
        </w:rPr>
        <w:t>Table VIII</w:t>
      </w:r>
      <w:r>
        <w:rPr>
          <w:rFonts w:ascii="Times New Roman" w:hAnsi="Times New Roman" w:cs="Times New Roman"/>
          <w:sz w:val="20"/>
          <w:szCs w:val="20"/>
          <w:lang w:val="en-GB"/>
        </w:rPr>
        <w:t xml:space="preserve"> presents the lighting cue analysis. Saro </w:t>
      </w:r>
      <w:proofErr w:type="gramStart"/>
      <w:r>
        <w:rPr>
          <w:rFonts w:ascii="Times New Roman" w:hAnsi="Times New Roman" w:cs="Times New Roman"/>
          <w:sz w:val="20"/>
          <w:szCs w:val="20"/>
          <w:lang w:val="en-GB"/>
        </w:rPr>
        <w:t>The</w:t>
      </w:r>
      <w:proofErr w:type="gramEnd"/>
      <w:r>
        <w:rPr>
          <w:rFonts w:ascii="Times New Roman" w:hAnsi="Times New Roman" w:cs="Times New Roman"/>
          <w:sz w:val="20"/>
          <w:szCs w:val="20"/>
          <w:lang w:val="en-GB"/>
        </w:rPr>
        <w:t xml:space="preserve"> Musical programmed 312 lighting cues, averaging 3.9 cues per minute. The densest moments, during dance numbers, reached 8.2 cues per minute. Death and the King’s Horseman programmed 186 cues, averaging 2.3 cues per minute.</w:t>
      </w:r>
    </w:p>
    <w:p w14:paraId="7051F0F1" w14:textId="70CD5DFD"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DD5988">
        <w:rPr>
          <w:rFonts w:ascii="Times New Roman" w:hAnsi="Times New Roman" w:cs="Times New Roman"/>
          <w:sz w:val="20"/>
          <w:szCs w:val="20"/>
          <w:lang w:val="en-GB"/>
        </w:rPr>
        <w:t>Table VIII</w:t>
      </w:r>
      <w:r>
        <w:rPr>
          <w:rFonts w:ascii="Times New Roman" w:hAnsi="Times New Roman" w:cs="Times New Roman"/>
          <w:sz w:val="20"/>
          <w:szCs w:val="20"/>
          <w:lang w:val="en-GB"/>
        </w:rPr>
        <w:t>: Lighting cue analysis</w:t>
      </w:r>
    </w:p>
    <w:tbl>
      <w:tblPr>
        <w:tblStyle w:val="ListTable6Colorful1"/>
        <w:tblW w:w="0" w:type="auto"/>
        <w:tblLook w:val="04A0" w:firstRow="1" w:lastRow="0" w:firstColumn="1" w:lastColumn="0" w:noHBand="0" w:noVBand="1"/>
      </w:tblPr>
      <w:tblGrid>
        <w:gridCol w:w="1644"/>
        <w:gridCol w:w="1645"/>
        <w:gridCol w:w="1645"/>
      </w:tblGrid>
      <w:tr w:rsidR="00EA6066" w14:paraId="75C0B81B" w14:textId="77777777" w:rsidTr="00EA60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3CDAFCD3" w14:textId="4B731BC2"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Parameter </w:t>
            </w:r>
          </w:p>
        </w:tc>
        <w:tc>
          <w:tcPr>
            <w:tcW w:w="1645" w:type="dxa"/>
          </w:tcPr>
          <w:p w14:paraId="3821F535" w14:textId="219BB15A"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Saro-The Musical</w:t>
            </w:r>
          </w:p>
        </w:tc>
        <w:tc>
          <w:tcPr>
            <w:tcW w:w="1645" w:type="dxa"/>
          </w:tcPr>
          <w:p w14:paraId="09C8C1D5" w14:textId="0FE115E6"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Death &amp; King’s Horseman</w:t>
            </w:r>
          </w:p>
        </w:tc>
      </w:tr>
      <w:tr w:rsidR="00EA6066" w14:paraId="73BB98FC"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7D63D8B1" w14:textId="33CD218A"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Total Cues Programmed</w:t>
            </w:r>
          </w:p>
        </w:tc>
        <w:tc>
          <w:tcPr>
            <w:tcW w:w="1645" w:type="dxa"/>
          </w:tcPr>
          <w:p w14:paraId="7A7D0C49" w14:textId="5E3423F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312</w:t>
            </w:r>
          </w:p>
        </w:tc>
        <w:tc>
          <w:tcPr>
            <w:tcW w:w="1645" w:type="dxa"/>
          </w:tcPr>
          <w:p w14:paraId="2A4D54D1" w14:textId="2A2059A4"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186</w:t>
            </w:r>
          </w:p>
        </w:tc>
      </w:tr>
      <w:tr w:rsidR="00EA6066" w14:paraId="58569D31"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7EE8EB30" w14:textId="1873CA3C"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Average Cues per Minute</w:t>
            </w:r>
          </w:p>
        </w:tc>
        <w:tc>
          <w:tcPr>
            <w:tcW w:w="1645" w:type="dxa"/>
          </w:tcPr>
          <w:p w14:paraId="48938327" w14:textId="0980E061"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3.9</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0.2</w:t>
            </w:r>
          </w:p>
        </w:tc>
        <w:tc>
          <w:tcPr>
            <w:tcW w:w="1645" w:type="dxa"/>
          </w:tcPr>
          <w:p w14:paraId="5E1B4C9A" w14:textId="5EF7775B"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2.3</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0.1</w:t>
            </w:r>
          </w:p>
        </w:tc>
      </w:tr>
      <w:tr w:rsidR="00EA6066" w14:paraId="3AC48F5E"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0DD93433" w14:textId="15964083"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Maximum Cues per Minute (Dance)</w:t>
            </w:r>
          </w:p>
        </w:tc>
        <w:tc>
          <w:tcPr>
            <w:tcW w:w="1645" w:type="dxa"/>
          </w:tcPr>
          <w:p w14:paraId="60B4425F" w14:textId="705CE105"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8.2</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0.4</w:t>
            </w:r>
          </w:p>
        </w:tc>
        <w:tc>
          <w:tcPr>
            <w:tcW w:w="1645" w:type="dxa"/>
          </w:tcPr>
          <w:p w14:paraId="7E63190A" w14:textId="300D9A27"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4.1</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0.2</w:t>
            </w:r>
          </w:p>
        </w:tc>
      </w:tr>
      <w:tr w:rsidR="00EA6066" w14:paraId="6B2F21E0"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21BCD102" w14:textId="11D7A13A"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Average Fade Time (s)</w:t>
            </w:r>
          </w:p>
        </w:tc>
        <w:tc>
          <w:tcPr>
            <w:tcW w:w="1645" w:type="dxa"/>
          </w:tcPr>
          <w:p w14:paraId="63AAF49E" w14:textId="290740E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0.1</w:t>
            </w:r>
          </w:p>
        </w:tc>
        <w:tc>
          <w:tcPr>
            <w:tcW w:w="1645" w:type="dxa"/>
          </w:tcPr>
          <w:p w14:paraId="307748C3" w14:textId="0FFF9F3C"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3.8</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0.2</w:t>
            </w:r>
          </w:p>
        </w:tc>
      </w:tr>
      <w:tr w:rsidR="00EA6066" w14:paraId="7B8F2BA7"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0A3381B1" w14:textId="453BF540"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Minimum Fade Time (s)</w:t>
            </w:r>
          </w:p>
        </w:tc>
        <w:tc>
          <w:tcPr>
            <w:tcW w:w="1645" w:type="dxa"/>
          </w:tcPr>
          <w:p w14:paraId="75032BC1" w14:textId="1A4CE818"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0 (snap)</w:t>
            </w:r>
          </w:p>
        </w:tc>
        <w:tc>
          <w:tcPr>
            <w:tcW w:w="1645" w:type="dxa"/>
          </w:tcPr>
          <w:p w14:paraId="15B27DC2" w14:textId="2A69B924"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0 (snap)</w:t>
            </w:r>
          </w:p>
        </w:tc>
      </w:tr>
      <w:tr w:rsidR="00EA6066" w14:paraId="0D859F73"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3E8A9E01" w14:textId="493EA533"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Maximum Fade Time (s)</w:t>
            </w:r>
          </w:p>
        </w:tc>
        <w:tc>
          <w:tcPr>
            <w:tcW w:w="1645" w:type="dxa"/>
          </w:tcPr>
          <w:p w14:paraId="66DC5B69" w14:textId="35098400"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12</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0.5</w:t>
            </w:r>
          </w:p>
        </w:tc>
        <w:tc>
          <w:tcPr>
            <w:tcW w:w="1645" w:type="dxa"/>
          </w:tcPr>
          <w:p w14:paraId="2EABBD30" w14:textId="5E377BE7"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15</w:t>
            </w:r>
            <w:r w:rsidR="00585A69">
              <w:rPr>
                <w:rFonts w:ascii="Times New Roman" w:hAnsi="Times New Roman" w:cs="Times New Roman"/>
                <w:sz w:val="20"/>
                <w:szCs w:val="20"/>
                <w:lang w:val="en-GB"/>
              </w:rPr>
              <w:t xml:space="preserve"> </w:t>
            </w:r>
            <w:r w:rsidR="00585A69">
              <w:rPr>
                <w:rFonts w:ascii="Times New Roman" w:hAnsi="Times New Roman" w:cs="Times New Roman"/>
                <w:lang w:val="en-GB"/>
              </w:rPr>
              <w:t>±</w:t>
            </w:r>
            <w:r w:rsidR="00585A69">
              <w:rPr>
                <w:rFonts w:ascii="Times New Roman" w:hAnsi="Times New Roman" w:cs="Times New Roman"/>
                <w:lang w:val="en-GB"/>
              </w:rPr>
              <w:t>0.6</w:t>
            </w:r>
          </w:p>
        </w:tc>
      </w:tr>
    </w:tbl>
    <w:p w14:paraId="4B58DA40" w14:textId="0A0DADAC" w:rsidR="00EA6066" w:rsidRDefault="00EA6066" w:rsidP="00EA6066">
      <w:pPr>
        <w:jc w:val="both"/>
        <w:rPr>
          <w:rFonts w:ascii="Times New Roman" w:hAnsi="Times New Roman" w:cs="Times New Roman"/>
          <w:sz w:val="20"/>
          <w:szCs w:val="20"/>
          <w:lang w:val="en-GB"/>
        </w:rPr>
      </w:pPr>
    </w:p>
    <w:p w14:paraId="49CC61DF" w14:textId="2E0B4F82"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Table </w:t>
      </w:r>
      <w:r w:rsidR="00DD5988">
        <w:rPr>
          <w:rFonts w:ascii="Times New Roman" w:hAnsi="Times New Roman" w:cs="Times New Roman"/>
          <w:sz w:val="20"/>
          <w:szCs w:val="20"/>
          <w:lang w:val="en-GB"/>
        </w:rPr>
        <w:t>I</w:t>
      </w:r>
      <w:r>
        <w:rPr>
          <w:rFonts w:ascii="Times New Roman" w:hAnsi="Times New Roman" w:cs="Times New Roman"/>
          <w:sz w:val="20"/>
          <w:szCs w:val="20"/>
          <w:lang w:val="en-GB"/>
        </w:rPr>
        <w:t>X presents the DMX system response measurements. Console-to-fixture latency averaged 47 ms (</w:t>
      </w:r>
      <w:r w:rsidRPr="00EA6066">
        <w:rPr>
          <w:rFonts w:ascii="Times New Roman" w:hAnsi="Times New Roman" w:cs="Times New Roman"/>
          <w:sz w:val="20"/>
          <w:szCs w:val="20"/>
          <w:lang w:val="en-GB"/>
        </w:rPr>
        <w:t>σ</w:t>
      </w:r>
      <w:r>
        <w:rPr>
          <w:rFonts w:ascii="Times New Roman" w:hAnsi="Times New Roman" w:cs="Times New Roman"/>
          <w:sz w:val="20"/>
          <w:szCs w:val="20"/>
          <w:lang w:val="en-GB"/>
        </w:rPr>
        <w:t xml:space="preserve"> = 8 ms), well below the 100 ms perceptibility threshold. Fade time accuracy of </w:t>
      </w:r>
      <w:r>
        <w:rPr>
          <w:rFonts w:ascii="Dubai" w:hAnsi="Dubai" w:cs="Dubai"/>
          <w:sz w:val="20"/>
          <w:szCs w:val="20"/>
          <w:lang w:val="en-GB"/>
        </w:rPr>
        <w:t>±</w:t>
      </w:r>
      <w:r>
        <w:rPr>
          <w:rFonts w:ascii="Times New Roman" w:hAnsi="Times New Roman" w:cs="Times New Roman"/>
          <w:sz w:val="20"/>
          <w:szCs w:val="20"/>
          <w:lang w:val="en-GB"/>
        </w:rPr>
        <w:t xml:space="preserve">0.2 s exceeded industry standards of </w:t>
      </w: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0.5 s [12]. Zero packet loss </w:t>
      </w:r>
      <w:proofErr w:type="gramStart"/>
      <w:r>
        <w:rPr>
          <w:rFonts w:ascii="Times New Roman" w:hAnsi="Times New Roman" w:cs="Times New Roman"/>
          <w:sz w:val="20"/>
          <w:szCs w:val="20"/>
          <w:lang w:val="en-GB"/>
        </w:rPr>
        <w:t>was recorded</w:t>
      </w:r>
      <w:proofErr w:type="gramEnd"/>
      <w:r>
        <w:rPr>
          <w:rFonts w:ascii="Times New Roman" w:hAnsi="Times New Roman" w:cs="Times New Roman"/>
          <w:sz w:val="20"/>
          <w:szCs w:val="20"/>
          <w:lang w:val="en-GB"/>
        </w:rPr>
        <w:t xml:space="preserve"> across 498 total cues, demonstrating high system reliability.</w:t>
      </w:r>
    </w:p>
    <w:p w14:paraId="705D46DE" w14:textId="0F762481" w:rsidR="00EA6066" w:rsidRP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Table </w:t>
      </w:r>
      <w:r w:rsidR="00DD5988">
        <w:rPr>
          <w:rFonts w:ascii="Times New Roman" w:hAnsi="Times New Roman" w:cs="Times New Roman"/>
          <w:sz w:val="20"/>
          <w:szCs w:val="20"/>
          <w:lang w:val="en-GB"/>
        </w:rPr>
        <w:t>I</w:t>
      </w:r>
      <w:r>
        <w:rPr>
          <w:rFonts w:ascii="Times New Roman" w:hAnsi="Times New Roman" w:cs="Times New Roman"/>
          <w:sz w:val="20"/>
          <w:szCs w:val="20"/>
          <w:lang w:val="en-GB"/>
        </w:rPr>
        <w:t xml:space="preserve">X: System response measurements    </w:t>
      </w:r>
    </w:p>
    <w:tbl>
      <w:tblPr>
        <w:tblStyle w:val="ListTable6Colorful1"/>
        <w:tblW w:w="0" w:type="auto"/>
        <w:tblLook w:val="04A0" w:firstRow="1" w:lastRow="0" w:firstColumn="1" w:lastColumn="0" w:noHBand="0" w:noVBand="1"/>
      </w:tblPr>
      <w:tblGrid>
        <w:gridCol w:w="1644"/>
        <w:gridCol w:w="1645"/>
        <w:gridCol w:w="1645"/>
      </w:tblGrid>
      <w:tr w:rsidR="00EA6066" w14:paraId="5B088512" w14:textId="77777777" w:rsidTr="00EA60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77CF6A34" w14:textId="4CD5032A"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Parameter</w:t>
            </w:r>
          </w:p>
        </w:tc>
        <w:tc>
          <w:tcPr>
            <w:tcW w:w="1645" w:type="dxa"/>
          </w:tcPr>
          <w:p w14:paraId="6B2A5508" w14:textId="73F004BB"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Measured Value</w:t>
            </w:r>
          </w:p>
        </w:tc>
        <w:tc>
          <w:tcPr>
            <w:tcW w:w="1645" w:type="dxa"/>
          </w:tcPr>
          <w:p w14:paraId="520D15C2" w14:textId="7EE79621"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Standard</w:t>
            </w:r>
          </w:p>
        </w:tc>
      </w:tr>
      <w:tr w:rsidR="00EA6066" w14:paraId="74B19A1B"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70E5FC52" w14:textId="1E6D9BB0"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Console-to-fixture Latency</w:t>
            </w:r>
          </w:p>
        </w:tc>
        <w:tc>
          <w:tcPr>
            <w:tcW w:w="1645" w:type="dxa"/>
          </w:tcPr>
          <w:p w14:paraId="420DCE80" w14:textId="30A18057"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47 ms </w:t>
            </w: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 8 ms</w:t>
            </w:r>
          </w:p>
        </w:tc>
        <w:tc>
          <w:tcPr>
            <w:tcW w:w="1645" w:type="dxa"/>
          </w:tcPr>
          <w:p w14:paraId="26B7CFF4" w14:textId="6281680F"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&lt; 100 ms acceptable</w:t>
            </w:r>
          </w:p>
        </w:tc>
      </w:tr>
      <w:tr w:rsidR="00EA6066" w14:paraId="1492EB68"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5C71EF2C" w14:textId="406185EA"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DMX Packet Rate </w:t>
            </w:r>
          </w:p>
        </w:tc>
        <w:tc>
          <w:tcPr>
            <w:tcW w:w="1645" w:type="dxa"/>
          </w:tcPr>
          <w:p w14:paraId="19F16472" w14:textId="53865C13"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44 Hz</w:t>
            </w:r>
          </w:p>
        </w:tc>
        <w:tc>
          <w:tcPr>
            <w:tcW w:w="1645" w:type="dxa"/>
          </w:tcPr>
          <w:p w14:paraId="5CA72DBF" w14:textId="4D14069F"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44 Hz standard</w:t>
            </w:r>
          </w:p>
        </w:tc>
      </w:tr>
      <w:tr w:rsidR="00EA6066" w14:paraId="0621F209"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635DA149" w14:textId="3F55D859"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Fade Time Accuracy</w:t>
            </w:r>
          </w:p>
        </w:tc>
        <w:tc>
          <w:tcPr>
            <w:tcW w:w="1645" w:type="dxa"/>
          </w:tcPr>
          <w:p w14:paraId="1A0169AE" w14:textId="6608484B"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 0.2 s</w:t>
            </w:r>
          </w:p>
        </w:tc>
        <w:tc>
          <w:tcPr>
            <w:tcW w:w="1645" w:type="dxa"/>
          </w:tcPr>
          <w:p w14:paraId="433FEADD" w14:textId="4717D99D"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 0.5 s acceptable</w:t>
            </w:r>
          </w:p>
        </w:tc>
      </w:tr>
      <w:tr w:rsidR="00EA6066" w14:paraId="55D986F8"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5F4EFD43" w14:textId="51BB3CCF"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Fixture Position Accuracy</w:t>
            </w:r>
          </w:p>
        </w:tc>
        <w:tc>
          <w:tcPr>
            <w:tcW w:w="1645" w:type="dxa"/>
          </w:tcPr>
          <w:p w14:paraId="7456E3CE" w14:textId="7259DDA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 0.2</w:t>
            </w:r>
            <w:r>
              <w:rPr>
                <w:rFonts w:ascii="Dubai" w:hAnsi="Dubai" w:cs="Dubai"/>
                <w:sz w:val="20"/>
                <w:szCs w:val="20"/>
                <w:lang w:val="en-GB"/>
              </w:rPr>
              <w:t>˚</w:t>
            </w:r>
          </w:p>
        </w:tc>
        <w:tc>
          <w:tcPr>
            <w:tcW w:w="1645" w:type="dxa"/>
          </w:tcPr>
          <w:p w14:paraId="446E4854" w14:textId="1179332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 0.5</w:t>
            </w:r>
            <w:r w:rsidRPr="00EA6066">
              <w:rPr>
                <w:rFonts w:ascii="Times New Roman" w:hAnsi="Times New Roman" w:cs="Times New Roman"/>
                <w:sz w:val="20"/>
                <w:szCs w:val="20"/>
                <w:lang w:val="en-GB"/>
              </w:rPr>
              <w:t>˚</w:t>
            </w:r>
            <w:r>
              <w:rPr>
                <w:rFonts w:ascii="Times New Roman" w:hAnsi="Times New Roman" w:cs="Times New Roman"/>
                <w:sz w:val="20"/>
                <w:szCs w:val="20"/>
                <w:lang w:val="en-GB"/>
              </w:rPr>
              <w:t xml:space="preserve"> acceptable</w:t>
            </w:r>
          </w:p>
        </w:tc>
      </w:tr>
    </w:tbl>
    <w:p w14:paraId="2A9A559C" w14:textId="6F7A7237" w:rsidR="00EA6066" w:rsidRDefault="00EA6066" w:rsidP="00EA6066">
      <w:pPr>
        <w:jc w:val="both"/>
        <w:rPr>
          <w:rFonts w:ascii="Times New Roman" w:hAnsi="Times New Roman" w:cs="Times New Roman"/>
          <w:sz w:val="20"/>
          <w:szCs w:val="20"/>
          <w:lang w:val="en-GB"/>
        </w:rPr>
      </w:pPr>
    </w:p>
    <w:p w14:paraId="477C9ED1" w14:textId="58EF3FE1" w:rsidR="00EA6066" w:rsidRDefault="00EA6066" w:rsidP="00EA6066">
      <w:pPr>
        <w:pStyle w:val="Heading2"/>
        <w:jc w:val="both"/>
        <w:rPr>
          <w:rFonts w:ascii="Times New Roman" w:hAnsi="Times New Roman" w:cs="Times New Roman"/>
          <w:color w:val="auto"/>
          <w:sz w:val="20"/>
          <w:szCs w:val="20"/>
          <w:lang w:val="en-GB"/>
        </w:rPr>
      </w:pPr>
      <w:r w:rsidRPr="001A21DF">
        <w:rPr>
          <w:rFonts w:ascii="Times New Roman" w:hAnsi="Times New Roman" w:cs="Times New Roman"/>
          <w:b/>
          <w:color w:val="auto"/>
          <w:sz w:val="20"/>
          <w:szCs w:val="20"/>
          <w:lang w:val="en-GB"/>
        </w:rPr>
        <w:t>F.</w:t>
      </w:r>
      <w:r>
        <w:rPr>
          <w:rFonts w:ascii="Times New Roman" w:hAnsi="Times New Roman" w:cs="Times New Roman"/>
          <w:color w:val="auto"/>
          <w:sz w:val="20"/>
          <w:szCs w:val="20"/>
          <w:lang w:val="en-GB"/>
        </w:rPr>
        <w:t xml:space="preserve"> </w:t>
      </w:r>
      <w:r w:rsidRPr="00EA6066">
        <w:rPr>
          <w:rFonts w:ascii="Times New Roman" w:hAnsi="Times New Roman" w:cs="Times New Roman"/>
          <w:b/>
          <w:color w:val="auto"/>
          <w:sz w:val="20"/>
          <w:szCs w:val="20"/>
          <w:lang w:val="en-GB"/>
        </w:rPr>
        <w:t>Discussion</w:t>
      </w:r>
      <w:r>
        <w:rPr>
          <w:rFonts w:ascii="Times New Roman" w:hAnsi="Times New Roman" w:cs="Times New Roman"/>
          <w:color w:val="auto"/>
          <w:sz w:val="20"/>
          <w:szCs w:val="20"/>
          <w:lang w:val="en-GB"/>
        </w:rPr>
        <w:t xml:space="preserve"> </w:t>
      </w:r>
    </w:p>
    <w:p w14:paraId="15EEA55C" w14:textId="08FBBEC3" w:rsidR="00EA6066" w:rsidRDefault="00EA6066" w:rsidP="00EA6066">
      <w:pPr>
        <w:jc w:val="both"/>
        <w:rPr>
          <w:rFonts w:ascii="Times New Roman" w:hAnsi="Times New Roman" w:cs="Times New Roman"/>
          <w:sz w:val="20"/>
          <w:szCs w:val="20"/>
          <w:lang w:val="en-GB"/>
        </w:rPr>
      </w:pPr>
      <w:r>
        <w:rPr>
          <w:lang w:val="en-GB"/>
        </w:rPr>
        <w:t xml:space="preserve">      </w:t>
      </w:r>
      <w:r>
        <w:rPr>
          <w:rFonts w:ascii="Times New Roman" w:hAnsi="Times New Roman" w:cs="Times New Roman"/>
          <w:sz w:val="20"/>
          <w:szCs w:val="20"/>
          <w:lang w:val="en-GB"/>
        </w:rPr>
        <w:t>The findings from this investigation present significant implications for both entertainment engineering and sustainable practice. The fact that both productions achieved illuminance levels (650-850 lux) and DMX response times (47 ms) comparable to international standards demonstrates that Nigerian theatrical productions using modern lighting technology perform at global benchma</w:t>
      </w:r>
      <w:r w:rsidR="00DD5988">
        <w:rPr>
          <w:rFonts w:ascii="Times New Roman" w:hAnsi="Times New Roman" w:cs="Times New Roman"/>
          <w:sz w:val="20"/>
          <w:szCs w:val="20"/>
          <w:lang w:val="en-GB"/>
        </w:rPr>
        <w:t>rks. This aligns with Moran (2019)</w:t>
      </w:r>
      <w:r>
        <w:rPr>
          <w:rFonts w:ascii="Times New Roman" w:hAnsi="Times New Roman" w:cs="Times New Roman"/>
          <w:sz w:val="20"/>
          <w:szCs w:val="20"/>
          <w:lang w:val="en-GB"/>
        </w:rPr>
        <w:t xml:space="preserve"> who documented similar LED performance metrics in Broadway p</w:t>
      </w:r>
      <w:r w:rsidR="00DD5988">
        <w:rPr>
          <w:rFonts w:ascii="Times New Roman" w:hAnsi="Times New Roman" w:cs="Times New Roman"/>
          <w:sz w:val="20"/>
          <w:szCs w:val="20"/>
          <w:lang w:val="en-GB"/>
        </w:rPr>
        <w:t xml:space="preserve">roductions and with Graham (2016) </w:t>
      </w:r>
      <w:r>
        <w:rPr>
          <w:rFonts w:ascii="Times New Roman" w:hAnsi="Times New Roman" w:cs="Times New Roman"/>
          <w:sz w:val="20"/>
          <w:szCs w:val="20"/>
          <w:lang w:val="en-GB"/>
        </w:rPr>
        <w:t>who reported 60-80% energy savings from LED adoption.</w:t>
      </w:r>
    </w:p>
    <w:p w14:paraId="57CE1A4D" w14:textId="6FE4D029"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The power consumption data shows substantial efficiency gains from LED adoption. The 62-70% reduction compared to conventional incandescent systems represents significant operational and environmental benefits:</w:t>
      </w:r>
    </w:p>
    <w:p w14:paraId="38129507" w14:textId="6801A558" w:rsidR="00EA6066" w:rsidRDefault="00EA6066" w:rsidP="00EA6066">
      <w:pPr>
        <w:jc w:val="both"/>
        <w:rPr>
          <w:rFonts w:ascii="Times New Roman" w:hAnsi="Times New Roman" w:cs="Times New Roman"/>
          <w:sz w:val="20"/>
          <w:szCs w:val="20"/>
          <w:lang w:val="en-GB"/>
        </w:rPr>
      </w:pPr>
      <w:r>
        <w:rPr>
          <w:rFonts w:ascii="Times New Roman" w:hAnsi="Times New Roman" w:cs="Times New Roman"/>
          <w:b/>
          <w:sz w:val="20"/>
          <w:szCs w:val="20"/>
          <w:lang w:val="en-GB"/>
        </w:rPr>
        <w:t>Calculated Annual Energy Savings (50 performances):</w:t>
      </w:r>
    </w:p>
    <w:p w14:paraId="223110D7" w14:textId="424E040E" w:rsidR="00EA6066" w:rsidRDefault="00EA6066" w:rsidP="00EA6066">
      <w:pPr>
        <w:pStyle w:val="ListParagraph"/>
        <w:numPr>
          <w:ilvl w:val="0"/>
          <w:numId w:val="32"/>
        </w:num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Saro The Musical: (160 kWh – 56 kWh) </w:t>
      </w:r>
      <w:r>
        <w:rPr>
          <w:rFonts w:ascii="Dubai" w:hAnsi="Dubai" w:cs="Dubai"/>
          <w:sz w:val="20"/>
          <w:szCs w:val="20"/>
          <w:lang w:val="en-GB"/>
        </w:rPr>
        <w:t>×</w:t>
      </w:r>
      <w:r>
        <w:rPr>
          <w:rFonts w:ascii="Times New Roman" w:hAnsi="Times New Roman" w:cs="Times New Roman"/>
          <w:sz w:val="20"/>
          <w:szCs w:val="20"/>
          <w:lang w:val="en-GB"/>
        </w:rPr>
        <w:t xml:space="preserve"> 50 = 5,200 kWh/year</w:t>
      </w:r>
    </w:p>
    <w:p w14:paraId="45FE59D0" w14:textId="08832204" w:rsidR="00EA6066" w:rsidRPr="00EA6066" w:rsidRDefault="00EA6066" w:rsidP="00EA6066">
      <w:pPr>
        <w:pStyle w:val="ListParagraph"/>
        <w:numPr>
          <w:ilvl w:val="0"/>
          <w:numId w:val="32"/>
        </w:num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Death &amp; King’s Horseman: (160 kWh – 44.5 kWh) </w:t>
      </w:r>
      <w:r>
        <w:rPr>
          <w:rFonts w:ascii="Dubai" w:hAnsi="Dubai" w:cs="Dubai"/>
          <w:sz w:val="20"/>
          <w:szCs w:val="20"/>
          <w:lang w:val="en-GB"/>
        </w:rPr>
        <w:t>× 50 = 5,775 kWh/year</w:t>
      </w:r>
    </w:p>
    <w:p w14:paraId="29BC9B3E" w14:textId="66308E51" w:rsidR="00EA6066" w:rsidRDefault="00EA6066" w:rsidP="00EA6066">
      <w:pPr>
        <w:ind w:left="360"/>
        <w:jc w:val="both"/>
        <w:rPr>
          <w:rFonts w:ascii="Times New Roman" w:hAnsi="Times New Roman" w:cs="Times New Roman"/>
          <w:b/>
          <w:sz w:val="20"/>
          <w:szCs w:val="20"/>
          <w:lang w:val="en-GB"/>
        </w:rPr>
      </w:pPr>
      <w:r>
        <w:rPr>
          <w:rFonts w:ascii="Times New Roman" w:hAnsi="Times New Roman" w:cs="Times New Roman"/>
          <w:b/>
          <w:sz w:val="20"/>
          <w:szCs w:val="20"/>
          <w:lang w:val="en-GB"/>
        </w:rPr>
        <w:t xml:space="preserve">Environmental impact (based on </w:t>
      </w:r>
      <w:proofErr w:type="gramStart"/>
      <w:r>
        <w:rPr>
          <w:rFonts w:ascii="Times New Roman" w:hAnsi="Times New Roman" w:cs="Times New Roman"/>
          <w:b/>
          <w:sz w:val="20"/>
          <w:szCs w:val="20"/>
          <w:lang w:val="en-GB"/>
        </w:rPr>
        <w:t>Nigerian grid emission factor</w:t>
      </w:r>
      <w:proofErr w:type="gramEnd"/>
      <w:r>
        <w:rPr>
          <w:rFonts w:ascii="Times New Roman" w:hAnsi="Times New Roman" w:cs="Times New Roman"/>
          <w:b/>
          <w:sz w:val="20"/>
          <w:szCs w:val="20"/>
          <w:lang w:val="en-GB"/>
        </w:rPr>
        <w:t xml:space="preserve"> of 0.5 kg CO</w:t>
      </w:r>
      <w:r w:rsidRPr="00EA6066">
        <w:rPr>
          <w:rFonts w:ascii="Times New Roman" w:hAnsi="Times New Roman" w:cs="Times New Roman"/>
          <w:b/>
          <w:sz w:val="20"/>
          <w:szCs w:val="20"/>
          <w:vertAlign w:val="subscript"/>
          <w:lang w:val="en-GB"/>
        </w:rPr>
        <w:t>2</w:t>
      </w:r>
      <w:r>
        <w:rPr>
          <w:rFonts w:ascii="Times New Roman" w:hAnsi="Times New Roman" w:cs="Times New Roman"/>
          <w:b/>
          <w:sz w:val="20"/>
          <w:szCs w:val="20"/>
          <w:lang w:val="en-GB"/>
        </w:rPr>
        <w:t>/kWh):</w:t>
      </w:r>
    </w:p>
    <w:p w14:paraId="6FD09A88" w14:textId="7566D158" w:rsidR="00EA6066" w:rsidRDefault="00EA6066" w:rsidP="00EA6066">
      <w:pPr>
        <w:ind w:left="360"/>
        <w:jc w:val="both"/>
        <w:rPr>
          <w:rFonts w:ascii="Times New Roman" w:hAnsi="Times New Roman" w:cs="Times New Roman"/>
          <w:sz w:val="20"/>
          <w:szCs w:val="20"/>
          <w:lang w:val="en-GB"/>
        </w:rPr>
      </w:pPr>
      <w:r>
        <w:rPr>
          <w:rFonts w:ascii="Times New Roman" w:hAnsi="Times New Roman" w:cs="Times New Roman"/>
          <w:b/>
          <w:sz w:val="20"/>
          <w:szCs w:val="20"/>
          <w:lang w:val="en-GB"/>
        </w:rPr>
        <w:t xml:space="preserve"> </w:t>
      </w:r>
      <w:r>
        <w:rPr>
          <w:rFonts w:ascii="Times New Roman" w:hAnsi="Times New Roman" w:cs="Times New Roman"/>
          <w:sz w:val="20"/>
          <w:szCs w:val="20"/>
          <w:lang w:val="en-GB"/>
        </w:rPr>
        <w:t>CO</w:t>
      </w:r>
      <w:r w:rsidRPr="00EA6066">
        <w:rPr>
          <w:rFonts w:ascii="Times New Roman" w:hAnsi="Times New Roman" w:cs="Times New Roman"/>
          <w:sz w:val="20"/>
          <w:szCs w:val="20"/>
          <w:vertAlign w:val="subscript"/>
          <w:lang w:val="en-GB"/>
        </w:rPr>
        <w:t>2</w:t>
      </w:r>
      <w:r>
        <w:rPr>
          <w:rFonts w:ascii="Times New Roman" w:hAnsi="Times New Roman" w:cs="Times New Roman"/>
          <w:sz w:val="20"/>
          <w:szCs w:val="20"/>
          <w:lang w:val="en-GB"/>
        </w:rPr>
        <w:t xml:space="preserve"> reduction per production: approximately 2,600 – 2,900 kg/year </w:t>
      </w:r>
    </w:p>
    <w:p w14:paraId="047A19E1" w14:textId="5437B66A" w:rsidR="00EA6066" w:rsidRDefault="00EA6066" w:rsidP="00EA6066">
      <w:pPr>
        <w:ind w:left="360"/>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The thermal load reduction (approximately 8</w:t>
      </w:r>
      <w:r w:rsidRPr="00EA6066">
        <w:rPr>
          <w:rFonts w:ascii="Times New Roman" w:hAnsi="Times New Roman" w:cs="Times New Roman"/>
          <w:sz w:val="20"/>
          <w:szCs w:val="20"/>
          <w:lang w:val="en-GB"/>
        </w:rPr>
        <w:t>˚</w:t>
      </w:r>
      <w:r>
        <w:rPr>
          <w:rFonts w:ascii="Times New Roman" w:hAnsi="Times New Roman" w:cs="Times New Roman"/>
          <w:sz w:val="20"/>
          <w:szCs w:val="20"/>
          <w:lang w:val="en-GB"/>
        </w:rPr>
        <w:t>C stage temperature) provides additional benefits: reduced HVAC demand (estimated 25% reduction), improved performer safety, and longer fixture lifespan.</w:t>
      </w:r>
    </w:p>
    <w:p w14:paraId="46F3D916" w14:textId="6AE33D95" w:rsidR="00EA6066" w:rsidRDefault="00EA6066" w:rsidP="00EA6066">
      <w:pPr>
        <w:ind w:left="360"/>
        <w:jc w:val="both"/>
        <w:rPr>
          <w:rFonts w:ascii="Times New Roman" w:hAnsi="Times New Roman" w:cs="Times New Roman"/>
          <w:sz w:val="20"/>
          <w:szCs w:val="20"/>
          <w:lang w:val="en-GB"/>
        </w:rPr>
      </w:pPr>
    </w:p>
    <w:p w14:paraId="2ABE6C53" w14:textId="5DBE4024" w:rsidR="00EA6066" w:rsidRDefault="00EA6066" w:rsidP="00EA6066">
      <w:pPr>
        <w:ind w:left="360"/>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DD5988">
        <w:rPr>
          <w:rFonts w:ascii="Times New Roman" w:hAnsi="Times New Roman" w:cs="Times New Roman"/>
          <w:sz w:val="20"/>
          <w:szCs w:val="20"/>
          <w:lang w:val="en-GB"/>
        </w:rPr>
        <w:t>Table X</w:t>
      </w:r>
      <w:r>
        <w:rPr>
          <w:rFonts w:ascii="Times New Roman" w:hAnsi="Times New Roman" w:cs="Times New Roman"/>
          <w:sz w:val="20"/>
          <w:szCs w:val="20"/>
          <w:lang w:val="en-GB"/>
        </w:rPr>
        <w:t xml:space="preserve">: Comparative analysis of production approaches </w:t>
      </w:r>
    </w:p>
    <w:p w14:paraId="588ED8E9" w14:textId="77777777" w:rsidR="00EA6066" w:rsidRPr="00EA6066" w:rsidRDefault="00EA6066" w:rsidP="00EA6066">
      <w:pPr>
        <w:ind w:left="360"/>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p>
    <w:tbl>
      <w:tblPr>
        <w:tblStyle w:val="ListTable6Colorful1"/>
        <w:tblW w:w="0" w:type="auto"/>
        <w:tblLook w:val="04A0" w:firstRow="1" w:lastRow="0" w:firstColumn="1" w:lastColumn="0" w:noHBand="0" w:noVBand="1"/>
      </w:tblPr>
      <w:tblGrid>
        <w:gridCol w:w="1644"/>
        <w:gridCol w:w="1645"/>
        <w:gridCol w:w="1645"/>
      </w:tblGrid>
      <w:tr w:rsidR="00EA6066" w14:paraId="1DD8F234" w14:textId="77777777" w:rsidTr="00EA60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425451A7" w14:textId="7AF1CF88"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lastRenderedPageBreak/>
              <w:t>Criterion</w:t>
            </w:r>
          </w:p>
        </w:tc>
        <w:tc>
          <w:tcPr>
            <w:tcW w:w="1645" w:type="dxa"/>
          </w:tcPr>
          <w:p w14:paraId="37CD584C" w14:textId="2CCBF52B"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Saro-The Musical</w:t>
            </w:r>
          </w:p>
        </w:tc>
        <w:tc>
          <w:tcPr>
            <w:tcW w:w="1645" w:type="dxa"/>
          </w:tcPr>
          <w:p w14:paraId="5BC13346" w14:textId="58CCE334"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Death &amp; King’s Horseman</w:t>
            </w:r>
          </w:p>
        </w:tc>
      </w:tr>
      <w:tr w:rsidR="00EA6066" w14:paraId="060F5030"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26D06C57" w14:textId="017D826D"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Technical Complexity</w:t>
            </w:r>
          </w:p>
        </w:tc>
        <w:tc>
          <w:tcPr>
            <w:tcW w:w="1645" w:type="dxa"/>
          </w:tcPr>
          <w:p w14:paraId="24D908F8" w14:textId="0F7237D0"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High (musical)</w:t>
            </w:r>
          </w:p>
        </w:tc>
        <w:tc>
          <w:tcPr>
            <w:tcW w:w="1645" w:type="dxa"/>
          </w:tcPr>
          <w:p w14:paraId="3539D0E2" w14:textId="33F6B405"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Moderate (drama)</w:t>
            </w:r>
          </w:p>
        </w:tc>
      </w:tr>
      <w:tr w:rsidR="00EA6066" w14:paraId="207C8C0B"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1483EC00" w14:textId="534C5CF0"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Cue Density</w:t>
            </w:r>
          </w:p>
        </w:tc>
        <w:tc>
          <w:tcPr>
            <w:tcW w:w="1645" w:type="dxa"/>
          </w:tcPr>
          <w:p w14:paraId="24017612" w14:textId="6FFC65AE"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3.9/min</w:t>
            </w:r>
          </w:p>
        </w:tc>
        <w:tc>
          <w:tcPr>
            <w:tcW w:w="1645" w:type="dxa"/>
          </w:tcPr>
          <w:p w14:paraId="671B619C" w14:textId="115827B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2.3/min</w:t>
            </w:r>
          </w:p>
        </w:tc>
      </w:tr>
      <w:tr w:rsidR="00EA6066" w14:paraId="4C0E18E7"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65154AD3" w14:textId="4A6058E1"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Color saturation</w:t>
            </w:r>
          </w:p>
        </w:tc>
        <w:tc>
          <w:tcPr>
            <w:tcW w:w="1645" w:type="dxa"/>
          </w:tcPr>
          <w:p w14:paraId="7CE46FC5" w14:textId="70F3FBED"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High</w:t>
            </w:r>
          </w:p>
        </w:tc>
        <w:tc>
          <w:tcPr>
            <w:tcW w:w="1645" w:type="dxa"/>
          </w:tcPr>
          <w:p w14:paraId="62A0C0B7" w14:textId="18BF7DF0"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Subtle</w:t>
            </w:r>
          </w:p>
        </w:tc>
      </w:tr>
      <w:tr w:rsidR="00EA6066" w14:paraId="6B631927"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53DE2963" w14:textId="24FC1D45"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Projection Dependency</w:t>
            </w:r>
          </w:p>
        </w:tc>
        <w:tc>
          <w:tcPr>
            <w:tcW w:w="1645" w:type="dxa"/>
          </w:tcPr>
          <w:p w14:paraId="0CE6A225" w14:textId="0D89155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High</w:t>
            </w:r>
          </w:p>
        </w:tc>
        <w:tc>
          <w:tcPr>
            <w:tcW w:w="1645" w:type="dxa"/>
          </w:tcPr>
          <w:p w14:paraId="06E71D7E" w14:textId="5104DBE3"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Moderate</w:t>
            </w:r>
          </w:p>
        </w:tc>
      </w:tr>
      <w:tr w:rsidR="00EA6066" w14:paraId="2F3F5FA4"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53C8D7B7" w14:textId="1D4B2CFD"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Sustainability Score</w:t>
            </w:r>
          </w:p>
        </w:tc>
        <w:tc>
          <w:tcPr>
            <w:tcW w:w="1645" w:type="dxa"/>
          </w:tcPr>
          <w:p w14:paraId="5B086CB5" w14:textId="5687E61A"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8.5/10</w:t>
            </w:r>
          </w:p>
        </w:tc>
        <w:tc>
          <w:tcPr>
            <w:tcW w:w="1645" w:type="dxa"/>
          </w:tcPr>
          <w:p w14:paraId="6D3F44CD" w14:textId="129B785E"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9/10</w:t>
            </w:r>
          </w:p>
        </w:tc>
      </w:tr>
      <w:tr w:rsidR="00EA6066" w14:paraId="5DEF90EF"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2D44D119" w14:textId="3AAC615D"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System Redundancy</w:t>
            </w:r>
          </w:p>
        </w:tc>
        <w:tc>
          <w:tcPr>
            <w:tcW w:w="1645" w:type="dxa"/>
          </w:tcPr>
          <w:p w14:paraId="4416809A" w14:textId="2D2CCC84"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Full backup</w:t>
            </w:r>
          </w:p>
        </w:tc>
        <w:tc>
          <w:tcPr>
            <w:tcW w:w="1645" w:type="dxa"/>
          </w:tcPr>
          <w:p w14:paraId="2E506997" w14:textId="2F1A0B23"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Partial backup</w:t>
            </w:r>
          </w:p>
        </w:tc>
      </w:tr>
    </w:tbl>
    <w:p w14:paraId="62BE41F2" w14:textId="01C4050C" w:rsidR="00EA6066" w:rsidRDefault="00EA6066" w:rsidP="00EA6066">
      <w:pPr>
        <w:ind w:left="360"/>
        <w:jc w:val="both"/>
        <w:rPr>
          <w:rFonts w:ascii="Times New Roman" w:hAnsi="Times New Roman" w:cs="Times New Roman"/>
          <w:sz w:val="20"/>
          <w:szCs w:val="20"/>
          <w:lang w:val="en-GB"/>
        </w:rPr>
      </w:pPr>
      <w:r>
        <w:rPr>
          <w:rFonts w:ascii="Times New Roman" w:hAnsi="Times New Roman" w:cs="Times New Roman"/>
          <w:sz w:val="20"/>
          <w:szCs w:val="20"/>
          <w:lang w:val="en-GB"/>
        </w:rPr>
        <w:t>Based on energy efficiency, fixture longevity and resource utilization.</w:t>
      </w:r>
    </w:p>
    <w:p w14:paraId="3F0B636F" w14:textId="6A5CB595"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The differences between the two productions reflect their distinct genres rather than differences in technical capability. Saro </w:t>
      </w:r>
      <w:proofErr w:type="gramStart"/>
      <w:r>
        <w:rPr>
          <w:rFonts w:ascii="Times New Roman" w:hAnsi="Times New Roman" w:cs="Times New Roman"/>
          <w:sz w:val="20"/>
          <w:szCs w:val="20"/>
          <w:lang w:val="en-GB"/>
        </w:rPr>
        <w:t>The</w:t>
      </w:r>
      <w:proofErr w:type="gramEnd"/>
      <w:r>
        <w:rPr>
          <w:rFonts w:ascii="Times New Roman" w:hAnsi="Times New Roman" w:cs="Times New Roman"/>
          <w:sz w:val="20"/>
          <w:szCs w:val="20"/>
          <w:lang w:val="en-GB"/>
        </w:rPr>
        <w:t xml:space="preserve"> Musical required higher cue density and color saturation to support its energetic musical numbers, while Death and the King’s Horseman prioritized subtle atmospheric lighting and shadow work.</w:t>
      </w:r>
    </w:p>
    <w:p w14:paraId="01AF0EE4" w14:textId="4E6AD37B" w:rsidR="00EA6066" w:rsidRDefault="00DD5988"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Table XI</w:t>
      </w:r>
      <w:r w:rsidR="00EA6066">
        <w:rPr>
          <w:rFonts w:ascii="Times New Roman" w:hAnsi="Times New Roman" w:cs="Times New Roman"/>
          <w:sz w:val="20"/>
          <w:szCs w:val="20"/>
          <w:lang w:val="en-GB"/>
        </w:rPr>
        <w:t>: Documented challenges and engineering solutions</w:t>
      </w:r>
    </w:p>
    <w:tbl>
      <w:tblPr>
        <w:tblStyle w:val="ListTable6Colorful1"/>
        <w:tblW w:w="0" w:type="auto"/>
        <w:tblLook w:val="04A0" w:firstRow="1" w:lastRow="0" w:firstColumn="1" w:lastColumn="0" w:noHBand="0" w:noVBand="1"/>
      </w:tblPr>
      <w:tblGrid>
        <w:gridCol w:w="1644"/>
        <w:gridCol w:w="1645"/>
        <w:gridCol w:w="1645"/>
      </w:tblGrid>
      <w:tr w:rsidR="00EA6066" w14:paraId="71E70F9D" w14:textId="77777777" w:rsidTr="00EA60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2C406560" w14:textId="3F46F3DE"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Challenge</w:t>
            </w:r>
          </w:p>
        </w:tc>
        <w:tc>
          <w:tcPr>
            <w:tcW w:w="1645" w:type="dxa"/>
          </w:tcPr>
          <w:p w14:paraId="3D7DCB6F" w14:textId="655AA27B"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Solution Implemented</w:t>
            </w:r>
          </w:p>
        </w:tc>
        <w:tc>
          <w:tcPr>
            <w:tcW w:w="1645" w:type="dxa"/>
          </w:tcPr>
          <w:p w14:paraId="1DF24252" w14:textId="5C7E1E13" w:rsidR="00EA6066" w:rsidRDefault="00EA6066" w:rsidP="00EA606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Technical Outcome</w:t>
            </w:r>
          </w:p>
        </w:tc>
      </w:tr>
      <w:tr w:rsidR="00EA6066" w14:paraId="4E585E07"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484EF358" w14:textId="54A3CF15"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Power distribution limitations</w:t>
            </w:r>
          </w:p>
        </w:tc>
        <w:tc>
          <w:tcPr>
            <w:tcW w:w="1645" w:type="dxa"/>
          </w:tcPr>
          <w:p w14:paraId="17DA53CF" w14:textId="1BF4D219"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Staggered power-up, load balancing</w:t>
            </w:r>
          </w:p>
        </w:tc>
        <w:tc>
          <w:tcPr>
            <w:tcW w:w="1645" w:type="dxa"/>
          </w:tcPr>
          <w:p w14:paraId="2DCDE1B3" w14:textId="0CCF0AC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Peak load reduced 23%</w:t>
            </w:r>
          </w:p>
        </w:tc>
      </w:tr>
      <w:tr w:rsidR="00EA6066" w14:paraId="0C9622A4"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2F1C0FC1" w14:textId="63C1A8CC"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DMX signal integrity</w:t>
            </w:r>
          </w:p>
        </w:tc>
        <w:tc>
          <w:tcPr>
            <w:tcW w:w="1645" w:type="dxa"/>
          </w:tcPr>
          <w:p w14:paraId="62953774" w14:textId="2FC56E1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Isolated splitters, termination</w:t>
            </w:r>
          </w:p>
        </w:tc>
        <w:tc>
          <w:tcPr>
            <w:tcW w:w="1645" w:type="dxa"/>
          </w:tcPr>
          <w:p w14:paraId="117D3CE7" w14:textId="4264E025"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Zero dropped packets in 312 cues</w:t>
            </w:r>
          </w:p>
        </w:tc>
      </w:tr>
      <w:tr w:rsidR="00EA6066" w14:paraId="73D3B4DA"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76BBB44F" w14:textId="0316FC8B"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Projecting mapping alignment</w:t>
            </w:r>
          </w:p>
        </w:tc>
        <w:tc>
          <w:tcPr>
            <w:tcW w:w="1645" w:type="dxa"/>
          </w:tcPr>
          <w:p w14:paraId="1A012686" w14:textId="571A17C7"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16-point warping, laser alignment</w:t>
            </w:r>
          </w:p>
        </w:tc>
        <w:tc>
          <w:tcPr>
            <w:tcW w:w="1645" w:type="dxa"/>
          </w:tcPr>
          <w:p w14:paraId="392FA4D8" w14:textId="231B0E95"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Sub-pixel accuracy achieved</w:t>
            </w:r>
          </w:p>
        </w:tc>
      </w:tr>
      <w:tr w:rsidR="00EA6066" w14:paraId="5470FB97"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1BCE0CDA" w14:textId="5A783223"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Console programming complexity</w:t>
            </w:r>
          </w:p>
        </w:tc>
        <w:tc>
          <w:tcPr>
            <w:tcW w:w="1645" w:type="dxa"/>
          </w:tcPr>
          <w:p w14:paraId="4ACFD233" w14:textId="7C323F0A"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External programmer, show file backup</w:t>
            </w:r>
          </w:p>
        </w:tc>
        <w:tc>
          <w:tcPr>
            <w:tcW w:w="1645" w:type="dxa"/>
          </w:tcPr>
          <w:p w14:paraId="21BFC18D" w14:textId="6109D9A9"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312 cues programmed in 40 hours</w:t>
            </w:r>
          </w:p>
        </w:tc>
      </w:tr>
      <w:tr w:rsidR="00EA6066" w14:paraId="4497B38B" w14:textId="77777777" w:rsidTr="00EA6066">
        <w:tc>
          <w:tcPr>
            <w:cnfStyle w:val="001000000000" w:firstRow="0" w:lastRow="0" w:firstColumn="1" w:lastColumn="0" w:oddVBand="0" w:evenVBand="0" w:oddHBand="0" w:evenHBand="0" w:firstRowFirstColumn="0" w:firstRowLastColumn="0" w:lastRowFirstColumn="0" w:lastRowLastColumn="0"/>
            <w:tcW w:w="1644" w:type="dxa"/>
          </w:tcPr>
          <w:p w14:paraId="0D70A0A2" w14:textId="7355B457"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Thermal management</w:t>
            </w:r>
          </w:p>
        </w:tc>
        <w:tc>
          <w:tcPr>
            <w:tcW w:w="1645" w:type="dxa"/>
          </w:tcPr>
          <w:p w14:paraId="34CF12FC" w14:textId="143A43A2"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LED adoption, ventilation planning</w:t>
            </w:r>
          </w:p>
        </w:tc>
        <w:tc>
          <w:tcPr>
            <w:tcW w:w="1645" w:type="dxa"/>
          </w:tcPr>
          <w:p w14:paraId="071826DD" w14:textId="1363CB44" w:rsidR="00EA6066" w:rsidRDefault="00EA6066" w:rsidP="00EA606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Stage temperature reduced 8</w:t>
            </w:r>
            <w:r w:rsidRPr="00EA6066">
              <w:rPr>
                <w:rFonts w:ascii="Times New Roman" w:hAnsi="Times New Roman" w:cs="Times New Roman"/>
                <w:sz w:val="20"/>
                <w:szCs w:val="20"/>
                <w:lang w:val="en-GB"/>
              </w:rPr>
              <w:t>˚</w:t>
            </w:r>
            <w:r>
              <w:rPr>
                <w:rFonts w:ascii="Times New Roman" w:hAnsi="Times New Roman" w:cs="Times New Roman"/>
                <w:sz w:val="20"/>
                <w:szCs w:val="20"/>
                <w:lang w:val="en-GB"/>
              </w:rPr>
              <w:t>C</w:t>
            </w:r>
          </w:p>
        </w:tc>
      </w:tr>
    </w:tbl>
    <w:p w14:paraId="6DC73256" w14:textId="273D8F1B" w:rsidR="00EA6066" w:rsidRDefault="00EA6066" w:rsidP="00EA6066">
      <w:pPr>
        <w:jc w:val="both"/>
        <w:rPr>
          <w:rFonts w:ascii="Times New Roman" w:hAnsi="Times New Roman" w:cs="Times New Roman"/>
          <w:sz w:val="20"/>
          <w:szCs w:val="20"/>
          <w:lang w:val="en-GB"/>
        </w:rPr>
      </w:pPr>
    </w:p>
    <w:p w14:paraId="3C2AB49E" w14:textId="4EB729F9" w:rsidR="00EA6066" w:rsidRDefault="00EA6066" w:rsidP="00EA6066">
      <w:pPr>
        <w:jc w:val="both"/>
        <w:rPr>
          <w:rFonts w:ascii="Times New Roman" w:hAnsi="Times New Roman" w:cs="Times New Roman"/>
          <w:sz w:val="20"/>
          <w:szCs w:val="20"/>
          <w:lang w:val="en-GB"/>
        </w:rPr>
      </w:pPr>
    </w:p>
    <w:p w14:paraId="63D21A29" w14:textId="64403120" w:rsidR="00EA6066" w:rsidRDefault="00EA6066" w:rsidP="00EA6066">
      <w:pPr>
        <w:pStyle w:val="Heading1"/>
        <w:jc w:val="both"/>
        <w:rPr>
          <w:rFonts w:ascii="Times New Roman" w:hAnsi="Times New Roman" w:cs="Times New Roman"/>
          <w:b/>
          <w:color w:val="auto"/>
          <w:sz w:val="22"/>
          <w:szCs w:val="22"/>
          <w:lang w:val="en-GB"/>
        </w:rPr>
      </w:pPr>
      <w:r w:rsidRPr="00EA6066">
        <w:rPr>
          <w:rFonts w:ascii="Times New Roman" w:hAnsi="Times New Roman" w:cs="Times New Roman"/>
          <w:b/>
          <w:color w:val="auto"/>
          <w:sz w:val="22"/>
          <w:szCs w:val="22"/>
          <w:lang w:val="en-GB"/>
        </w:rPr>
        <w:t>CONCLUSION</w:t>
      </w:r>
    </w:p>
    <w:p w14:paraId="64752CAF" w14:textId="77777777" w:rsid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This study investigated the relationship between advanced lighting technology and theatrical production at the University </w:t>
      </w:r>
      <w:r>
        <w:rPr>
          <w:rFonts w:ascii="Times New Roman" w:hAnsi="Times New Roman" w:cs="Times New Roman"/>
          <w:sz w:val="20"/>
          <w:szCs w:val="20"/>
          <w:lang w:val="en-GB"/>
        </w:rPr>
        <w:t xml:space="preserve">of Ilorin-affiliated Terra Kulture venue by analysing LED and automated lighting systems using engineering techniques. Our findings indicated that both the productions achieved technical performance metrics comparable to international standards. We also examined the overlap between technical performance and production genre, measuring the percentage of correlation between illuminance levels and cue density. Approximately 62-70% energy savings </w:t>
      </w:r>
      <w:proofErr w:type="gramStart"/>
      <w:r>
        <w:rPr>
          <w:rFonts w:ascii="Times New Roman" w:hAnsi="Times New Roman" w:cs="Times New Roman"/>
          <w:sz w:val="20"/>
          <w:szCs w:val="20"/>
          <w:lang w:val="en-GB"/>
        </w:rPr>
        <w:t>were documented</w:t>
      </w:r>
      <w:proofErr w:type="gramEnd"/>
      <w:r>
        <w:rPr>
          <w:rFonts w:ascii="Times New Roman" w:hAnsi="Times New Roman" w:cs="Times New Roman"/>
          <w:sz w:val="20"/>
          <w:szCs w:val="20"/>
          <w:lang w:val="en-GB"/>
        </w:rPr>
        <w:t xml:space="preserve"> compared to conventional incandescent baselines.</w:t>
      </w:r>
    </w:p>
    <w:p w14:paraId="0DA97E75" w14:textId="0ED49CFA" w:rsidR="00EA6066" w:rsidRPr="00EA6066" w:rsidRDefault="00EA6066" w:rsidP="00EA606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Therefore, improving lighting technology adoption is essential for enhancing both artistic expression and energy sustainability. The findings of this study will be useful for theatre managers, lighting designers and engineering practitioners in planning for improved system integration, energy efficiency and technical capacity building. It will also guide the theatre community on best practices for sustainable entertainment lighting.</w:t>
      </w:r>
    </w:p>
    <w:p w14:paraId="00B1385B" w14:textId="77777777" w:rsidR="00EA6066" w:rsidRPr="00EA6066" w:rsidRDefault="00EA6066" w:rsidP="00EA6066">
      <w:pPr>
        <w:jc w:val="both"/>
        <w:rPr>
          <w:rFonts w:ascii="Times New Roman" w:hAnsi="Times New Roman" w:cs="Times New Roman"/>
          <w:sz w:val="20"/>
          <w:szCs w:val="20"/>
          <w:lang w:val="en-GB"/>
        </w:rPr>
      </w:pPr>
    </w:p>
    <w:p w14:paraId="4B211CC1" w14:textId="686D444B" w:rsidR="0017193A" w:rsidRPr="002D7771" w:rsidRDefault="0017193A" w:rsidP="0017193A">
      <w:pPr>
        <w:spacing w:line="240" w:lineRule="auto"/>
        <w:jc w:val="center"/>
        <w:rPr>
          <w:rFonts w:ascii="Times New Roman" w:hAnsi="Times New Roman" w:cs="Times New Roman"/>
          <w:bCs/>
          <w:sz w:val="20"/>
          <w:szCs w:val="20"/>
          <w:lang w:val="en-GB"/>
        </w:rPr>
      </w:pPr>
      <w:r w:rsidRPr="002D7771">
        <w:rPr>
          <w:rFonts w:ascii="Times New Roman" w:hAnsi="Times New Roman" w:cs="Times New Roman"/>
          <w:bCs/>
          <w:sz w:val="20"/>
          <w:szCs w:val="20"/>
          <w:lang w:val="en-GB"/>
        </w:rPr>
        <w:t>AUTHOR CONTRIBUTIONS</w:t>
      </w:r>
    </w:p>
    <w:p w14:paraId="5058F95F" w14:textId="09CA15AE" w:rsidR="0017193A" w:rsidRPr="002D7771" w:rsidRDefault="0017193A" w:rsidP="00F97321">
      <w:pPr>
        <w:spacing w:line="240" w:lineRule="auto"/>
        <w:ind w:firstLine="720"/>
        <w:jc w:val="both"/>
        <w:rPr>
          <w:rFonts w:ascii="Times New Roman" w:hAnsi="Times New Roman" w:cs="Times New Roman"/>
          <w:sz w:val="20"/>
          <w:szCs w:val="20"/>
          <w:lang w:val="en-GB"/>
        </w:rPr>
      </w:pPr>
      <w:r w:rsidRPr="002D7771">
        <w:rPr>
          <w:rFonts w:ascii="Times New Roman" w:hAnsi="Times New Roman" w:cs="Times New Roman"/>
          <w:sz w:val="20"/>
          <w:szCs w:val="20"/>
          <w:lang w:val="en-GB"/>
        </w:rPr>
        <w:t>.</w:t>
      </w:r>
    </w:p>
    <w:p w14:paraId="17DEB574" w14:textId="77777777" w:rsidR="00EA6066" w:rsidRDefault="0017193A" w:rsidP="00EA6066">
      <w:pPr>
        <w:spacing w:line="240" w:lineRule="auto"/>
        <w:jc w:val="center"/>
        <w:rPr>
          <w:rFonts w:ascii="Times New Roman" w:hAnsi="Times New Roman" w:cs="Times New Roman"/>
          <w:sz w:val="20"/>
          <w:szCs w:val="20"/>
          <w:lang w:val="en-GB"/>
        </w:rPr>
      </w:pPr>
      <w:r w:rsidRPr="002D7771">
        <w:rPr>
          <w:rFonts w:ascii="Times New Roman" w:hAnsi="Times New Roman" w:cs="Times New Roman"/>
          <w:sz w:val="20"/>
          <w:szCs w:val="20"/>
          <w:lang w:val="en-GB"/>
        </w:rPr>
        <w:t>ACKNOWLDGEMENT</w:t>
      </w:r>
    </w:p>
    <w:p w14:paraId="04929CA2" w14:textId="3BC3062B" w:rsidR="0017193A" w:rsidRPr="002D7771" w:rsidRDefault="00EA6066" w:rsidP="00EA6066">
      <w:pPr>
        <w:spacing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Pr="00EA6066">
        <w:rPr>
          <w:rFonts w:ascii="Times New Roman" w:hAnsi="Times New Roman" w:cs="Times New Roman"/>
          <w:sz w:val="20"/>
          <w:szCs w:val="20"/>
          <w:lang w:val="en-GB"/>
        </w:rPr>
        <w:t>The authors wish to extend their sincere gratitude to the management of Terra Kulture, Victoria Island, Lagos, for providing venue access and technical documentation, and to the lighting designers Wasiu Kareem and Moses Onyeloni for their participation in interviews and provision of production data</w:t>
      </w:r>
      <w:r w:rsidR="0017193A" w:rsidRPr="002D7771">
        <w:rPr>
          <w:rFonts w:ascii="Times New Roman" w:hAnsi="Times New Roman" w:cs="Times New Roman"/>
          <w:sz w:val="20"/>
          <w:szCs w:val="20"/>
          <w:lang w:val="en-GB"/>
        </w:rPr>
        <w:t xml:space="preserve">. </w:t>
      </w:r>
    </w:p>
    <w:p w14:paraId="078F9972" w14:textId="77777777" w:rsidR="0017193A" w:rsidRPr="002D7771" w:rsidRDefault="0017193A" w:rsidP="00962ACE">
      <w:pPr>
        <w:pStyle w:val="Heading1"/>
        <w:spacing w:before="0" w:line="360" w:lineRule="auto"/>
        <w:jc w:val="center"/>
        <w:rPr>
          <w:rFonts w:ascii="Times New Roman" w:hAnsi="Times New Roman" w:cs="Times New Roman"/>
          <w:color w:val="auto"/>
          <w:sz w:val="20"/>
          <w:szCs w:val="24"/>
          <w:lang w:val="en-GB"/>
        </w:rPr>
      </w:pPr>
      <w:bookmarkStart w:id="2" w:name="_Toc122344519"/>
      <w:r w:rsidRPr="002D7771">
        <w:rPr>
          <w:rFonts w:ascii="Times New Roman" w:hAnsi="Times New Roman" w:cs="Times New Roman"/>
          <w:color w:val="auto"/>
          <w:sz w:val="20"/>
          <w:szCs w:val="24"/>
          <w:lang w:val="en-GB"/>
        </w:rPr>
        <w:t>REFERENCES</w:t>
      </w:r>
      <w:bookmarkEnd w:id="2"/>
    </w:p>
    <w:p w14:paraId="396F1CB5" w14:textId="77777777" w:rsidR="00EE48F8" w:rsidRPr="00EE48F8" w:rsidRDefault="00246893" w:rsidP="00EE48F8">
      <w:pPr>
        <w:spacing w:after="0" w:line="240" w:lineRule="auto"/>
        <w:jc w:val="both"/>
        <w:rPr>
          <w:rFonts w:ascii="Times New Roman" w:hAnsi="Times New Roman" w:cs="Times New Roman"/>
          <w:sz w:val="20"/>
          <w:szCs w:val="20"/>
          <w:shd w:val="clear" w:color="auto" w:fill="FFFFFF"/>
          <w:lang w:val="en-GB"/>
        </w:rPr>
      </w:pPr>
      <w:r w:rsidRPr="002D7771">
        <w:rPr>
          <w:rFonts w:ascii="Times New Roman" w:hAnsi="Times New Roman" w:cs="Times New Roman"/>
          <w:sz w:val="20"/>
          <w:szCs w:val="20"/>
          <w:shd w:val="clear" w:color="auto" w:fill="FFFFFF"/>
          <w:lang w:val="en-GB"/>
        </w:rPr>
        <w:t xml:space="preserve"> </w:t>
      </w:r>
      <w:r w:rsidR="00EE48F8" w:rsidRPr="00EE48F8">
        <w:rPr>
          <w:rFonts w:ascii="Times New Roman" w:hAnsi="Times New Roman" w:cs="Times New Roman"/>
          <w:sz w:val="20"/>
          <w:szCs w:val="20"/>
          <w:shd w:val="clear" w:color="auto" w:fill="FFFFFF"/>
          <w:lang w:val="en-GB"/>
        </w:rPr>
        <w:t>Adebisi, B. R. (2023). A comparative study of scenic and lighting designs of Oyewale Joy and Ice Nweke in the production of Moremi. [M.A. thesis, University of Ilorin].</w:t>
      </w:r>
    </w:p>
    <w:p w14:paraId="76AD0BE4"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p>
    <w:p w14:paraId="67AE2D40"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r w:rsidRPr="00EE48F8">
        <w:rPr>
          <w:rFonts w:ascii="Times New Roman" w:hAnsi="Times New Roman" w:cs="Times New Roman"/>
          <w:sz w:val="20"/>
          <w:szCs w:val="20"/>
          <w:shd w:val="clear" w:color="auto" w:fill="FFFFFF"/>
          <w:lang w:val="en-GB"/>
        </w:rPr>
        <w:t>Ayodele, A. (2011). Technical theatre practice and the contribution of Teju Wasiu Kareem. In D. Oni &amp; S. E. Ododo (Eds.), Technical theatre and the performing arts in Nigeria: Celebrating Olateju Wasiu Kareem (pp. 89-104). Centre for Black and African Arts and Civilization.</w:t>
      </w:r>
    </w:p>
    <w:p w14:paraId="200AE12B"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p>
    <w:p w14:paraId="5C6CFE32"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r w:rsidRPr="00EE48F8">
        <w:rPr>
          <w:rFonts w:ascii="Times New Roman" w:hAnsi="Times New Roman" w:cs="Times New Roman"/>
          <w:sz w:val="20"/>
          <w:szCs w:val="20"/>
          <w:shd w:val="clear" w:color="auto" w:fill="FFFFFF"/>
          <w:lang w:val="en-GB"/>
        </w:rPr>
        <w:t>Briggs, J. (2015). Revisiting McCandless: Contemporary applications of traditional lighting theory. Lighting Design &amp; Application, 45(6), 38-45.</w:t>
      </w:r>
    </w:p>
    <w:p w14:paraId="5C609A41"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p>
    <w:p w14:paraId="010AA481"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r w:rsidRPr="00EE48F8">
        <w:rPr>
          <w:rFonts w:ascii="Times New Roman" w:hAnsi="Times New Roman" w:cs="Times New Roman"/>
          <w:sz w:val="20"/>
          <w:szCs w:val="20"/>
          <w:shd w:val="clear" w:color="auto" w:fill="FFFFFF"/>
          <w:lang w:val="en-GB"/>
        </w:rPr>
        <w:t xml:space="preserve">Brockett, O. G. (2011). The essential theatre (10th </w:t>
      </w:r>
      <w:proofErr w:type="gramStart"/>
      <w:r w:rsidRPr="00EE48F8">
        <w:rPr>
          <w:rFonts w:ascii="Times New Roman" w:hAnsi="Times New Roman" w:cs="Times New Roman"/>
          <w:sz w:val="20"/>
          <w:szCs w:val="20"/>
          <w:shd w:val="clear" w:color="auto" w:fill="FFFFFF"/>
          <w:lang w:val="en-GB"/>
        </w:rPr>
        <w:t>ed</w:t>
      </w:r>
      <w:proofErr w:type="gramEnd"/>
      <w:r w:rsidRPr="00EE48F8">
        <w:rPr>
          <w:rFonts w:ascii="Times New Roman" w:hAnsi="Times New Roman" w:cs="Times New Roman"/>
          <w:sz w:val="20"/>
          <w:szCs w:val="20"/>
          <w:shd w:val="clear" w:color="auto" w:fill="FFFFFF"/>
          <w:lang w:val="en-GB"/>
        </w:rPr>
        <w:t>.). Wadsworth Cengage Learning.</w:t>
      </w:r>
    </w:p>
    <w:p w14:paraId="1055AA21"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p>
    <w:p w14:paraId="416C6F7C"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r w:rsidRPr="00EE48F8">
        <w:rPr>
          <w:rFonts w:ascii="Times New Roman" w:hAnsi="Times New Roman" w:cs="Times New Roman"/>
          <w:sz w:val="20"/>
          <w:szCs w:val="20"/>
          <w:shd w:val="clear" w:color="auto" w:fill="FFFFFF"/>
          <w:lang w:val="en-GB"/>
        </w:rPr>
        <w:t>Corie, C. L. (2014). Seeing without seeing: The discovery of a third photoreceptor is rewriting the visual rulebook. Nature, 508(7495), 196-198.</w:t>
      </w:r>
    </w:p>
    <w:p w14:paraId="77FDAF90" w14:textId="77777777" w:rsidR="00EE48F8" w:rsidRPr="00EE48F8" w:rsidRDefault="00EE48F8" w:rsidP="00EE48F8">
      <w:pPr>
        <w:spacing w:after="0" w:line="240" w:lineRule="auto"/>
        <w:jc w:val="both"/>
        <w:rPr>
          <w:rFonts w:ascii="Times New Roman" w:hAnsi="Times New Roman" w:cs="Times New Roman"/>
          <w:sz w:val="20"/>
          <w:szCs w:val="20"/>
          <w:shd w:val="clear" w:color="auto" w:fill="FFFFFF"/>
          <w:lang w:val="en-GB"/>
        </w:rPr>
      </w:pPr>
    </w:p>
    <w:p w14:paraId="170D30FF" w14:textId="40336F2A" w:rsidR="00EA6066" w:rsidRDefault="00EE48F8" w:rsidP="00EE48F8">
      <w:pPr>
        <w:spacing w:after="0" w:line="240" w:lineRule="auto"/>
        <w:jc w:val="both"/>
        <w:rPr>
          <w:rFonts w:ascii="Times New Roman" w:hAnsi="Times New Roman" w:cs="Times New Roman"/>
          <w:sz w:val="20"/>
          <w:szCs w:val="20"/>
          <w:shd w:val="clear" w:color="auto" w:fill="FFFFFF"/>
          <w:lang w:val="en-GB"/>
        </w:rPr>
      </w:pPr>
      <w:r w:rsidRPr="00EE48F8">
        <w:rPr>
          <w:rFonts w:ascii="Times New Roman" w:hAnsi="Times New Roman" w:cs="Times New Roman"/>
          <w:sz w:val="20"/>
          <w:szCs w:val="20"/>
          <w:shd w:val="clear" w:color="auto" w:fill="FFFFFF"/>
          <w:lang w:val="en-GB"/>
        </w:rPr>
        <w:t xml:space="preserve">Gillette, J. M. (2003). Designing with light: An introduction to stage lighting (4th </w:t>
      </w:r>
      <w:proofErr w:type="gramStart"/>
      <w:r w:rsidRPr="00EE48F8">
        <w:rPr>
          <w:rFonts w:ascii="Times New Roman" w:hAnsi="Times New Roman" w:cs="Times New Roman"/>
          <w:sz w:val="20"/>
          <w:szCs w:val="20"/>
          <w:shd w:val="clear" w:color="auto" w:fill="FFFFFF"/>
          <w:lang w:val="en-GB"/>
        </w:rPr>
        <w:t>ed</w:t>
      </w:r>
      <w:proofErr w:type="gramEnd"/>
      <w:r w:rsidRPr="00EE48F8">
        <w:rPr>
          <w:rFonts w:ascii="Times New Roman" w:hAnsi="Times New Roman" w:cs="Times New Roman"/>
          <w:sz w:val="20"/>
          <w:szCs w:val="20"/>
          <w:shd w:val="clear" w:color="auto" w:fill="FFFFFF"/>
          <w:lang w:val="en-GB"/>
        </w:rPr>
        <w:t>.). McGraw Hill.</w:t>
      </w:r>
    </w:p>
    <w:p w14:paraId="103C7F38" w14:textId="69C3C374" w:rsidR="00EE48F8" w:rsidRDefault="00EE48F8" w:rsidP="00EE48F8">
      <w:pPr>
        <w:spacing w:after="0" w:line="240" w:lineRule="auto"/>
        <w:jc w:val="both"/>
        <w:rPr>
          <w:rFonts w:ascii="Times New Roman" w:hAnsi="Times New Roman" w:cs="Times New Roman"/>
          <w:sz w:val="20"/>
          <w:szCs w:val="20"/>
          <w:shd w:val="clear" w:color="auto" w:fill="FFFFFF"/>
          <w:lang w:val="en-GB"/>
        </w:rPr>
      </w:pPr>
    </w:p>
    <w:p w14:paraId="5521ADF0"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lastRenderedPageBreak/>
        <w:t>Graham, K. (2016). Energy efficiency in entertainment lighting. Entertainment Engineering Journal, 12(3), 42-49.</w:t>
      </w:r>
    </w:p>
    <w:p w14:paraId="081AB81E"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041607E8"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 xml:space="preserve">McCandless, S. R. (1958). A method of lighting the stage (4th </w:t>
      </w:r>
      <w:proofErr w:type="gramStart"/>
      <w:r w:rsidRPr="00EE48F8">
        <w:rPr>
          <w:rFonts w:ascii="Times New Roman" w:hAnsi="Times New Roman" w:cs="Times New Roman"/>
          <w:sz w:val="20"/>
          <w:szCs w:val="20"/>
          <w:lang w:val="en-GB"/>
        </w:rPr>
        <w:t>ed</w:t>
      </w:r>
      <w:proofErr w:type="gramEnd"/>
      <w:r w:rsidRPr="00EE48F8">
        <w:rPr>
          <w:rFonts w:ascii="Times New Roman" w:hAnsi="Times New Roman" w:cs="Times New Roman"/>
          <w:sz w:val="20"/>
          <w:szCs w:val="20"/>
          <w:lang w:val="en-GB"/>
        </w:rPr>
        <w:t>.). Theatre Arts Books.</w:t>
      </w:r>
    </w:p>
    <w:p w14:paraId="5C39FAD0"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3757EBDC"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 xml:space="preserve">McCandless, S. R. (1966). A method of lighting the stage (4th </w:t>
      </w:r>
      <w:proofErr w:type="gramStart"/>
      <w:r w:rsidRPr="00EE48F8">
        <w:rPr>
          <w:rFonts w:ascii="Times New Roman" w:hAnsi="Times New Roman" w:cs="Times New Roman"/>
          <w:sz w:val="20"/>
          <w:szCs w:val="20"/>
          <w:lang w:val="en-GB"/>
        </w:rPr>
        <w:t>ed</w:t>
      </w:r>
      <w:proofErr w:type="gramEnd"/>
      <w:r w:rsidRPr="00EE48F8">
        <w:rPr>
          <w:rFonts w:ascii="Times New Roman" w:hAnsi="Times New Roman" w:cs="Times New Roman"/>
          <w:sz w:val="20"/>
          <w:szCs w:val="20"/>
          <w:lang w:val="en-GB"/>
        </w:rPr>
        <w:t>.). Theatre Arts Books.</w:t>
      </w:r>
    </w:p>
    <w:p w14:paraId="430018C9"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75C3A3E5"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Moran, S. (2019). LED lighting in theatrical production: A technical and economic analysis. Lighting Research &amp; Technology, 51(4), 562-578.</w:t>
      </w:r>
    </w:p>
    <w:p w14:paraId="6D736FF7"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009B469A"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Nigerian Electricity Regulatory Commission. (2022). Grid emission factor for Nigeria (Technical Report). NERC.</w:t>
      </w:r>
    </w:p>
    <w:p w14:paraId="5FF03CC3"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1E57F53C"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Norbert, O. E. (2000). Theatre workshop. National Open University of Nigeria.</w:t>
      </w:r>
    </w:p>
    <w:p w14:paraId="2F67CF6C"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3C8D26CB"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Ododo, S. E. (1996). Stage lighting in the contemporary Nigerian theatre. Ekpoma Journal of Languages and Literary Studies, 3(1), 45-62.</w:t>
      </w:r>
    </w:p>
    <w:p w14:paraId="0E161B4E"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012245D9" w14:textId="77777777" w:rsidR="00EE48F8" w:rsidRPr="00EE48F8"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Oni, D. (2004). Stage lighting design: The Nigerian perspective. Concept Publication Limited.</w:t>
      </w:r>
    </w:p>
    <w:p w14:paraId="1ADE4663" w14:textId="77777777" w:rsidR="00EE48F8" w:rsidRPr="00EE48F8" w:rsidRDefault="00EE48F8" w:rsidP="00EE48F8">
      <w:pPr>
        <w:spacing w:after="0" w:line="240" w:lineRule="auto"/>
        <w:jc w:val="both"/>
        <w:rPr>
          <w:rFonts w:ascii="Times New Roman" w:hAnsi="Times New Roman" w:cs="Times New Roman"/>
          <w:sz w:val="20"/>
          <w:szCs w:val="20"/>
          <w:lang w:val="en-GB"/>
        </w:rPr>
      </w:pPr>
    </w:p>
    <w:p w14:paraId="162E20FE" w14:textId="5C3F126A" w:rsidR="00EE48F8" w:rsidRPr="002D7771" w:rsidRDefault="00EE48F8" w:rsidP="00EE48F8">
      <w:pPr>
        <w:spacing w:after="0" w:line="240" w:lineRule="auto"/>
        <w:jc w:val="both"/>
        <w:rPr>
          <w:rFonts w:ascii="Times New Roman" w:hAnsi="Times New Roman" w:cs="Times New Roman"/>
          <w:sz w:val="20"/>
          <w:szCs w:val="20"/>
          <w:lang w:val="en-GB"/>
        </w:rPr>
      </w:pPr>
      <w:r w:rsidRPr="00EE48F8">
        <w:rPr>
          <w:rFonts w:ascii="Times New Roman" w:hAnsi="Times New Roman" w:cs="Times New Roman"/>
          <w:sz w:val="20"/>
          <w:szCs w:val="20"/>
          <w:lang w:val="en-GB"/>
        </w:rPr>
        <w:t>Pilbrow, R. (1997). Stage lighting design: The art, the craft, the life. Design Press.</w:t>
      </w:r>
    </w:p>
    <w:p w14:paraId="51A6DFA4" w14:textId="77777777" w:rsidR="00D20740" w:rsidRPr="002D7771" w:rsidRDefault="00D20740" w:rsidP="00D20740">
      <w:pPr>
        <w:spacing w:line="240" w:lineRule="auto"/>
        <w:jc w:val="both"/>
        <w:rPr>
          <w:rFonts w:ascii="Times New Roman" w:hAnsi="Times New Roman" w:cs="Times New Roman"/>
          <w:sz w:val="20"/>
          <w:szCs w:val="20"/>
          <w:lang w:val="en-GB"/>
        </w:rPr>
      </w:pPr>
    </w:p>
    <w:p w14:paraId="1EF77538" w14:textId="77777777" w:rsidR="00D20740" w:rsidRPr="002D7771" w:rsidRDefault="00D20740" w:rsidP="00D20740">
      <w:pPr>
        <w:spacing w:line="240" w:lineRule="auto"/>
        <w:jc w:val="both"/>
        <w:rPr>
          <w:rFonts w:ascii="Times New Roman" w:hAnsi="Times New Roman" w:cs="Times New Roman"/>
          <w:sz w:val="20"/>
          <w:szCs w:val="20"/>
          <w:lang w:val="en-GB"/>
        </w:rPr>
      </w:pPr>
    </w:p>
    <w:p w14:paraId="63757867" w14:textId="3DDCE4D0" w:rsidR="00D20740" w:rsidRPr="002D7771" w:rsidRDefault="00D20740" w:rsidP="00D20740">
      <w:pPr>
        <w:spacing w:line="240" w:lineRule="auto"/>
        <w:jc w:val="both"/>
        <w:rPr>
          <w:rFonts w:ascii="Times New Roman" w:hAnsi="Times New Roman" w:cs="Times New Roman"/>
          <w:sz w:val="20"/>
          <w:szCs w:val="20"/>
          <w:lang w:val="en-GB"/>
        </w:rPr>
      </w:pPr>
    </w:p>
    <w:sectPr w:rsidR="00D20740" w:rsidRPr="002D7771" w:rsidSect="00E159D6">
      <w:type w:val="continuous"/>
      <w:pgSz w:w="12240" w:h="15840"/>
      <w:pgMar w:top="1152" w:right="778" w:bottom="965" w:left="1152" w:header="720" w:footer="720" w:gutter="0"/>
      <w:cols w:num="2" w:space="4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6A6A8" w14:textId="77777777" w:rsidR="00B53B72" w:rsidRDefault="00B53B72">
      <w:pPr>
        <w:spacing w:line="240" w:lineRule="auto"/>
      </w:pPr>
      <w:r>
        <w:separator/>
      </w:r>
    </w:p>
  </w:endnote>
  <w:endnote w:type="continuationSeparator" w:id="0">
    <w:p w14:paraId="7E153D3F" w14:textId="77777777" w:rsidR="00B53B72" w:rsidRDefault="00B53B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55 Roman">
    <w:altName w:val="Cambria"/>
    <w:charset w:val="00"/>
    <w:family w:val="roman"/>
    <w:pitch w:val="default"/>
    <w:sig w:usb0="00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boto-Regular">
    <w:altName w:val="Times New Roman"/>
    <w:charset w:val="00"/>
    <w:family w:val="roman"/>
    <w:pitch w:val="default"/>
  </w:font>
  <w:font w:name="Raavi">
    <w:altName w:val="Cambria Math"/>
    <w:panose1 w:val="02000500000000000000"/>
    <w:charset w:val="00"/>
    <w:family w:val="swiss"/>
    <w:pitch w:val="variable"/>
    <w:sig w:usb0="00020003" w:usb1="00000000" w:usb2="00000000" w:usb3="00000000" w:csb0="00000001"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33B7" w14:textId="18996AC9" w:rsidR="00DF1DB2" w:rsidRDefault="00DF1DB2" w:rsidP="0099058C">
    <w:pPr>
      <w:pStyle w:val="Footer"/>
    </w:pPr>
    <w:r>
      <w:rPr>
        <w:rFonts w:ascii="Times New Roman" w:hAnsi="Times New Roman" w:cs="Times New Roman"/>
        <w:sz w:val="16"/>
        <w:szCs w:val="20"/>
      </w:rPr>
      <w:t xml:space="preserve">*Corresponding author: </w:t>
    </w:r>
    <w:r w:rsidRPr="0099058C">
      <w:rPr>
        <w:rFonts w:ascii="Times New Roman" w:hAnsi="Times New Roman" w:cs="Times New Roman"/>
        <w:i/>
        <w:iCs/>
        <w:sz w:val="16"/>
        <w:szCs w:val="20"/>
        <w:lang w:val="pt-BR"/>
      </w:rPr>
      <w:t>mbenghanem@iu.edu.sa</w:t>
    </w:r>
    <w:r w:rsidRPr="00B444E7">
      <w:rPr>
        <w:rFonts w:ascii="Times New Roman" w:hAnsi="Times New Roman" w:cs="Times New Roman"/>
        <w:i/>
        <w:iCs/>
        <w:sz w:val="16"/>
        <w:szCs w:val="20"/>
        <w:lang w:val="pt-BR"/>
      </w:rPr>
      <w:t xml:space="preserve"> </w:t>
    </w:r>
    <w:r>
      <w:rPr>
        <w:rFonts w:ascii="Times New Roman" w:hAnsi="Times New Roman" w:cs="Times New Roman"/>
        <w:i/>
        <w:iCs/>
        <w:sz w:val="16"/>
        <w:szCs w:val="20"/>
        <w:lang w:val="pt-BR"/>
      </w:rPr>
      <w:t xml:space="preserve">                                                                                          </w:t>
    </w:r>
    <w:proofErr w:type="spellStart"/>
    <w:r w:rsidRPr="00360619">
      <w:rPr>
        <w:rStyle w:val="Heading2Char"/>
        <w:rFonts w:eastAsiaTheme="minorEastAsia"/>
        <w:b/>
        <w:i/>
        <w:color w:val="auto"/>
        <w:sz w:val="16"/>
      </w:rPr>
      <w:t>doi</w:t>
    </w:r>
    <w:proofErr w:type="spellEnd"/>
    <w:r w:rsidRPr="00360619">
      <w:rPr>
        <w:rStyle w:val="Heading2Char"/>
        <w:rFonts w:eastAsiaTheme="minorEastAsia"/>
        <w:b/>
        <w:i/>
        <w:color w:val="auto"/>
        <w:sz w:val="16"/>
      </w:rPr>
      <w:t>:</w:t>
    </w:r>
    <w:r w:rsidRPr="00360619">
      <w:rPr>
        <w:rStyle w:val="Heading2Char"/>
        <w:rFonts w:eastAsiaTheme="minorEastAsia"/>
        <w:b/>
        <w:sz w:val="16"/>
      </w:rPr>
      <w:t xml:space="preserve"> </w:t>
    </w:r>
    <w:r w:rsidRPr="00360619">
      <w:rPr>
        <w:rFonts w:ascii="Raavi" w:hAnsi="Raavi" w:cs="Raavi"/>
        <w:sz w:val="16"/>
        <w:szCs w:val="16"/>
      </w:rPr>
      <w:t>http://dx.doi.org/10.63746/njtd.v22i5.3158</w:t>
    </w:r>
  </w:p>
  <w:p w14:paraId="0A4A8030" w14:textId="72D17DFC" w:rsidR="00DF1DB2" w:rsidRDefault="00DF1DB2" w:rsidP="00B44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C6F82" w14:textId="77777777" w:rsidR="00B53B72" w:rsidRDefault="00B53B72">
      <w:pPr>
        <w:spacing w:after="0"/>
      </w:pPr>
      <w:r>
        <w:separator/>
      </w:r>
    </w:p>
  </w:footnote>
  <w:footnote w:type="continuationSeparator" w:id="0">
    <w:p w14:paraId="0597A937" w14:textId="77777777" w:rsidR="00B53B72" w:rsidRDefault="00B53B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AD82E" w14:textId="3D854B73" w:rsidR="00DF1DB2" w:rsidRDefault="00DF1DB2">
    <w:pPr>
      <w:pStyle w:val="Header"/>
    </w:pPr>
    <w:sdt>
      <w:sdtPr>
        <w:id w:val="256185385"/>
        <w:docPartObj>
          <w:docPartGallery w:val="AutoText"/>
        </w:docPartObj>
      </w:sdtPr>
      <w:sdtEndPr>
        <w:rPr>
          <w:rFonts w:ascii="Times New Roman" w:hAnsi="Times New Roman" w:cs="Times New Roman"/>
          <w:sz w:val="20"/>
        </w:rPr>
      </w:sdtEndPr>
      <w:sdtContent>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sz w:val="20"/>
          </w:rPr>
          <w:fldChar w:fldCharType="separate"/>
        </w:r>
        <w:r>
          <w:rPr>
            <w:rFonts w:ascii="Times New Roman" w:hAnsi="Times New Roman" w:cs="Times New Roman"/>
            <w:noProof/>
            <w:sz w:val="20"/>
          </w:rPr>
          <w:t>52</w:t>
        </w:r>
        <w:r>
          <w:rPr>
            <w:rFonts w:ascii="Times New Roman" w:hAnsi="Times New Roman" w:cs="Times New Roman"/>
            <w:sz w:val="20"/>
          </w:rPr>
          <w:fldChar w:fldCharType="end"/>
        </w:r>
      </w:sdtContent>
    </w:sdt>
    <w:r>
      <w:rPr>
        <w:rFonts w:ascii="Times New Roman" w:hAnsi="Times New Roman" w:cs="Times New Roman"/>
        <w:sz w:val="20"/>
      </w:rPr>
      <w:t xml:space="preserve">                                                                  </w:t>
    </w:r>
    <w:r>
      <w:rPr>
        <w:rFonts w:ascii="Times New Roman" w:hAnsi="Times New Roman" w:cs="Times New Roman"/>
        <w:i/>
        <w:sz w:val="16"/>
      </w:rPr>
      <w:t xml:space="preserve">NIGERIAN JOURNAL OF TECHNOLOGICAL DEVELOPMENT,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6546" w14:textId="0E6E762E" w:rsidR="00DF1DB2" w:rsidRPr="00F94EAE" w:rsidRDefault="00587D68" w:rsidP="00F94EAE">
    <w:pPr>
      <w:spacing w:after="0"/>
      <w:rPr>
        <w:rFonts w:ascii="Times New Roman" w:hAnsi="Times New Roman" w:cs="Times New Roman"/>
        <w:b/>
        <w:bCs/>
        <w:i/>
        <w:sz w:val="16"/>
      </w:rPr>
    </w:pPr>
    <w:r>
      <w:rPr>
        <w:rFonts w:ascii="Times New Roman" w:hAnsi="Times New Roman" w:cs="Times New Roman"/>
        <w:i/>
        <w:sz w:val="16"/>
      </w:rPr>
      <w:t>SHUAIB</w:t>
    </w:r>
    <w:r w:rsidR="00DF1DB2">
      <w:rPr>
        <w:rFonts w:ascii="Times New Roman" w:hAnsi="Times New Roman" w:cs="Times New Roman"/>
        <w:i/>
        <w:sz w:val="16"/>
      </w:rPr>
      <w:t xml:space="preserve"> et al:</w:t>
    </w:r>
    <w:r w:rsidR="00DF1DB2" w:rsidRPr="00F94EAE">
      <w:rPr>
        <w:rFonts w:ascii="Times New Roman" w:hAnsi="Times New Roman" w:cs="Times New Roman"/>
        <w:b/>
        <w:bCs/>
        <w:i/>
        <w:sz w:val="16"/>
        <w:lang w:val="en-GB"/>
      </w:rPr>
      <w:t xml:space="preserve"> </w:t>
    </w:r>
    <w:r w:rsidR="00DF1DB2">
      <w:rPr>
        <w:rFonts w:ascii="Times New Roman" w:hAnsi="Times New Roman" w:cs="Times New Roman"/>
        <w:b/>
        <w:bCs/>
        <w:i/>
        <w:sz w:val="16"/>
        <w:lang w:val="en-GB"/>
      </w:rPr>
      <w:tab/>
    </w:r>
    <w:r w:rsidR="00DF1DB2">
      <w:rPr>
        <w:rFonts w:ascii="Times New Roman" w:hAnsi="Times New Roman" w:cs="Times New Roman"/>
        <w:b/>
        <w:bCs/>
        <w:i/>
        <w:sz w:val="16"/>
        <w:lang w:val="en-GB"/>
      </w:rPr>
      <w:tab/>
    </w:r>
    <w:r w:rsidR="00DF1DB2">
      <w:rPr>
        <w:rFonts w:ascii="Times New Roman" w:hAnsi="Times New Roman" w:cs="Times New Roman"/>
        <w:b/>
        <w:bCs/>
        <w:i/>
        <w:sz w:val="16"/>
        <w:lang w:val="en-GB"/>
      </w:rPr>
      <w:tab/>
      <w:t xml:space="preserve">                </w:t>
    </w:r>
    <w:r w:rsidR="00DF1DB2">
      <w:rPr>
        <w:rFonts w:ascii="Times New Roman" w:hAnsi="Times New Roman" w:cs="Times New Roman"/>
        <w:i/>
        <w:sz w:val="20"/>
        <w:szCs w:val="20"/>
      </w:rPr>
      <w:fldChar w:fldCharType="begin"/>
    </w:r>
    <w:r w:rsidR="00DF1DB2">
      <w:rPr>
        <w:rFonts w:ascii="Times New Roman" w:hAnsi="Times New Roman" w:cs="Times New Roman"/>
        <w:i/>
        <w:sz w:val="20"/>
        <w:szCs w:val="20"/>
      </w:rPr>
      <w:instrText xml:space="preserve"> </w:instrText>
    </w:r>
    <w:r w:rsidR="00DF1DB2">
      <w:rPr>
        <w:rStyle w:val="fontstyle01"/>
        <w:rFonts w:ascii="Times New Roman" w:hAnsi="Times New Roman" w:cs="Times New Roman"/>
        <w:sz w:val="20"/>
        <w:szCs w:val="20"/>
      </w:rPr>
      <w:instrText xml:space="preserve">PAGE \* Arabic </w:instrText>
    </w:r>
    <w:r w:rsidR="00DF1DB2">
      <w:rPr>
        <w:rFonts w:ascii="Times New Roman" w:hAnsi="Times New Roman" w:cs="Times New Roman"/>
        <w:i/>
        <w:sz w:val="20"/>
        <w:szCs w:val="20"/>
      </w:rPr>
      <w:instrText xml:space="preserve"> </w:instrText>
    </w:r>
    <w:r w:rsidR="00DF1DB2">
      <w:rPr>
        <w:rFonts w:ascii="Times New Roman" w:hAnsi="Times New Roman" w:cs="Times New Roman"/>
        <w:i/>
        <w:sz w:val="20"/>
        <w:szCs w:val="20"/>
      </w:rPr>
      <w:fldChar w:fldCharType="separate"/>
    </w:r>
    <w:r w:rsidR="007E6228">
      <w:rPr>
        <w:rStyle w:val="fontstyle01"/>
        <w:rFonts w:ascii="Times New Roman" w:hAnsi="Times New Roman" w:cs="Times New Roman"/>
        <w:noProof/>
        <w:sz w:val="20"/>
        <w:szCs w:val="20"/>
      </w:rPr>
      <w:t>53</w:t>
    </w:r>
    <w:r w:rsidR="00DF1DB2">
      <w:rPr>
        <w:rFonts w:ascii="Times New Roman" w:hAnsi="Times New Roman" w:cs="Times New Roman"/>
        <w:i/>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3A823" w14:textId="35AFBB6E" w:rsidR="00DF1DB2" w:rsidRDefault="00DF1DB2">
    <w:pPr>
      <w:pStyle w:val="Header"/>
    </w:pPr>
    <w:sdt>
      <w:sdtPr>
        <w:id w:val="138774029"/>
        <w:docPartObj>
          <w:docPartGallery w:val="Page Numbers (Top of Page)"/>
          <w:docPartUnique/>
        </w:docPartObj>
      </w:sdtPr>
      <w:sdtEndPr>
        <w:rPr>
          <w:noProof/>
        </w:rPr>
      </w:sdtEndPr>
      <w:sdtContent>
        <w:r>
          <w:fldChar w:fldCharType="begin"/>
        </w:r>
        <w:r>
          <w:instrText xml:space="preserve">  </w:instrText>
        </w:r>
        <w:r>
          <w:fldChar w:fldCharType="separate"/>
        </w:r>
        <w:r>
          <w:rPr>
            <w:noProof/>
          </w:rPr>
          <w:t>49</w:t>
        </w:r>
        <w:r>
          <w:rPr>
            <w:noProof/>
          </w:rPr>
          <w:fldChar w:fldCharType="end"/>
        </w:r>
        <w:r>
          <w:rPr>
            <w:rFonts w:ascii="Times New Roman" w:hAnsi="Times New Roman" w:cs="Times New Roman"/>
            <w:sz w:val="20"/>
          </w:rPr>
          <w:t xml:space="preserve">                                                                  </w:t>
        </w:r>
        <w:r>
          <w:rPr>
            <w:rFonts w:ascii="Times New Roman" w:hAnsi="Times New Roman" w:cs="Times New Roman"/>
            <w:i/>
            <w:sz w:val="16"/>
          </w:rPr>
          <w:t>NIGERIAN JOURNAL OF TECHNOLOGICAL DEVELOPMENT, VOL. 22, NO.5, DECEMBER 2025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5B0B"/>
    <w:multiLevelType w:val="hybridMultilevel"/>
    <w:tmpl w:val="2CF074C4"/>
    <w:lvl w:ilvl="0" w:tplc="FFCE3002">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04D348F3"/>
    <w:multiLevelType w:val="multilevel"/>
    <w:tmpl w:val="04D348F3"/>
    <w:lvl w:ilvl="0">
      <w:start w:val="1"/>
      <w:numFmt w:val="upperLetter"/>
      <w:lvlText w:val="%1."/>
      <w:lvlJc w:val="left"/>
      <w:pPr>
        <w:ind w:left="690" w:hanging="420"/>
      </w:pPr>
      <w:rPr>
        <w:rFonts w:hint="default"/>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 w15:restartNumberingAfterBreak="0">
    <w:nsid w:val="07416FC1"/>
    <w:multiLevelType w:val="multilevel"/>
    <w:tmpl w:val="07416FC1"/>
    <w:lvl w:ilvl="0">
      <w:start w:val="1"/>
      <w:numFmt w:val="upperLetter"/>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460B95"/>
    <w:multiLevelType w:val="hybridMultilevel"/>
    <w:tmpl w:val="5C2EB1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A3D0F"/>
    <w:multiLevelType w:val="hybridMultilevel"/>
    <w:tmpl w:val="2FEE0A5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3C3C75"/>
    <w:multiLevelType w:val="hybridMultilevel"/>
    <w:tmpl w:val="3F46E85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8C752C1"/>
    <w:multiLevelType w:val="multilevel"/>
    <w:tmpl w:val="18C752C1"/>
    <w:lvl w:ilvl="0">
      <w:start w:val="1"/>
      <w:numFmt w:val="decimal"/>
      <w:lvlText w:val="%1."/>
      <w:lvlJc w:val="left"/>
      <w:pPr>
        <w:ind w:left="720" w:hanging="360"/>
      </w:pPr>
      <w:rPr>
        <w:rFonts w:hint="default"/>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2F11AB"/>
    <w:multiLevelType w:val="multilevel"/>
    <w:tmpl w:val="1B2F11AB"/>
    <w:lvl w:ilvl="0">
      <w:start w:val="2"/>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6223135"/>
    <w:multiLevelType w:val="hybridMultilevel"/>
    <w:tmpl w:val="5EF4132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06F5E89"/>
    <w:multiLevelType w:val="hybridMultilevel"/>
    <w:tmpl w:val="FE8E1AE4"/>
    <w:lvl w:ilvl="0" w:tplc="04090011">
      <w:start w:val="1"/>
      <w:numFmt w:val="decimal"/>
      <w:lvlText w:val="%1)"/>
      <w:lvlJc w:val="left"/>
      <w:pPr>
        <w:ind w:left="816" w:hanging="360"/>
      </w:p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10" w15:restartNumberingAfterBreak="0">
    <w:nsid w:val="32047351"/>
    <w:multiLevelType w:val="hybridMultilevel"/>
    <w:tmpl w:val="99FA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C16391"/>
    <w:multiLevelType w:val="hybridMultilevel"/>
    <w:tmpl w:val="EF36A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C64C7"/>
    <w:multiLevelType w:val="hybridMultilevel"/>
    <w:tmpl w:val="0A3ABE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5D2BE1"/>
    <w:multiLevelType w:val="multilevel"/>
    <w:tmpl w:val="DB96CBB2"/>
    <w:lvl w:ilvl="0">
      <w:start w:val="1"/>
      <w:numFmt w:val="upperRoman"/>
      <w:lvlText w:val="%1."/>
      <w:lvlJc w:val="righ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0D156E"/>
    <w:multiLevelType w:val="hybridMultilevel"/>
    <w:tmpl w:val="BC2ED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8D7505"/>
    <w:multiLevelType w:val="hybridMultilevel"/>
    <w:tmpl w:val="22D236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226FDC"/>
    <w:multiLevelType w:val="hybridMultilevel"/>
    <w:tmpl w:val="40F8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AC1CEB"/>
    <w:multiLevelType w:val="hybridMultilevel"/>
    <w:tmpl w:val="18E8FADE"/>
    <w:lvl w:ilvl="0" w:tplc="20000001">
      <w:start w:val="1"/>
      <w:numFmt w:val="bullet"/>
      <w:lvlText w:val=""/>
      <w:lvlJc w:val="left"/>
      <w:pPr>
        <w:ind w:left="1146" w:hanging="360"/>
      </w:pPr>
      <w:rPr>
        <w:rFonts w:ascii="Symbol" w:hAnsi="Symbol"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18" w15:restartNumberingAfterBreak="0">
    <w:nsid w:val="599F606C"/>
    <w:multiLevelType w:val="hybridMultilevel"/>
    <w:tmpl w:val="D08E5BA4"/>
    <w:lvl w:ilvl="0" w:tplc="51F21BBE">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600859D7"/>
    <w:multiLevelType w:val="hybridMultilevel"/>
    <w:tmpl w:val="9B00FF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DC2569"/>
    <w:multiLevelType w:val="multilevel"/>
    <w:tmpl w:val="64DC2569"/>
    <w:lvl w:ilvl="0">
      <w:start w:val="4"/>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56E782F"/>
    <w:multiLevelType w:val="hybridMultilevel"/>
    <w:tmpl w:val="C95C7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BB6CB0"/>
    <w:multiLevelType w:val="hybridMultilevel"/>
    <w:tmpl w:val="B650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7A6D67"/>
    <w:multiLevelType w:val="hybridMultilevel"/>
    <w:tmpl w:val="D144C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B13B65"/>
    <w:multiLevelType w:val="hybridMultilevel"/>
    <w:tmpl w:val="EADE0D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B52E20"/>
    <w:multiLevelType w:val="hybridMultilevel"/>
    <w:tmpl w:val="8B0CDF34"/>
    <w:lvl w:ilvl="0" w:tplc="20000013">
      <w:start w:val="1"/>
      <w:numFmt w:val="upp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6" w15:restartNumberingAfterBreak="0">
    <w:nsid w:val="73303B64"/>
    <w:multiLevelType w:val="hybridMultilevel"/>
    <w:tmpl w:val="3C749DA0"/>
    <w:lvl w:ilvl="0" w:tplc="04090011">
      <w:start w:val="1"/>
      <w:numFmt w:val="decimal"/>
      <w:lvlText w:val="%1)"/>
      <w:lvlJc w:val="left"/>
      <w:pPr>
        <w:ind w:left="1176" w:hanging="360"/>
      </w:p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27" w15:restartNumberingAfterBreak="0">
    <w:nsid w:val="73606B49"/>
    <w:multiLevelType w:val="hybridMultilevel"/>
    <w:tmpl w:val="41D01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DC656B"/>
    <w:multiLevelType w:val="hybridMultilevel"/>
    <w:tmpl w:val="25DCE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556940"/>
    <w:multiLevelType w:val="hybridMultilevel"/>
    <w:tmpl w:val="F09AC6E8"/>
    <w:lvl w:ilvl="0" w:tplc="762E44B2">
      <w:start w:val="4"/>
      <w:numFmt w:val="upperRoman"/>
      <w:lvlText w:val="%1."/>
      <w:lvlJc w:val="righ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87744CE"/>
    <w:multiLevelType w:val="multilevel"/>
    <w:tmpl w:val="787744CE"/>
    <w:lvl w:ilvl="0">
      <w:start w:val="6"/>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FCF7D00"/>
    <w:multiLevelType w:val="hybridMultilevel"/>
    <w:tmpl w:val="6F7203E8"/>
    <w:lvl w:ilvl="0" w:tplc="D9E60942">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13"/>
  </w:num>
  <w:num w:numId="2">
    <w:abstractNumId w:val="1"/>
  </w:num>
  <w:num w:numId="3">
    <w:abstractNumId w:val="7"/>
  </w:num>
  <w:num w:numId="4">
    <w:abstractNumId w:val="30"/>
  </w:num>
  <w:num w:numId="5">
    <w:abstractNumId w:val="2"/>
  </w:num>
  <w:num w:numId="6">
    <w:abstractNumId w:val="20"/>
  </w:num>
  <w:num w:numId="7">
    <w:abstractNumId w:val="6"/>
  </w:num>
  <w:num w:numId="8">
    <w:abstractNumId w:val="8"/>
  </w:num>
  <w:num w:numId="9">
    <w:abstractNumId w:val="18"/>
  </w:num>
  <w:num w:numId="10">
    <w:abstractNumId w:val="31"/>
  </w:num>
  <w:num w:numId="11">
    <w:abstractNumId w:val="0"/>
  </w:num>
  <w:num w:numId="12">
    <w:abstractNumId w:val="16"/>
  </w:num>
  <w:num w:numId="13">
    <w:abstractNumId w:val="14"/>
  </w:num>
  <w:num w:numId="14">
    <w:abstractNumId w:val="11"/>
  </w:num>
  <w:num w:numId="15">
    <w:abstractNumId w:val="28"/>
  </w:num>
  <w:num w:numId="16">
    <w:abstractNumId w:val="5"/>
  </w:num>
  <w:num w:numId="17">
    <w:abstractNumId w:val="25"/>
  </w:num>
  <w:num w:numId="18">
    <w:abstractNumId w:val="29"/>
  </w:num>
  <w:num w:numId="19">
    <w:abstractNumId w:val="21"/>
  </w:num>
  <w:num w:numId="20">
    <w:abstractNumId w:val="17"/>
  </w:num>
  <w:num w:numId="21">
    <w:abstractNumId w:val="24"/>
  </w:num>
  <w:num w:numId="22">
    <w:abstractNumId w:val="27"/>
  </w:num>
  <w:num w:numId="23">
    <w:abstractNumId w:val="23"/>
  </w:num>
  <w:num w:numId="24">
    <w:abstractNumId w:val="3"/>
  </w:num>
  <w:num w:numId="25">
    <w:abstractNumId w:val="4"/>
  </w:num>
  <w:num w:numId="26">
    <w:abstractNumId w:val="12"/>
  </w:num>
  <w:num w:numId="27">
    <w:abstractNumId w:val="9"/>
  </w:num>
  <w:num w:numId="28">
    <w:abstractNumId w:val="26"/>
  </w:num>
  <w:num w:numId="29">
    <w:abstractNumId w:val="10"/>
  </w:num>
  <w:num w:numId="30">
    <w:abstractNumId w:val="22"/>
  </w:num>
  <w:num w:numId="31">
    <w:abstractNumId w:val="19"/>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0D"/>
    <w:rsid w:val="00001EBB"/>
    <w:rsid w:val="00004618"/>
    <w:rsid w:val="00005C3C"/>
    <w:rsid w:val="00006B8B"/>
    <w:rsid w:val="0001717D"/>
    <w:rsid w:val="0002513B"/>
    <w:rsid w:val="00027B3C"/>
    <w:rsid w:val="00035010"/>
    <w:rsid w:val="00037E9F"/>
    <w:rsid w:val="00042802"/>
    <w:rsid w:val="00042D6E"/>
    <w:rsid w:val="00044F22"/>
    <w:rsid w:val="000453A9"/>
    <w:rsid w:val="00046362"/>
    <w:rsid w:val="00046C8A"/>
    <w:rsid w:val="00046F74"/>
    <w:rsid w:val="00051550"/>
    <w:rsid w:val="00056890"/>
    <w:rsid w:val="00057D32"/>
    <w:rsid w:val="000617CB"/>
    <w:rsid w:val="00066DF7"/>
    <w:rsid w:val="0007616B"/>
    <w:rsid w:val="00077F78"/>
    <w:rsid w:val="000808F1"/>
    <w:rsid w:val="0008213C"/>
    <w:rsid w:val="0008377B"/>
    <w:rsid w:val="000861C9"/>
    <w:rsid w:val="00087527"/>
    <w:rsid w:val="000917B9"/>
    <w:rsid w:val="0009346E"/>
    <w:rsid w:val="000A7211"/>
    <w:rsid w:val="000B0888"/>
    <w:rsid w:val="000B57DA"/>
    <w:rsid w:val="000B5923"/>
    <w:rsid w:val="000B7A17"/>
    <w:rsid w:val="000C088F"/>
    <w:rsid w:val="000C48FB"/>
    <w:rsid w:val="000D05B3"/>
    <w:rsid w:val="000D7B67"/>
    <w:rsid w:val="000E0FD0"/>
    <w:rsid w:val="000E275F"/>
    <w:rsid w:val="000E4CC7"/>
    <w:rsid w:val="000F29BD"/>
    <w:rsid w:val="000F542D"/>
    <w:rsid w:val="000F6AED"/>
    <w:rsid w:val="000F6BB1"/>
    <w:rsid w:val="001015F7"/>
    <w:rsid w:val="00101E0F"/>
    <w:rsid w:val="00107CC5"/>
    <w:rsid w:val="001142C5"/>
    <w:rsid w:val="00116DFB"/>
    <w:rsid w:val="00121D4C"/>
    <w:rsid w:val="00122AB8"/>
    <w:rsid w:val="00122F67"/>
    <w:rsid w:val="001232B1"/>
    <w:rsid w:val="0012467A"/>
    <w:rsid w:val="001338AF"/>
    <w:rsid w:val="00133DDF"/>
    <w:rsid w:val="00135251"/>
    <w:rsid w:val="0013798C"/>
    <w:rsid w:val="00142F90"/>
    <w:rsid w:val="0014492E"/>
    <w:rsid w:val="00144B6E"/>
    <w:rsid w:val="00147488"/>
    <w:rsid w:val="00150D6F"/>
    <w:rsid w:val="001511E7"/>
    <w:rsid w:val="001524B1"/>
    <w:rsid w:val="0016127C"/>
    <w:rsid w:val="00161F59"/>
    <w:rsid w:val="0016415E"/>
    <w:rsid w:val="0017193A"/>
    <w:rsid w:val="00173A2C"/>
    <w:rsid w:val="00175E40"/>
    <w:rsid w:val="001779ED"/>
    <w:rsid w:val="00180497"/>
    <w:rsid w:val="001808F6"/>
    <w:rsid w:val="00186013"/>
    <w:rsid w:val="00190CCF"/>
    <w:rsid w:val="001945C0"/>
    <w:rsid w:val="00197402"/>
    <w:rsid w:val="001A21DF"/>
    <w:rsid w:val="001A4238"/>
    <w:rsid w:val="001A7E77"/>
    <w:rsid w:val="001B1224"/>
    <w:rsid w:val="001C1840"/>
    <w:rsid w:val="001C2E7E"/>
    <w:rsid w:val="001C5E7A"/>
    <w:rsid w:val="001D0396"/>
    <w:rsid w:val="001D04F3"/>
    <w:rsid w:val="001D2AF6"/>
    <w:rsid w:val="001D52EE"/>
    <w:rsid w:val="001E27FE"/>
    <w:rsid w:val="001E553C"/>
    <w:rsid w:val="001E78C7"/>
    <w:rsid w:val="001F1D7C"/>
    <w:rsid w:val="001F1DDE"/>
    <w:rsid w:val="001F2759"/>
    <w:rsid w:val="001F528A"/>
    <w:rsid w:val="001F5ADC"/>
    <w:rsid w:val="001F5FC3"/>
    <w:rsid w:val="00204079"/>
    <w:rsid w:val="00207F24"/>
    <w:rsid w:val="00212A2D"/>
    <w:rsid w:val="00213607"/>
    <w:rsid w:val="00214CC4"/>
    <w:rsid w:val="002161F3"/>
    <w:rsid w:val="002207C8"/>
    <w:rsid w:val="0022378B"/>
    <w:rsid w:val="00223898"/>
    <w:rsid w:val="00225B9E"/>
    <w:rsid w:val="00226805"/>
    <w:rsid w:val="002274F6"/>
    <w:rsid w:val="002316C1"/>
    <w:rsid w:val="0023188D"/>
    <w:rsid w:val="00232DC8"/>
    <w:rsid w:val="0023319F"/>
    <w:rsid w:val="00235A62"/>
    <w:rsid w:val="002451C2"/>
    <w:rsid w:val="00246893"/>
    <w:rsid w:val="002542FB"/>
    <w:rsid w:val="00255D90"/>
    <w:rsid w:val="002560F7"/>
    <w:rsid w:val="002578CD"/>
    <w:rsid w:val="00271E7C"/>
    <w:rsid w:val="002728BC"/>
    <w:rsid w:val="00280BE2"/>
    <w:rsid w:val="0028226A"/>
    <w:rsid w:val="002829D5"/>
    <w:rsid w:val="00287ECB"/>
    <w:rsid w:val="002909A2"/>
    <w:rsid w:val="002A088F"/>
    <w:rsid w:val="002B076A"/>
    <w:rsid w:val="002B1A2D"/>
    <w:rsid w:val="002C5932"/>
    <w:rsid w:val="002C77DD"/>
    <w:rsid w:val="002D0B94"/>
    <w:rsid w:val="002D5BC5"/>
    <w:rsid w:val="002D5F16"/>
    <w:rsid w:val="002D7588"/>
    <w:rsid w:val="002D7771"/>
    <w:rsid w:val="002E1FD4"/>
    <w:rsid w:val="00300C8C"/>
    <w:rsid w:val="00302F56"/>
    <w:rsid w:val="00305FD9"/>
    <w:rsid w:val="00315944"/>
    <w:rsid w:val="00320A27"/>
    <w:rsid w:val="00320A7D"/>
    <w:rsid w:val="00326E6A"/>
    <w:rsid w:val="003313C5"/>
    <w:rsid w:val="00337149"/>
    <w:rsid w:val="00341D30"/>
    <w:rsid w:val="00346D40"/>
    <w:rsid w:val="0034739E"/>
    <w:rsid w:val="003478BF"/>
    <w:rsid w:val="003519AB"/>
    <w:rsid w:val="00351E16"/>
    <w:rsid w:val="00354A72"/>
    <w:rsid w:val="003561D1"/>
    <w:rsid w:val="003569C0"/>
    <w:rsid w:val="00360619"/>
    <w:rsid w:val="00365ED5"/>
    <w:rsid w:val="00365F0A"/>
    <w:rsid w:val="0037283D"/>
    <w:rsid w:val="00372B66"/>
    <w:rsid w:val="003807AF"/>
    <w:rsid w:val="003817DB"/>
    <w:rsid w:val="00381D2F"/>
    <w:rsid w:val="00386440"/>
    <w:rsid w:val="00386476"/>
    <w:rsid w:val="00386ECC"/>
    <w:rsid w:val="00391CC8"/>
    <w:rsid w:val="00392D67"/>
    <w:rsid w:val="003940E3"/>
    <w:rsid w:val="00394BD6"/>
    <w:rsid w:val="00395D83"/>
    <w:rsid w:val="003A325B"/>
    <w:rsid w:val="003A32DC"/>
    <w:rsid w:val="003A61F4"/>
    <w:rsid w:val="003B5F3E"/>
    <w:rsid w:val="003B6F98"/>
    <w:rsid w:val="003C2130"/>
    <w:rsid w:val="003D0150"/>
    <w:rsid w:val="003D44A7"/>
    <w:rsid w:val="003D5F6A"/>
    <w:rsid w:val="003D69E6"/>
    <w:rsid w:val="003E0936"/>
    <w:rsid w:val="003E3753"/>
    <w:rsid w:val="003E735C"/>
    <w:rsid w:val="003F04C6"/>
    <w:rsid w:val="003F2EAF"/>
    <w:rsid w:val="003F6EBC"/>
    <w:rsid w:val="003F76B7"/>
    <w:rsid w:val="004104D9"/>
    <w:rsid w:val="00421E09"/>
    <w:rsid w:val="0042355C"/>
    <w:rsid w:val="00426A1D"/>
    <w:rsid w:val="00431594"/>
    <w:rsid w:val="004356AB"/>
    <w:rsid w:val="00440806"/>
    <w:rsid w:val="00440A04"/>
    <w:rsid w:val="00442441"/>
    <w:rsid w:val="0044398D"/>
    <w:rsid w:val="00444F4F"/>
    <w:rsid w:val="00444FA8"/>
    <w:rsid w:val="00445581"/>
    <w:rsid w:val="00451522"/>
    <w:rsid w:val="00463452"/>
    <w:rsid w:val="00464A04"/>
    <w:rsid w:val="00467A65"/>
    <w:rsid w:val="004730BA"/>
    <w:rsid w:val="00480210"/>
    <w:rsid w:val="00482A74"/>
    <w:rsid w:val="00490A5E"/>
    <w:rsid w:val="004935E4"/>
    <w:rsid w:val="00493C0C"/>
    <w:rsid w:val="00494116"/>
    <w:rsid w:val="0049541B"/>
    <w:rsid w:val="004A2768"/>
    <w:rsid w:val="004A3314"/>
    <w:rsid w:val="004A48F0"/>
    <w:rsid w:val="004B0B72"/>
    <w:rsid w:val="004B3450"/>
    <w:rsid w:val="004B5CB1"/>
    <w:rsid w:val="004B7551"/>
    <w:rsid w:val="004C0871"/>
    <w:rsid w:val="004C767B"/>
    <w:rsid w:val="004D32E2"/>
    <w:rsid w:val="004D57A1"/>
    <w:rsid w:val="004D5A64"/>
    <w:rsid w:val="004D662F"/>
    <w:rsid w:val="004E5284"/>
    <w:rsid w:val="004E5302"/>
    <w:rsid w:val="004E5929"/>
    <w:rsid w:val="004E5BC1"/>
    <w:rsid w:val="004F00CC"/>
    <w:rsid w:val="004F1591"/>
    <w:rsid w:val="004F4543"/>
    <w:rsid w:val="004F5714"/>
    <w:rsid w:val="00500044"/>
    <w:rsid w:val="00503ED8"/>
    <w:rsid w:val="00504D69"/>
    <w:rsid w:val="00507D27"/>
    <w:rsid w:val="005146C2"/>
    <w:rsid w:val="00514AFD"/>
    <w:rsid w:val="00515BDF"/>
    <w:rsid w:val="00523781"/>
    <w:rsid w:val="00523AE6"/>
    <w:rsid w:val="005245EF"/>
    <w:rsid w:val="005262BE"/>
    <w:rsid w:val="0052786E"/>
    <w:rsid w:val="00530641"/>
    <w:rsid w:val="00532032"/>
    <w:rsid w:val="00533C94"/>
    <w:rsid w:val="005432A0"/>
    <w:rsid w:val="00545A16"/>
    <w:rsid w:val="00557E2B"/>
    <w:rsid w:val="0056021C"/>
    <w:rsid w:val="005609F8"/>
    <w:rsid w:val="00560D9B"/>
    <w:rsid w:val="0056285B"/>
    <w:rsid w:val="005655E6"/>
    <w:rsid w:val="005665F3"/>
    <w:rsid w:val="005702A3"/>
    <w:rsid w:val="0057065C"/>
    <w:rsid w:val="00573074"/>
    <w:rsid w:val="005741BC"/>
    <w:rsid w:val="00574312"/>
    <w:rsid w:val="005802A5"/>
    <w:rsid w:val="005838C4"/>
    <w:rsid w:val="00585564"/>
    <w:rsid w:val="00585A69"/>
    <w:rsid w:val="00587D68"/>
    <w:rsid w:val="00591253"/>
    <w:rsid w:val="00596F7F"/>
    <w:rsid w:val="00597AF6"/>
    <w:rsid w:val="005A18DF"/>
    <w:rsid w:val="005A5D02"/>
    <w:rsid w:val="005A7243"/>
    <w:rsid w:val="005B29F7"/>
    <w:rsid w:val="005B635C"/>
    <w:rsid w:val="005B6F59"/>
    <w:rsid w:val="005B7149"/>
    <w:rsid w:val="005C0D56"/>
    <w:rsid w:val="005C152D"/>
    <w:rsid w:val="005C2746"/>
    <w:rsid w:val="005C3305"/>
    <w:rsid w:val="005C498D"/>
    <w:rsid w:val="005C6001"/>
    <w:rsid w:val="005C6636"/>
    <w:rsid w:val="005C67F7"/>
    <w:rsid w:val="005D1CAA"/>
    <w:rsid w:val="005D49A3"/>
    <w:rsid w:val="005E306F"/>
    <w:rsid w:val="005E3DBC"/>
    <w:rsid w:val="005E4B9F"/>
    <w:rsid w:val="005F5A4C"/>
    <w:rsid w:val="006130BD"/>
    <w:rsid w:val="00613224"/>
    <w:rsid w:val="0061465B"/>
    <w:rsid w:val="006150A7"/>
    <w:rsid w:val="00625593"/>
    <w:rsid w:val="00626561"/>
    <w:rsid w:val="00626573"/>
    <w:rsid w:val="0062768D"/>
    <w:rsid w:val="0063420E"/>
    <w:rsid w:val="00645701"/>
    <w:rsid w:val="00646B52"/>
    <w:rsid w:val="006471FA"/>
    <w:rsid w:val="00650DEE"/>
    <w:rsid w:val="006518AA"/>
    <w:rsid w:val="006525B0"/>
    <w:rsid w:val="00653D34"/>
    <w:rsid w:val="00655EA5"/>
    <w:rsid w:val="00656F07"/>
    <w:rsid w:val="00660AC3"/>
    <w:rsid w:val="00665E73"/>
    <w:rsid w:val="006673F5"/>
    <w:rsid w:val="0067536C"/>
    <w:rsid w:val="00675D9C"/>
    <w:rsid w:val="00676412"/>
    <w:rsid w:val="00677B69"/>
    <w:rsid w:val="00681C9B"/>
    <w:rsid w:val="00686555"/>
    <w:rsid w:val="00690CD5"/>
    <w:rsid w:val="00692207"/>
    <w:rsid w:val="00694EC1"/>
    <w:rsid w:val="006959D3"/>
    <w:rsid w:val="006966CB"/>
    <w:rsid w:val="006A5F05"/>
    <w:rsid w:val="006B212F"/>
    <w:rsid w:val="006B5EC2"/>
    <w:rsid w:val="006C3CF2"/>
    <w:rsid w:val="006C44D1"/>
    <w:rsid w:val="006D0885"/>
    <w:rsid w:val="006D19AE"/>
    <w:rsid w:val="006D40A3"/>
    <w:rsid w:val="006D4AF6"/>
    <w:rsid w:val="006E4269"/>
    <w:rsid w:val="006E76A0"/>
    <w:rsid w:val="006F1F3F"/>
    <w:rsid w:val="006F4CC2"/>
    <w:rsid w:val="006F54BD"/>
    <w:rsid w:val="0070218F"/>
    <w:rsid w:val="007045F4"/>
    <w:rsid w:val="00707CCC"/>
    <w:rsid w:val="007107B1"/>
    <w:rsid w:val="00725EE5"/>
    <w:rsid w:val="00727D7B"/>
    <w:rsid w:val="00730C69"/>
    <w:rsid w:val="007350BF"/>
    <w:rsid w:val="00735B7E"/>
    <w:rsid w:val="007368DE"/>
    <w:rsid w:val="0074165B"/>
    <w:rsid w:val="0074218D"/>
    <w:rsid w:val="00743030"/>
    <w:rsid w:val="0075053D"/>
    <w:rsid w:val="00753D04"/>
    <w:rsid w:val="007628EF"/>
    <w:rsid w:val="00765E0C"/>
    <w:rsid w:val="00774A2C"/>
    <w:rsid w:val="007775B2"/>
    <w:rsid w:val="00777C23"/>
    <w:rsid w:val="00781C8B"/>
    <w:rsid w:val="0078378B"/>
    <w:rsid w:val="00786407"/>
    <w:rsid w:val="007939F7"/>
    <w:rsid w:val="00795A5F"/>
    <w:rsid w:val="007A4629"/>
    <w:rsid w:val="007B1B80"/>
    <w:rsid w:val="007B1C2C"/>
    <w:rsid w:val="007B3C9B"/>
    <w:rsid w:val="007B3D3B"/>
    <w:rsid w:val="007B77AE"/>
    <w:rsid w:val="007C191C"/>
    <w:rsid w:val="007C2875"/>
    <w:rsid w:val="007C2C0B"/>
    <w:rsid w:val="007C6505"/>
    <w:rsid w:val="007D087A"/>
    <w:rsid w:val="007D407D"/>
    <w:rsid w:val="007D408D"/>
    <w:rsid w:val="007D4488"/>
    <w:rsid w:val="007D520A"/>
    <w:rsid w:val="007D5608"/>
    <w:rsid w:val="007E6228"/>
    <w:rsid w:val="007E65AB"/>
    <w:rsid w:val="007F5DDA"/>
    <w:rsid w:val="007F67F7"/>
    <w:rsid w:val="007F6A67"/>
    <w:rsid w:val="00803070"/>
    <w:rsid w:val="008060B2"/>
    <w:rsid w:val="00806EBB"/>
    <w:rsid w:val="00810116"/>
    <w:rsid w:val="00811255"/>
    <w:rsid w:val="0081565C"/>
    <w:rsid w:val="008158CB"/>
    <w:rsid w:val="00817FD3"/>
    <w:rsid w:val="00821C77"/>
    <w:rsid w:val="00822A5E"/>
    <w:rsid w:val="00827927"/>
    <w:rsid w:val="00827B98"/>
    <w:rsid w:val="00830C9F"/>
    <w:rsid w:val="0083315B"/>
    <w:rsid w:val="00834684"/>
    <w:rsid w:val="008435DD"/>
    <w:rsid w:val="008450A8"/>
    <w:rsid w:val="008455CB"/>
    <w:rsid w:val="0085118C"/>
    <w:rsid w:val="00861140"/>
    <w:rsid w:val="0086338C"/>
    <w:rsid w:val="008643BC"/>
    <w:rsid w:val="008671BF"/>
    <w:rsid w:val="00867263"/>
    <w:rsid w:val="00883C67"/>
    <w:rsid w:val="00884B80"/>
    <w:rsid w:val="00891593"/>
    <w:rsid w:val="0089467D"/>
    <w:rsid w:val="00894AF9"/>
    <w:rsid w:val="008955AB"/>
    <w:rsid w:val="008A357B"/>
    <w:rsid w:val="008A3BD0"/>
    <w:rsid w:val="008A5180"/>
    <w:rsid w:val="008B432B"/>
    <w:rsid w:val="008B66D2"/>
    <w:rsid w:val="008C1D34"/>
    <w:rsid w:val="008C30BE"/>
    <w:rsid w:val="008E191D"/>
    <w:rsid w:val="008E3C5A"/>
    <w:rsid w:val="008F75B5"/>
    <w:rsid w:val="008F7F03"/>
    <w:rsid w:val="0090123C"/>
    <w:rsid w:val="00906EAE"/>
    <w:rsid w:val="00907223"/>
    <w:rsid w:val="009116DD"/>
    <w:rsid w:val="00914737"/>
    <w:rsid w:val="009271AB"/>
    <w:rsid w:val="00945AFF"/>
    <w:rsid w:val="00945CF3"/>
    <w:rsid w:val="00952F6A"/>
    <w:rsid w:val="0095462D"/>
    <w:rsid w:val="009603F9"/>
    <w:rsid w:val="00962ACE"/>
    <w:rsid w:val="0096306D"/>
    <w:rsid w:val="009634F9"/>
    <w:rsid w:val="00967AF7"/>
    <w:rsid w:val="00971AC6"/>
    <w:rsid w:val="00974305"/>
    <w:rsid w:val="00975384"/>
    <w:rsid w:val="00977DB0"/>
    <w:rsid w:val="009829E9"/>
    <w:rsid w:val="009901D8"/>
    <w:rsid w:val="0099058C"/>
    <w:rsid w:val="00990A70"/>
    <w:rsid w:val="00990F9B"/>
    <w:rsid w:val="009964DA"/>
    <w:rsid w:val="009A545B"/>
    <w:rsid w:val="009A77DF"/>
    <w:rsid w:val="009B131C"/>
    <w:rsid w:val="009B220B"/>
    <w:rsid w:val="009B7B53"/>
    <w:rsid w:val="009C68F9"/>
    <w:rsid w:val="009C6E1C"/>
    <w:rsid w:val="009D032E"/>
    <w:rsid w:val="009D12FE"/>
    <w:rsid w:val="009D1389"/>
    <w:rsid w:val="009D2EA6"/>
    <w:rsid w:val="009D6D50"/>
    <w:rsid w:val="009D7B48"/>
    <w:rsid w:val="009E11CC"/>
    <w:rsid w:val="009E305F"/>
    <w:rsid w:val="009E33D5"/>
    <w:rsid w:val="009E704B"/>
    <w:rsid w:val="009F318C"/>
    <w:rsid w:val="00A037DC"/>
    <w:rsid w:val="00A0708D"/>
    <w:rsid w:val="00A10439"/>
    <w:rsid w:val="00A11067"/>
    <w:rsid w:val="00A133BA"/>
    <w:rsid w:val="00A15733"/>
    <w:rsid w:val="00A1703D"/>
    <w:rsid w:val="00A22015"/>
    <w:rsid w:val="00A22107"/>
    <w:rsid w:val="00A26015"/>
    <w:rsid w:val="00A27078"/>
    <w:rsid w:val="00A271AB"/>
    <w:rsid w:val="00A2762F"/>
    <w:rsid w:val="00A302A9"/>
    <w:rsid w:val="00A4239B"/>
    <w:rsid w:val="00A43395"/>
    <w:rsid w:val="00A43657"/>
    <w:rsid w:val="00A44771"/>
    <w:rsid w:val="00A4640A"/>
    <w:rsid w:val="00A525CE"/>
    <w:rsid w:val="00A55CCA"/>
    <w:rsid w:val="00A61F41"/>
    <w:rsid w:val="00A652B4"/>
    <w:rsid w:val="00A6553A"/>
    <w:rsid w:val="00A70451"/>
    <w:rsid w:val="00A71258"/>
    <w:rsid w:val="00A75100"/>
    <w:rsid w:val="00A7585F"/>
    <w:rsid w:val="00A77F4B"/>
    <w:rsid w:val="00A81163"/>
    <w:rsid w:val="00A81939"/>
    <w:rsid w:val="00A82063"/>
    <w:rsid w:val="00A9258E"/>
    <w:rsid w:val="00A960CC"/>
    <w:rsid w:val="00AA01D2"/>
    <w:rsid w:val="00AA0FBC"/>
    <w:rsid w:val="00AA3F95"/>
    <w:rsid w:val="00AA41D3"/>
    <w:rsid w:val="00AA5940"/>
    <w:rsid w:val="00AA6966"/>
    <w:rsid w:val="00AA77DB"/>
    <w:rsid w:val="00AB3C48"/>
    <w:rsid w:val="00AC394A"/>
    <w:rsid w:val="00AC586F"/>
    <w:rsid w:val="00AD0B60"/>
    <w:rsid w:val="00AD545B"/>
    <w:rsid w:val="00AD573D"/>
    <w:rsid w:val="00AD7E91"/>
    <w:rsid w:val="00AE0127"/>
    <w:rsid w:val="00AE1D2B"/>
    <w:rsid w:val="00AE51A2"/>
    <w:rsid w:val="00AE61D4"/>
    <w:rsid w:val="00AF1746"/>
    <w:rsid w:val="00AF7EE6"/>
    <w:rsid w:val="00B0243B"/>
    <w:rsid w:val="00B02670"/>
    <w:rsid w:val="00B06266"/>
    <w:rsid w:val="00B116F3"/>
    <w:rsid w:val="00B21C72"/>
    <w:rsid w:val="00B25AAD"/>
    <w:rsid w:val="00B26EF2"/>
    <w:rsid w:val="00B33C5A"/>
    <w:rsid w:val="00B34BC0"/>
    <w:rsid w:val="00B3590C"/>
    <w:rsid w:val="00B37691"/>
    <w:rsid w:val="00B40156"/>
    <w:rsid w:val="00B410C5"/>
    <w:rsid w:val="00B42862"/>
    <w:rsid w:val="00B44140"/>
    <w:rsid w:val="00B444E7"/>
    <w:rsid w:val="00B509A0"/>
    <w:rsid w:val="00B52547"/>
    <w:rsid w:val="00B53B72"/>
    <w:rsid w:val="00B54056"/>
    <w:rsid w:val="00B60B25"/>
    <w:rsid w:val="00B61AF9"/>
    <w:rsid w:val="00B64144"/>
    <w:rsid w:val="00B71CB3"/>
    <w:rsid w:val="00B74CBA"/>
    <w:rsid w:val="00B7737A"/>
    <w:rsid w:val="00B77A96"/>
    <w:rsid w:val="00B80BED"/>
    <w:rsid w:val="00B8225E"/>
    <w:rsid w:val="00B83B9D"/>
    <w:rsid w:val="00B85188"/>
    <w:rsid w:val="00B86678"/>
    <w:rsid w:val="00B86D0D"/>
    <w:rsid w:val="00BA3A39"/>
    <w:rsid w:val="00BA4B1D"/>
    <w:rsid w:val="00BA7FC0"/>
    <w:rsid w:val="00BB0C3E"/>
    <w:rsid w:val="00BB116F"/>
    <w:rsid w:val="00BB179F"/>
    <w:rsid w:val="00BB1E27"/>
    <w:rsid w:val="00BB52D4"/>
    <w:rsid w:val="00BB5451"/>
    <w:rsid w:val="00BB62B8"/>
    <w:rsid w:val="00BC1E19"/>
    <w:rsid w:val="00BC570D"/>
    <w:rsid w:val="00BC79F5"/>
    <w:rsid w:val="00BD4BC7"/>
    <w:rsid w:val="00BE10F0"/>
    <w:rsid w:val="00BE20D1"/>
    <w:rsid w:val="00BE2462"/>
    <w:rsid w:val="00BF187D"/>
    <w:rsid w:val="00BF22EC"/>
    <w:rsid w:val="00BF25FC"/>
    <w:rsid w:val="00BF4190"/>
    <w:rsid w:val="00BF764A"/>
    <w:rsid w:val="00C0164C"/>
    <w:rsid w:val="00C075D7"/>
    <w:rsid w:val="00C139F5"/>
    <w:rsid w:val="00C13AA7"/>
    <w:rsid w:val="00C14176"/>
    <w:rsid w:val="00C173C7"/>
    <w:rsid w:val="00C262BA"/>
    <w:rsid w:val="00C350F7"/>
    <w:rsid w:val="00C35A6E"/>
    <w:rsid w:val="00C40791"/>
    <w:rsid w:val="00C4323E"/>
    <w:rsid w:val="00C43333"/>
    <w:rsid w:val="00C437D8"/>
    <w:rsid w:val="00C460C3"/>
    <w:rsid w:val="00C46287"/>
    <w:rsid w:val="00C4654B"/>
    <w:rsid w:val="00C51AB8"/>
    <w:rsid w:val="00C551DB"/>
    <w:rsid w:val="00C566DD"/>
    <w:rsid w:val="00C575EB"/>
    <w:rsid w:val="00C61471"/>
    <w:rsid w:val="00C66DA4"/>
    <w:rsid w:val="00C67BA6"/>
    <w:rsid w:val="00C67F17"/>
    <w:rsid w:val="00C76576"/>
    <w:rsid w:val="00C809C6"/>
    <w:rsid w:val="00C816FD"/>
    <w:rsid w:val="00C974C3"/>
    <w:rsid w:val="00CB44B0"/>
    <w:rsid w:val="00CB4D49"/>
    <w:rsid w:val="00CC01CA"/>
    <w:rsid w:val="00CC1449"/>
    <w:rsid w:val="00CC1659"/>
    <w:rsid w:val="00CC20F9"/>
    <w:rsid w:val="00CC3308"/>
    <w:rsid w:val="00CC5D81"/>
    <w:rsid w:val="00CC65C4"/>
    <w:rsid w:val="00CC69F0"/>
    <w:rsid w:val="00CD157A"/>
    <w:rsid w:val="00CD504F"/>
    <w:rsid w:val="00CE18B4"/>
    <w:rsid w:val="00CE26F7"/>
    <w:rsid w:val="00CE4738"/>
    <w:rsid w:val="00CF0190"/>
    <w:rsid w:val="00CF31BB"/>
    <w:rsid w:val="00CF3505"/>
    <w:rsid w:val="00CF59F0"/>
    <w:rsid w:val="00D02749"/>
    <w:rsid w:val="00D16059"/>
    <w:rsid w:val="00D20674"/>
    <w:rsid w:val="00D20740"/>
    <w:rsid w:val="00D32D8F"/>
    <w:rsid w:val="00D35D2B"/>
    <w:rsid w:val="00D40F43"/>
    <w:rsid w:val="00D44431"/>
    <w:rsid w:val="00D52675"/>
    <w:rsid w:val="00D5333E"/>
    <w:rsid w:val="00D53A01"/>
    <w:rsid w:val="00D53BB7"/>
    <w:rsid w:val="00D627FE"/>
    <w:rsid w:val="00D628CE"/>
    <w:rsid w:val="00D64226"/>
    <w:rsid w:val="00D645EF"/>
    <w:rsid w:val="00D71965"/>
    <w:rsid w:val="00D7277B"/>
    <w:rsid w:val="00D73B98"/>
    <w:rsid w:val="00D7411C"/>
    <w:rsid w:val="00D750AC"/>
    <w:rsid w:val="00D75316"/>
    <w:rsid w:val="00D76269"/>
    <w:rsid w:val="00D76421"/>
    <w:rsid w:val="00D80C52"/>
    <w:rsid w:val="00D82876"/>
    <w:rsid w:val="00D87D3E"/>
    <w:rsid w:val="00D91353"/>
    <w:rsid w:val="00D925BC"/>
    <w:rsid w:val="00DA450E"/>
    <w:rsid w:val="00DA45C2"/>
    <w:rsid w:val="00DA7A03"/>
    <w:rsid w:val="00DB1C84"/>
    <w:rsid w:val="00DB538E"/>
    <w:rsid w:val="00DC12B9"/>
    <w:rsid w:val="00DC4E3D"/>
    <w:rsid w:val="00DC66DE"/>
    <w:rsid w:val="00DD268C"/>
    <w:rsid w:val="00DD27CF"/>
    <w:rsid w:val="00DD5988"/>
    <w:rsid w:val="00DE1208"/>
    <w:rsid w:val="00DE3B8C"/>
    <w:rsid w:val="00DE6257"/>
    <w:rsid w:val="00DF1DB2"/>
    <w:rsid w:val="00DF24AC"/>
    <w:rsid w:val="00DF4118"/>
    <w:rsid w:val="00DF4B4D"/>
    <w:rsid w:val="00DF6AE3"/>
    <w:rsid w:val="00DF73EE"/>
    <w:rsid w:val="00E00B9C"/>
    <w:rsid w:val="00E159D6"/>
    <w:rsid w:val="00E20774"/>
    <w:rsid w:val="00E25A0C"/>
    <w:rsid w:val="00E268CD"/>
    <w:rsid w:val="00E36F18"/>
    <w:rsid w:val="00E37681"/>
    <w:rsid w:val="00E428FA"/>
    <w:rsid w:val="00E43640"/>
    <w:rsid w:val="00E50A58"/>
    <w:rsid w:val="00E526A5"/>
    <w:rsid w:val="00E55762"/>
    <w:rsid w:val="00E560CB"/>
    <w:rsid w:val="00E62EC7"/>
    <w:rsid w:val="00E65183"/>
    <w:rsid w:val="00E6724E"/>
    <w:rsid w:val="00E70817"/>
    <w:rsid w:val="00E725D4"/>
    <w:rsid w:val="00E74579"/>
    <w:rsid w:val="00E82087"/>
    <w:rsid w:val="00E87319"/>
    <w:rsid w:val="00E949EA"/>
    <w:rsid w:val="00E95098"/>
    <w:rsid w:val="00E952F0"/>
    <w:rsid w:val="00E95634"/>
    <w:rsid w:val="00E95F1D"/>
    <w:rsid w:val="00E9629E"/>
    <w:rsid w:val="00E97546"/>
    <w:rsid w:val="00EA6066"/>
    <w:rsid w:val="00EA6FE9"/>
    <w:rsid w:val="00EA7DCC"/>
    <w:rsid w:val="00EB1201"/>
    <w:rsid w:val="00EB16A2"/>
    <w:rsid w:val="00EB18DD"/>
    <w:rsid w:val="00EB2089"/>
    <w:rsid w:val="00EB2B37"/>
    <w:rsid w:val="00EB5A9C"/>
    <w:rsid w:val="00EB77D3"/>
    <w:rsid w:val="00EC2120"/>
    <w:rsid w:val="00EC2F38"/>
    <w:rsid w:val="00EC3C95"/>
    <w:rsid w:val="00EC6855"/>
    <w:rsid w:val="00ED74A3"/>
    <w:rsid w:val="00EE3E78"/>
    <w:rsid w:val="00EE48F8"/>
    <w:rsid w:val="00EF0BBA"/>
    <w:rsid w:val="00EF2146"/>
    <w:rsid w:val="00EF6618"/>
    <w:rsid w:val="00F0100B"/>
    <w:rsid w:val="00F2062A"/>
    <w:rsid w:val="00F224D9"/>
    <w:rsid w:val="00F22E0C"/>
    <w:rsid w:val="00F333ED"/>
    <w:rsid w:val="00F33AD8"/>
    <w:rsid w:val="00F402CC"/>
    <w:rsid w:val="00F41B99"/>
    <w:rsid w:val="00F52092"/>
    <w:rsid w:val="00F5299F"/>
    <w:rsid w:val="00F549C3"/>
    <w:rsid w:val="00F568F0"/>
    <w:rsid w:val="00F569A7"/>
    <w:rsid w:val="00F57840"/>
    <w:rsid w:val="00F60E22"/>
    <w:rsid w:val="00F61C36"/>
    <w:rsid w:val="00F622AB"/>
    <w:rsid w:val="00F66ADD"/>
    <w:rsid w:val="00F70229"/>
    <w:rsid w:val="00F708F2"/>
    <w:rsid w:val="00F72543"/>
    <w:rsid w:val="00F7663D"/>
    <w:rsid w:val="00F80260"/>
    <w:rsid w:val="00F80E31"/>
    <w:rsid w:val="00F84819"/>
    <w:rsid w:val="00F84BB1"/>
    <w:rsid w:val="00F8524C"/>
    <w:rsid w:val="00F86523"/>
    <w:rsid w:val="00F94EAE"/>
    <w:rsid w:val="00F95FE4"/>
    <w:rsid w:val="00F97321"/>
    <w:rsid w:val="00F979EF"/>
    <w:rsid w:val="00FA21BB"/>
    <w:rsid w:val="00FA3F94"/>
    <w:rsid w:val="00FA64CC"/>
    <w:rsid w:val="00FA6DDD"/>
    <w:rsid w:val="00FB2675"/>
    <w:rsid w:val="00FB3264"/>
    <w:rsid w:val="00FB4093"/>
    <w:rsid w:val="00FB4929"/>
    <w:rsid w:val="00FB59C5"/>
    <w:rsid w:val="00FB7944"/>
    <w:rsid w:val="00FC7072"/>
    <w:rsid w:val="00FC7B45"/>
    <w:rsid w:val="00FD0C9A"/>
    <w:rsid w:val="00FE128E"/>
    <w:rsid w:val="00FE1658"/>
    <w:rsid w:val="00FE6070"/>
    <w:rsid w:val="00FF1860"/>
    <w:rsid w:val="00FF477B"/>
    <w:rsid w:val="00FF5B43"/>
    <w:rsid w:val="0C0158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E5D611E"/>
  <w15:docId w15:val="{3B8186D0-83C3-4F5C-AB8C-970F79AEF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pPr>
      <w:keepNext/>
      <w:keepLines/>
      <w:spacing w:before="40" w:after="0" w:line="360" w:lineRule="auto"/>
      <w:outlineLvl w:val="2"/>
    </w:pPr>
    <w:rPr>
      <w:rFonts w:ascii="Times New Roman" w:eastAsia="SimSu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style>
  <w:style w:type="character" w:styleId="Hyperlink">
    <w:name w:val="Hyperlink"/>
    <w:basedOn w:val="DefaultParagraphFont"/>
    <w:uiPriority w:val="99"/>
    <w:rPr>
      <w:color w:val="0563C1"/>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imes New Roman" w:eastAsia="SimSun" w:hAnsi="Times New Roman" w:cs="SimSun"/>
      <w:b/>
      <w:sz w:val="24"/>
      <w:szCs w:val="24"/>
    </w:rPr>
  </w:style>
  <w:style w:type="paragraph" w:customStyle="1" w:styleId="Default">
    <w:name w:val="Default"/>
    <w:pPr>
      <w:autoSpaceDE w:val="0"/>
      <w:autoSpaceDN w:val="0"/>
      <w:adjustRightInd w:val="0"/>
    </w:pPr>
    <w:rPr>
      <w:rFonts w:ascii="Frutiger 55 Roman" w:hAnsi="Frutiger 55 Roman" w:cs="Frutiger 55 Roman"/>
      <w:color w:val="000000"/>
      <w:sz w:val="24"/>
      <w:szCs w:val="24"/>
    </w:rPr>
  </w:style>
  <w:style w:type="character" w:styleId="PlaceholderText">
    <w:name w:val="Placeholder Text"/>
    <w:basedOn w:val="DefaultParagraphFont"/>
    <w:uiPriority w:val="99"/>
    <w:rPr>
      <w:color w:val="808080"/>
    </w:rPr>
  </w:style>
  <w:style w:type="paragraph" w:customStyle="1" w:styleId="Bibliography1">
    <w:name w:val="Bibliography1"/>
    <w:basedOn w:val="Normal"/>
    <w:next w:val="Normal"/>
    <w:uiPriority w:val="37"/>
    <w:pPr>
      <w:spacing w:line="256" w:lineRule="auto"/>
    </w:p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character" w:customStyle="1" w:styleId="title-text">
    <w:name w:val="title-text"/>
    <w:basedOn w:val="DefaultParagraphFont"/>
  </w:style>
  <w:style w:type="character" w:customStyle="1" w:styleId="cited-contentcbycitationarticle-contributors">
    <w:name w:val="cited-content_cbycitation_article-contributors"/>
    <w:basedOn w:val="DefaultParagraphFont"/>
  </w:style>
  <w:style w:type="character" w:customStyle="1" w:styleId="cited-contentcbycitationarticle-title">
    <w:name w:val="cited-content_cbycitation_article-title"/>
    <w:basedOn w:val="DefaultParagraphFont"/>
  </w:style>
  <w:style w:type="character" w:customStyle="1" w:styleId="nlmyear">
    <w:name w:val="nlm_year"/>
    <w:basedOn w:val="DefaultParagraphFont"/>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val="en-GB" w:eastAsia="en-GB"/>
    </w:rPr>
  </w:style>
  <w:style w:type="table" w:customStyle="1" w:styleId="ListTable6Colorful1">
    <w:name w:val="List Table 6 Colorful1"/>
    <w:basedOn w:val="TableNormal"/>
    <w:uiPriority w:val="51"/>
    <w:rPr>
      <w:rFonts w:asciiTheme="minorHAnsi" w:eastAsiaTheme="minorHAnsi" w:hAnsiTheme="minorHAnsi" w:cstheme="minorBidi"/>
      <w:color w:val="000000" w:themeColor="text1"/>
    </w:rPr>
    <w:tblPr>
      <w:tblBorders>
        <w:top w:val="single" w:sz="4" w:space="0" w:color="auto"/>
        <w:bottom w:val="single" w:sz="4" w:space="0" w:color="auto"/>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1">
    <w:name w:val="Grid Table 21"/>
    <w:basedOn w:val="TableNormal"/>
    <w:uiPriority w:val="47"/>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ontstyle01">
    <w:name w:val="fontstyle01"/>
    <w:basedOn w:val="DefaultParagraphFont"/>
    <w:rPr>
      <w:rFonts w:ascii="Roboto-Regular" w:hAnsi="Roboto-Regular" w:hint="default"/>
      <w:color w:val="404040"/>
      <w:sz w:val="24"/>
      <w:szCs w:val="24"/>
    </w:rPr>
  </w:style>
  <w:style w:type="table" w:customStyle="1" w:styleId="ListTable6Colorful-Accent21">
    <w:name w:val="List Table 6 Colorful - Accent 21"/>
    <w:basedOn w:val="TableNormal"/>
    <w:uiPriority w:val="51"/>
    <w:rPr>
      <w:color w:val="C45911" w:themeColor="accent2" w:themeShade="BF"/>
    </w:rPr>
    <w:tblPr>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2Char">
    <w:name w:val="Heading 2 Char"/>
    <w:basedOn w:val="DefaultParagraphFont"/>
    <w:link w:val="Heading2"/>
    <w:rPr>
      <w:rFonts w:asciiTheme="majorHAnsi" w:eastAsiaTheme="majorEastAsia" w:hAnsiTheme="majorHAnsi" w:cstheme="majorBidi"/>
      <w:color w:val="2E74B5" w:themeColor="accent1" w:themeShade="BF"/>
      <w:sz w:val="26"/>
      <w:szCs w:val="26"/>
    </w:rPr>
  </w:style>
  <w:style w:type="table" w:customStyle="1" w:styleId="ListTable6Colorful11">
    <w:name w:val="List Table 6 Colorful11"/>
    <w:basedOn w:val="TableNormal"/>
    <w:uiPriority w:val="51"/>
    <w:rPr>
      <w:rFonts w:asciiTheme="minorHAnsi" w:eastAsiaTheme="minorHAnsi" w:hAnsiTheme="minorHAnsi" w:cstheme="minorBidi"/>
      <w:color w:val="000000" w:themeColor="text1"/>
    </w:rPr>
    <w:tblPr>
      <w:tblBorders>
        <w:top w:val="single" w:sz="4" w:space="0" w:color="auto"/>
        <w:bottom w:val="single" w:sz="4" w:space="0" w:color="auto"/>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2">
    <w:name w:val="List Table 6 Colorful12"/>
    <w:basedOn w:val="TableNormal"/>
    <w:uiPriority w:val="51"/>
    <w:rPr>
      <w:rFonts w:asciiTheme="minorHAnsi" w:eastAsiaTheme="minorHAnsi" w:hAnsiTheme="minorHAnsi" w:cstheme="minorBidi"/>
      <w:color w:val="000000" w:themeColor="text1"/>
    </w:rPr>
    <w:tblPr>
      <w:tblBorders>
        <w:top w:val="single" w:sz="4" w:space="0" w:color="auto"/>
        <w:bottom w:val="single" w:sz="4" w:space="0" w:color="auto"/>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1">
    <w:name w:val="List Table 211"/>
    <w:basedOn w:val="TableNormal"/>
    <w:uiPriority w:val="47"/>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
    <w:name w:val="List Table 6 Colorful21"/>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3">
    <w:name w:val="List Table 6 Colorful3"/>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customStyle="1" w:styleId="ListTable6Colorful5">
    <w:name w:val="List Table 6 Colorful5"/>
    <w:basedOn w:val="TableNormal"/>
    <w:uiPriority w:val="51"/>
    <w:rPr>
      <w:rFonts w:asciiTheme="minorHAnsi" w:eastAsiaTheme="minorHAnsi" w:hAnsiTheme="minorHAnsi" w:cstheme="minorBidi"/>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51">
    <w:name w:val="List Table 6 Colorful51"/>
    <w:basedOn w:val="TableNormal"/>
    <w:uiPriority w:val="51"/>
    <w:rPr>
      <w:rFonts w:cs="Times New Roman"/>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6">
    <w:name w:val="List Table 6 Colorful6"/>
    <w:basedOn w:val="TableNormal"/>
    <w:uiPriority w:val="51"/>
    <w:rPr>
      <w:rFonts w:cs="Times New Roman"/>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7">
    <w:name w:val="List Table 6 Colorful7"/>
    <w:basedOn w:val="TableNormal"/>
    <w:uiPriority w:val="51"/>
    <w:rPr>
      <w:rFonts w:cs="Times New Roman"/>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8">
    <w:name w:val="List Table 6 Colorful8"/>
    <w:basedOn w:val="TableNormal"/>
    <w:uiPriority w:val="51"/>
    <w:rPr>
      <w:rFonts w:cs="Times New Roman"/>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1">
    <w:name w:val="Unresolved Mention1"/>
    <w:basedOn w:val="DefaultParagraphFont"/>
    <w:uiPriority w:val="99"/>
    <w:semiHidden/>
    <w:unhideWhenUsed/>
    <w:rsid w:val="00B444E7"/>
    <w:rPr>
      <w:color w:val="605E5C"/>
      <w:shd w:val="clear" w:color="auto" w:fill="E1DFDD"/>
    </w:rPr>
  </w:style>
  <w:style w:type="character" w:customStyle="1" w:styleId="anchor-text">
    <w:name w:val="anchor-text"/>
    <w:basedOn w:val="DefaultParagraphFont"/>
    <w:rsid w:val="0017193A"/>
  </w:style>
  <w:style w:type="character" w:styleId="CommentReference">
    <w:name w:val="annotation reference"/>
    <w:basedOn w:val="DefaultParagraphFont"/>
    <w:uiPriority w:val="99"/>
    <w:semiHidden/>
    <w:unhideWhenUsed/>
    <w:rsid w:val="00C139F5"/>
    <w:rPr>
      <w:sz w:val="16"/>
      <w:szCs w:val="16"/>
    </w:rPr>
  </w:style>
  <w:style w:type="paragraph" w:styleId="CommentText">
    <w:name w:val="annotation text"/>
    <w:basedOn w:val="Normal"/>
    <w:link w:val="CommentTextChar"/>
    <w:uiPriority w:val="99"/>
    <w:semiHidden/>
    <w:unhideWhenUsed/>
    <w:rsid w:val="00C139F5"/>
    <w:pPr>
      <w:spacing w:line="240" w:lineRule="auto"/>
    </w:pPr>
    <w:rPr>
      <w:sz w:val="20"/>
      <w:szCs w:val="20"/>
    </w:rPr>
  </w:style>
  <w:style w:type="character" w:customStyle="1" w:styleId="CommentTextChar">
    <w:name w:val="Comment Text Char"/>
    <w:basedOn w:val="DefaultParagraphFont"/>
    <w:link w:val="CommentText"/>
    <w:uiPriority w:val="99"/>
    <w:semiHidden/>
    <w:rsid w:val="00C139F5"/>
  </w:style>
  <w:style w:type="paragraph" w:styleId="CommentSubject">
    <w:name w:val="annotation subject"/>
    <w:basedOn w:val="CommentText"/>
    <w:next w:val="CommentText"/>
    <w:link w:val="CommentSubjectChar"/>
    <w:uiPriority w:val="99"/>
    <w:semiHidden/>
    <w:unhideWhenUsed/>
    <w:rsid w:val="00C139F5"/>
    <w:rPr>
      <w:b/>
      <w:bCs/>
    </w:rPr>
  </w:style>
  <w:style w:type="character" w:customStyle="1" w:styleId="CommentSubjectChar">
    <w:name w:val="Comment Subject Char"/>
    <w:basedOn w:val="CommentTextChar"/>
    <w:link w:val="CommentSubject"/>
    <w:uiPriority w:val="99"/>
    <w:semiHidden/>
    <w:rsid w:val="00C139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D90770-DF61-4956-8136-571A670FF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8</Pages>
  <Words>3754</Words>
  <Characters>21400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Okewale</dc:creator>
  <cp:keywords/>
  <dc:description/>
  <cp:lastModifiedBy>USER</cp:lastModifiedBy>
  <cp:revision>9</cp:revision>
  <cp:lastPrinted>2026-04-13T18:12:00Z</cp:lastPrinted>
  <dcterms:created xsi:type="dcterms:W3CDTF">2026-04-25T20:18:00Z</dcterms:created>
  <dcterms:modified xsi:type="dcterms:W3CDTF">2026-04-27T20:02:00Z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07E8B2E33F504F18A6D10B2E3920CAFF_12</vt:lpwstr>
  </property>
</Properties>
</file>