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636D" w:rsidRDefault="000F636D" w:rsidP="000F636D">
      <w:pPr>
        <w:shd w:val="clear" w:color="auto" w:fill="FFFFFF"/>
        <w:spacing w:after="0" w:line="480" w:lineRule="auto"/>
        <w:jc w:val="both"/>
        <w:rPr>
          <w:rFonts w:ascii="Times New Roman" w:eastAsia="Times New Roman" w:hAnsi="Times New Roman"/>
          <w:color w:val="000000"/>
          <w:sz w:val="24"/>
          <w:szCs w:val="24"/>
        </w:rPr>
      </w:pPr>
      <w:r>
        <w:rPr>
          <w:rFonts w:ascii="Times New Roman" w:hAnsi="Times New Roman"/>
          <w:sz w:val="24"/>
          <w:szCs w:val="24"/>
        </w:rPr>
        <w:t xml:space="preserve">Major critical inquiries into the theatre </w:t>
      </w:r>
      <w:r w:rsidRPr="00B605E1">
        <w:rPr>
          <w:rFonts w:ascii="Times New Roman" w:hAnsi="Times New Roman"/>
          <w:sz w:val="24"/>
          <w:szCs w:val="24"/>
        </w:rPr>
        <w:t xml:space="preserve">of </w:t>
      </w:r>
      <w:proofErr w:type="spellStart"/>
      <w:r>
        <w:rPr>
          <w:rFonts w:ascii="Times New Roman" w:hAnsi="Times New Roman"/>
          <w:sz w:val="24"/>
          <w:szCs w:val="24"/>
        </w:rPr>
        <w:t>Wole</w:t>
      </w:r>
      <w:proofErr w:type="spellEnd"/>
      <w:r>
        <w:rPr>
          <w:rFonts w:ascii="Times New Roman" w:hAnsi="Times New Roman"/>
          <w:sz w:val="24"/>
          <w:szCs w:val="24"/>
        </w:rPr>
        <w:t xml:space="preserve"> Soyinka agree that his plays</w:t>
      </w:r>
      <w:r w:rsidRPr="00B605E1">
        <w:rPr>
          <w:rFonts w:ascii="Times New Roman" w:hAnsi="Times New Roman"/>
          <w:sz w:val="24"/>
          <w:szCs w:val="24"/>
        </w:rPr>
        <w:t xml:space="preserve"> </w:t>
      </w:r>
      <w:r w:rsidRPr="00B605E1">
        <w:rPr>
          <w:rFonts w:ascii="Times New Roman" w:eastAsia="Times New Roman" w:hAnsi="Times New Roman"/>
          <w:color w:val="000000"/>
          <w:sz w:val="24"/>
          <w:szCs w:val="24"/>
        </w:rPr>
        <w:t xml:space="preserve">draw inspiration from </w:t>
      </w:r>
      <w:r>
        <w:rPr>
          <w:rFonts w:ascii="Times New Roman" w:eastAsia="Times New Roman" w:hAnsi="Times New Roman"/>
          <w:color w:val="000000"/>
          <w:sz w:val="24"/>
          <w:szCs w:val="24"/>
        </w:rPr>
        <w:t>two basic levels. One, which is a purely</w:t>
      </w:r>
      <w:r w:rsidRPr="00B605E1">
        <w:rPr>
          <w:rFonts w:ascii="Times New Roman" w:eastAsia="Times New Roman" w:hAnsi="Times New Roman"/>
          <w:color w:val="000000"/>
          <w:sz w:val="24"/>
          <w:szCs w:val="24"/>
        </w:rPr>
        <w:t xml:space="preserve"> mythic consciousness</w:t>
      </w:r>
      <w:r>
        <w:rPr>
          <w:rFonts w:ascii="Times New Roman" w:eastAsia="Times New Roman" w:hAnsi="Times New Roman"/>
          <w:color w:val="000000"/>
          <w:sz w:val="24"/>
          <w:szCs w:val="24"/>
        </w:rPr>
        <w:t xml:space="preserve"> perceptible in his early plays such as </w:t>
      </w:r>
      <w:r w:rsidRPr="00B605E1">
        <w:rPr>
          <w:rFonts w:ascii="Times New Roman" w:eastAsia="Times New Roman" w:hAnsi="Times New Roman"/>
          <w:color w:val="000000"/>
          <w:sz w:val="24"/>
          <w:szCs w:val="24"/>
        </w:rPr>
        <w:t xml:space="preserve">such as </w:t>
      </w:r>
      <w:r w:rsidRPr="00B605E1">
        <w:rPr>
          <w:rFonts w:ascii="Times New Roman" w:eastAsia="Times New Roman" w:hAnsi="Times New Roman"/>
          <w:i/>
          <w:color w:val="000000"/>
          <w:sz w:val="24"/>
          <w:szCs w:val="24"/>
        </w:rPr>
        <w:t>The Road</w:t>
      </w:r>
      <w:r w:rsidRPr="00B605E1">
        <w:rPr>
          <w:rFonts w:ascii="Times New Roman" w:eastAsia="Times New Roman" w:hAnsi="Times New Roman"/>
          <w:color w:val="000000"/>
          <w:sz w:val="24"/>
          <w:szCs w:val="24"/>
        </w:rPr>
        <w:t xml:space="preserve"> (1963) and A </w:t>
      </w:r>
      <w:r w:rsidRPr="00B605E1">
        <w:rPr>
          <w:rFonts w:ascii="Times New Roman" w:eastAsia="Times New Roman" w:hAnsi="Times New Roman"/>
          <w:i/>
          <w:color w:val="000000"/>
          <w:sz w:val="24"/>
          <w:szCs w:val="24"/>
        </w:rPr>
        <w:t>Dance of the Forest</w:t>
      </w:r>
      <w:r w:rsidRPr="00B605E1">
        <w:rPr>
          <w:rFonts w:ascii="Times New Roman" w:eastAsia="Times New Roman" w:hAnsi="Times New Roman"/>
          <w:color w:val="000000"/>
          <w:sz w:val="24"/>
          <w:szCs w:val="24"/>
        </w:rPr>
        <w:t xml:space="preserve"> (1965),</w:t>
      </w:r>
      <w:r>
        <w:rPr>
          <w:rFonts w:ascii="Times New Roman" w:eastAsia="Times New Roman" w:hAnsi="Times New Roman"/>
          <w:color w:val="000000"/>
          <w:sz w:val="24"/>
          <w:szCs w:val="24"/>
        </w:rPr>
        <w:t xml:space="preserve"> presents his </w:t>
      </w:r>
      <w:proofErr w:type="spellStart"/>
      <w:r>
        <w:rPr>
          <w:rFonts w:ascii="Times New Roman" w:eastAsia="Times New Roman" w:hAnsi="Times New Roman"/>
          <w:color w:val="000000"/>
          <w:sz w:val="24"/>
          <w:szCs w:val="24"/>
        </w:rPr>
        <w:t>etherealisation</w:t>
      </w:r>
      <w:proofErr w:type="spellEnd"/>
      <w:r>
        <w:rPr>
          <w:rFonts w:ascii="Times New Roman" w:eastAsia="Times New Roman" w:hAnsi="Times New Roman"/>
          <w:color w:val="000000"/>
          <w:sz w:val="24"/>
          <w:szCs w:val="24"/>
        </w:rPr>
        <w:t xml:space="preserve"> of African spiritualties and their interpolations with mundane existences. The other is a social or political consciousness which deploys those mythic forms from ancestral memory (especially that of </w:t>
      </w:r>
      <w:proofErr w:type="spellStart"/>
      <w:r>
        <w:rPr>
          <w:rFonts w:ascii="Times New Roman" w:eastAsia="Times New Roman" w:hAnsi="Times New Roman"/>
          <w:color w:val="000000"/>
          <w:sz w:val="24"/>
          <w:szCs w:val="24"/>
        </w:rPr>
        <w:t>Ogun</w:t>
      </w:r>
      <w:proofErr w:type="spellEnd"/>
      <w:r>
        <w:rPr>
          <w:rFonts w:ascii="Times New Roman" w:eastAsia="Times New Roman" w:hAnsi="Times New Roman"/>
          <w:color w:val="000000"/>
          <w:sz w:val="24"/>
          <w:szCs w:val="24"/>
        </w:rPr>
        <w:t xml:space="preserve">) as intervening tools on </w:t>
      </w:r>
      <w:r w:rsidRPr="00B605E1">
        <w:rPr>
          <w:rFonts w:ascii="Times New Roman" w:eastAsia="Times New Roman" w:hAnsi="Times New Roman"/>
          <w:color w:val="000000"/>
          <w:sz w:val="24"/>
          <w:szCs w:val="24"/>
        </w:rPr>
        <w:t xml:space="preserve">the conditions of dystopia </w:t>
      </w:r>
      <w:r>
        <w:rPr>
          <w:rFonts w:ascii="Times New Roman" w:eastAsia="Times New Roman" w:hAnsi="Times New Roman"/>
          <w:color w:val="000000"/>
          <w:sz w:val="24"/>
          <w:szCs w:val="24"/>
        </w:rPr>
        <w:t>in the postcolonial landscape mirrored in his plays.</w:t>
      </w:r>
    </w:p>
    <w:p w:rsidR="000F636D" w:rsidRPr="00FC05AA" w:rsidRDefault="000F636D" w:rsidP="000F636D">
      <w:pPr>
        <w:shd w:val="clear" w:color="auto" w:fill="FFFFFF"/>
        <w:spacing w:after="0" w:line="480" w:lineRule="auto"/>
        <w:jc w:val="both"/>
        <w:rPr>
          <w:rFonts w:ascii="Times New Roman" w:eastAsia="Times New Roman" w:hAnsi="Times New Roman"/>
          <w:color w:val="000000"/>
          <w:sz w:val="24"/>
          <w:szCs w:val="24"/>
        </w:rPr>
      </w:pPr>
      <w:r>
        <w:rPr>
          <w:rFonts w:ascii="Times New Roman" w:hAnsi="Times New Roman"/>
          <w:sz w:val="24"/>
          <w:szCs w:val="24"/>
        </w:rPr>
        <w:t xml:space="preserve">By isolating his </w:t>
      </w:r>
      <w:r w:rsidRPr="00C04080">
        <w:rPr>
          <w:rFonts w:ascii="Times New Roman" w:hAnsi="Times New Roman"/>
          <w:i/>
          <w:sz w:val="24"/>
          <w:szCs w:val="24"/>
        </w:rPr>
        <w:t>The</w:t>
      </w:r>
      <w:r>
        <w:rPr>
          <w:rFonts w:ascii="Times New Roman" w:hAnsi="Times New Roman"/>
          <w:sz w:val="24"/>
          <w:szCs w:val="24"/>
        </w:rPr>
        <w:t xml:space="preserve"> </w:t>
      </w:r>
      <w:r w:rsidRPr="00B605E1">
        <w:rPr>
          <w:rFonts w:ascii="Times New Roman" w:hAnsi="Times New Roman"/>
          <w:i/>
          <w:sz w:val="24"/>
          <w:szCs w:val="24"/>
        </w:rPr>
        <w:t xml:space="preserve">Trials of Brother </w:t>
      </w:r>
      <w:proofErr w:type="spellStart"/>
      <w:r w:rsidRPr="00B605E1">
        <w:rPr>
          <w:rFonts w:ascii="Times New Roman" w:hAnsi="Times New Roman"/>
          <w:i/>
          <w:sz w:val="24"/>
          <w:szCs w:val="24"/>
        </w:rPr>
        <w:t>Jero</w:t>
      </w:r>
      <w:proofErr w:type="spellEnd"/>
      <w:r w:rsidRPr="00B605E1">
        <w:rPr>
          <w:rFonts w:ascii="Times New Roman" w:hAnsi="Times New Roman"/>
          <w:sz w:val="24"/>
          <w:szCs w:val="24"/>
        </w:rPr>
        <w:t xml:space="preserve"> (1973), </w:t>
      </w:r>
      <w:r w:rsidRPr="00B605E1">
        <w:rPr>
          <w:rFonts w:ascii="Times New Roman" w:hAnsi="Times New Roman"/>
          <w:i/>
          <w:sz w:val="24"/>
          <w:szCs w:val="24"/>
        </w:rPr>
        <w:t>Death and the King’s Horseman</w:t>
      </w:r>
      <w:r w:rsidRPr="00B605E1">
        <w:rPr>
          <w:rFonts w:ascii="Times New Roman" w:hAnsi="Times New Roman"/>
          <w:sz w:val="24"/>
          <w:szCs w:val="24"/>
        </w:rPr>
        <w:t xml:space="preserve"> (1975) </w:t>
      </w:r>
      <w:r w:rsidRPr="00B605E1">
        <w:rPr>
          <w:rFonts w:ascii="Times New Roman" w:hAnsi="Times New Roman"/>
          <w:i/>
          <w:sz w:val="24"/>
          <w:szCs w:val="24"/>
        </w:rPr>
        <w:t>Requiem for a Futurologist</w:t>
      </w:r>
      <w:r w:rsidRPr="00B605E1">
        <w:rPr>
          <w:rFonts w:ascii="Times New Roman" w:hAnsi="Times New Roman"/>
          <w:sz w:val="24"/>
          <w:szCs w:val="24"/>
        </w:rPr>
        <w:t xml:space="preserve"> (1985) and </w:t>
      </w:r>
      <w:proofErr w:type="spellStart"/>
      <w:r w:rsidRPr="00B605E1">
        <w:rPr>
          <w:rFonts w:ascii="Times New Roman" w:hAnsi="Times New Roman"/>
          <w:i/>
          <w:sz w:val="24"/>
          <w:szCs w:val="24"/>
        </w:rPr>
        <w:t>Alapata</w:t>
      </w:r>
      <w:proofErr w:type="spellEnd"/>
      <w:r w:rsidRPr="00B605E1">
        <w:rPr>
          <w:rFonts w:ascii="Times New Roman" w:hAnsi="Times New Roman"/>
          <w:i/>
          <w:sz w:val="24"/>
          <w:szCs w:val="24"/>
        </w:rPr>
        <w:t xml:space="preserve"> </w:t>
      </w:r>
      <w:proofErr w:type="spellStart"/>
      <w:r w:rsidRPr="00B605E1">
        <w:rPr>
          <w:rFonts w:ascii="Times New Roman" w:hAnsi="Times New Roman"/>
          <w:i/>
          <w:sz w:val="24"/>
          <w:szCs w:val="24"/>
        </w:rPr>
        <w:t>Apata</w:t>
      </w:r>
      <w:proofErr w:type="spellEnd"/>
      <w:r w:rsidRPr="00B605E1">
        <w:rPr>
          <w:rFonts w:ascii="Times New Roman" w:hAnsi="Times New Roman"/>
          <w:sz w:val="24"/>
          <w:szCs w:val="24"/>
        </w:rPr>
        <w:t xml:space="preserve"> (2011)</w:t>
      </w:r>
      <w:r>
        <w:rPr>
          <w:rFonts w:ascii="Times New Roman" w:eastAsia="Times New Roman" w:hAnsi="Times New Roman"/>
          <w:color w:val="000000"/>
          <w:sz w:val="24"/>
          <w:szCs w:val="24"/>
        </w:rPr>
        <w:t xml:space="preserve"> this paper argues that these two thrusts are </w:t>
      </w:r>
      <w:proofErr w:type="spellStart"/>
      <w:r>
        <w:rPr>
          <w:rFonts w:ascii="Times New Roman" w:eastAsia="Times New Roman" w:hAnsi="Times New Roman"/>
          <w:color w:val="000000"/>
          <w:sz w:val="24"/>
          <w:szCs w:val="24"/>
        </w:rPr>
        <w:t>harmonied</w:t>
      </w:r>
      <w:proofErr w:type="spellEnd"/>
      <w:r>
        <w:rPr>
          <w:rFonts w:ascii="Times New Roman" w:eastAsia="Times New Roman" w:hAnsi="Times New Roman"/>
          <w:color w:val="000000"/>
          <w:sz w:val="24"/>
          <w:szCs w:val="24"/>
        </w:rPr>
        <w:t xml:space="preserve"> in Soyinka’s mimesis on spiritualties or religion in his</w:t>
      </w:r>
      <w:r>
        <w:rPr>
          <w:rFonts w:ascii="Times New Roman" w:hAnsi="Times New Roman"/>
          <w:sz w:val="24"/>
          <w:szCs w:val="24"/>
        </w:rPr>
        <w:t xml:space="preserve"> dramaturgy.  The paper locates the ambivalences in Soyinka’s refractions on spiritualties which anchor on the polarities of meditation and mediation and recognizes that while the former medium gives allowance for the playwright to engage on the locus of spiritualties, the latter is inspired by the crises of (between) “modern” spiritualties which has become one of the malaises in Soyinka’s hybridized postcolonial space.  The conclusion of the paper is skeptical about Soyinka’s</w:t>
      </w:r>
      <w:r w:rsidRPr="00B605E1">
        <w:rPr>
          <w:rFonts w:ascii="Times New Roman" w:hAnsi="Times New Roman"/>
          <w:sz w:val="24"/>
          <w:szCs w:val="24"/>
        </w:rPr>
        <w:t xml:space="preserve"> pr</w:t>
      </w:r>
      <w:r>
        <w:rPr>
          <w:rFonts w:ascii="Times New Roman" w:hAnsi="Times New Roman"/>
          <w:sz w:val="24"/>
          <w:szCs w:val="24"/>
        </w:rPr>
        <w:t xml:space="preserve">escription of </w:t>
      </w:r>
      <w:proofErr w:type="spellStart"/>
      <w:r>
        <w:rPr>
          <w:rFonts w:ascii="Times New Roman" w:hAnsi="Times New Roman"/>
          <w:sz w:val="24"/>
          <w:szCs w:val="24"/>
        </w:rPr>
        <w:t>hybridised</w:t>
      </w:r>
      <w:proofErr w:type="spellEnd"/>
      <w:r>
        <w:rPr>
          <w:rFonts w:ascii="Times New Roman" w:hAnsi="Times New Roman"/>
          <w:sz w:val="24"/>
          <w:szCs w:val="24"/>
        </w:rPr>
        <w:t xml:space="preserve"> spiritualties as panacea to the </w:t>
      </w:r>
      <w:r w:rsidRPr="00B605E1">
        <w:rPr>
          <w:rFonts w:ascii="Times New Roman" w:hAnsi="Times New Roman"/>
          <w:sz w:val="24"/>
          <w:szCs w:val="24"/>
        </w:rPr>
        <w:t>crises</w:t>
      </w:r>
      <w:r>
        <w:rPr>
          <w:rFonts w:ascii="Times New Roman" w:hAnsi="Times New Roman"/>
          <w:sz w:val="24"/>
          <w:szCs w:val="24"/>
        </w:rPr>
        <w:t xml:space="preserve"> of religion but sees the need for </w:t>
      </w:r>
      <w:r w:rsidRPr="00B605E1">
        <w:rPr>
          <w:rFonts w:ascii="Times New Roman" w:hAnsi="Times New Roman"/>
          <w:sz w:val="24"/>
          <w:szCs w:val="24"/>
        </w:rPr>
        <w:t>continuous dialogue</w:t>
      </w:r>
      <w:r>
        <w:rPr>
          <w:rFonts w:ascii="Times New Roman" w:hAnsi="Times New Roman"/>
          <w:sz w:val="24"/>
          <w:szCs w:val="24"/>
        </w:rPr>
        <w:t xml:space="preserve"> as precursor </w:t>
      </w:r>
      <w:r w:rsidRPr="00B605E1">
        <w:rPr>
          <w:rFonts w:ascii="Times New Roman" w:hAnsi="Times New Roman"/>
          <w:sz w:val="24"/>
          <w:szCs w:val="24"/>
        </w:rPr>
        <w:t>to mutual understanding and cohabitat</w:t>
      </w:r>
      <w:r>
        <w:rPr>
          <w:rFonts w:ascii="Times New Roman" w:hAnsi="Times New Roman"/>
          <w:sz w:val="24"/>
          <w:szCs w:val="24"/>
        </w:rPr>
        <w:t>ion between adherents of diverse spiritualties in the pluralized global community</w:t>
      </w:r>
      <w:r w:rsidRPr="00B605E1">
        <w:rPr>
          <w:rFonts w:ascii="Times New Roman" w:hAnsi="Times New Roman"/>
          <w:sz w:val="24"/>
          <w:szCs w:val="24"/>
        </w:rPr>
        <w:t>.</w:t>
      </w:r>
    </w:p>
    <w:p w:rsidR="00BA0AB6" w:rsidRDefault="000F636D">
      <w:bookmarkStart w:id="0" w:name="_GoBack"/>
      <w:bookmarkEnd w:id="0"/>
    </w:p>
    <w:sectPr w:rsidR="00BA0AB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36D"/>
    <w:rsid w:val="000F636D"/>
    <w:rsid w:val="001301F5"/>
    <w:rsid w:val="00803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26358A-51AD-40FF-BE07-0ADEC0167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636D"/>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237</Words>
  <Characters>1356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2024-06-25T18:37:00Z</dcterms:created>
  <dcterms:modified xsi:type="dcterms:W3CDTF">2024-06-25T18:37:00Z</dcterms:modified>
</cp:coreProperties>
</file>