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317ABD" w14:textId="38CEB4BC" w:rsidR="00EF10DB" w:rsidRDefault="00693813" w:rsidP="00693813">
      <w:pPr>
        <w:pStyle w:val="PreliminaryHeadings"/>
        <w:spacing w:line="240" w:lineRule="auto"/>
      </w:pPr>
      <w:r>
        <w:t>EXPLORING THE</w:t>
      </w:r>
      <w:r w:rsidR="00EF10DB">
        <w:t xml:space="preserve"> </w:t>
      </w:r>
      <w:r>
        <w:t>IMPLIMENTATION OF ADR</w:t>
      </w:r>
      <w:r w:rsidR="00EF10DB">
        <w:t xml:space="preserve"> in the nigerian construction industry </w:t>
      </w:r>
    </w:p>
    <w:p w14:paraId="6210782F" w14:textId="77777777" w:rsidR="00EF10DB" w:rsidRDefault="00EF10DB" w:rsidP="00EF10DB">
      <w:pPr>
        <w:pStyle w:val="Body"/>
      </w:pPr>
    </w:p>
    <w:p w14:paraId="2CDF87A1" w14:textId="77777777" w:rsidR="00EF10DB" w:rsidRDefault="00EF10DB" w:rsidP="00EF10DB">
      <w:pPr>
        <w:pStyle w:val="Body"/>
      </w:pPr>
    </w:p>
    <w:p w14:paraId="7ADAD641" w14:textId="45ADA044" w:rsidR="002022E9" w:rsidRPr="002022E9" w:rsidRDefault="00260D2D" w:rsidP="002022E9">
      <w:pPr>
        <w:pStyle w:val="Body"/>
        <w:jc w:val="center"/>
        <w:rPr>
          <w:rFonts w:ascii="Times New Roman" w:hAnsi="Times New Roman" w:cs="Times New Roman"/>
          <w:b/>
          <w:sz w:val="24"/>
          <w:szCs w:val="24"/>
          <w:vertAlign w:val="superscript"/>
        </w:rPr>
      </w:pPr>
      <w:r w:rsidRPr="00260D2D">
        <w:rPr>
          <w:rFonts w:ascii="Times New Roman" w:hAnsi="Times New Roman" w:cs="Times New Roman"/>
          <w:b/>
          <w:sz w:val="24"/>
          <w:szCs w:val="24"/>
        </w:rPr>
        <w:t>Barakat A.</w:t>
      </w:r>
      <w:r>
        <w:rPr>
          <w:rFonts w:ascii="Times New Roman" w:hAnsi="Times New Roman" w:cs="Times New Roman"/>
          <w:b/>
          <w:sz w:val="24"/>
          <w:szCs w:val="24"/>
        </w:rPr>
        <w:t xml:space="preserve"> </w:t>
      </w:r>
      <w:r w:rsidRPr="00260D2D">
        <w:rPr>
          <w:rFonts w:ascii="Times New Roman" w:hAnsi="Times New Roman" w:cs="Times New Roman"/>
          <w:b/>
          <w:sz w:val="24"/>
          <w:szCs w:val="24"/>
        </w:rPr>
        <w:t>Raji</w:t>
      </w:r>
      <w:r w:rsidR="002022E9">
        <w:rPr>
          <w:rStyle w:val="FootnoteReference"/>
          <w:rFonts w:ascii="Times New Roman" w:hAnsi="Times New Roman" w:cs="Times New Roman"/>
          <w:b/>
          <w:sz w:val="24"/>
          <w:szCs w:val="24"/>
        </w:rPr>
        <w:footnoteReference w:id="1"/>
      </w:r>
      <w:r w:rsidR="002022E9">
        <w:rPr>
          <w:rFonts w:ascii="Times New Roman" w:hAnsi="Times New Roman" w:cs="Times New Roman"/>
          <w:b/>
          <w:sz w:val="24"/>
          <w:szCs w:val="24"/>
        </w:rPr>
        <w:t xml:space="preserve"> </w:t>
      </w:r>
    </w:p>
    <w:p w14:paraId="01FC564C" w14:textId="77777777" w:rsidR="002022E9" w:rsidRDefault="00260D2D" w:rsidP="002022E9">
      <w:pPr>
        <w:pStyle w:val="Body"/>
        <w:jc w:val="center"/>
        <w:rPr>
          <w:rFonts w:ascii="Times New Roman" w:hAnsi="Times New Roman" w:cs="Times New Roman"/>
          <w:b/>
          <w:sz w:val="24"/>
          <w:szCs w:val="24"/>
        </w:rPr>
      </w:pPr>
      <w:proofErr w:type="gramStart"/>
      <w:r w:rsidRPr="00260D2D">
        <w:rPr>
          <w:rFonts w:ascii="Times New Roman" w:hAnsi="Times New Roman" w:cs="Times New Roman"/>
          <w:b/>
          <w:sz w:val="24"/>
          <w:szCs w:val="24"/>
        </w:rPr>
        <w:t>and</w:t>
      </w:r>
      <w:proofErr w:type="gramEnd"/>
      <w:r w:rsidRPr="00260D2D">
        <w:rPr>
          <w:rFonts w:ascii="Times New Roman" w:hAnsi="Times New Roman" w:cs="Times New Roman"/>
          <w:b/>
          <w:sz w:val="24"/>
          <w:szCs w:val="24"/>
        </w:rPr>
        <w:t xml:space="preserve"> </w:t>
      </w:r>
    </w:p>
    <w:p w14:paraId="1662FC30" w14:textId="48875BE7" w:rsidR="00EF10DB" w:rsidRPr="00260D2D" w:rsidRDefault="00260D2D" w:rsidP="002022E9">
      <w:pPr>
        <w:pStyle w:val="Body"/>
        <w:jc w:val="center"/>
        <w:rPr>
          <w:rFonts w:ascii="Times New Roman" w:hAnsi="Times New Roman" w:cs="Times New Roman"/>
          <w:b/>
          <w:sz w:val="24"/>
          <w:szCs w:val="24"/>
        </w:rPr>
      </w:pPr>
      <w:r w:rsidRPr="00260D2D">
        <w:rPr>
          <w:rFonts w:ascii="Times New Roman" w:hAnsi="Times New Roman" w:cs="Times New Roman"/>
          <w:b/>
          <w:sz w:val="24"/>
          <w:szCs w:val="24"/>
        </w:rPr>
        <w:t xml:space="preserve">Ashgar Ali </w:t>
      </w:r>
      <w:r>
        <w:rPr>
          <w:rFonts w:ascii="Times New Roman" w:hAnsi="Times New Roman" w:cs="Times New Roman"/>
          <w:b/>
          <w:sz w:val="24"/>
          <w:szCs w:val="24"/>
        </w:rPr>
        <w:t>Ib</w:t>
      </w:r>
      <w:r w:rsidRPr="00260D2D">
        <w:rPr>
          <w:rFonts w:ascii="Times New Roman" w:hAnsi="Times New Roman" w:cs="Times New Roman"/>
          <w:b/>
          <w:sz w:val="24"/>
          <w:szCs w:val="24"/>
        </w:rPr>
        <w:t>n Ali Mohamed</w:t>
      </w:r>
    </w:p>
    <w:p w14:paraId="14CED5EC" w14:textId="77777777" w:rsidR="00260D2D" w:rsidRPr="00EF10DB" w:rsidRDefault="00260D2D" w:rsidP="00EF10DB">
      <w:pPr>
        <w:pStyle w:val="Body"/>
      </w:pPr>
    </w:p>
    <w:p w14:paraId="3E091279" w14:textId="77777777" w:rsidR="00B27DCA" w:rsidRDefault="00384BDD" w:rsidP="00260D2D">
      <w:pPr>
        <w:pStyle w:val="PreliminaryHeadings"/>
        <w:spacing w:line="240" w:lineRule="auto"/>
        <w:jc w:val="left"/>
      </w:pPr>
      <w:r>
        <w:t>Abstract</w:t>
      </w:r>
    </w:p>
    <w:p w14:paraId="7D169348" w14:textId="41DE272D" w:rsidR="00B27DCA" w:rsidRDefault="00384BDD" w:rsidP="00922C50">
      <w:pPr>
        <w:pStyle w:val="BodyA"/>
        <w:spacing w:after="0" w:line="240" w:lineRule="auto"/>
        <w:jc w:val="both"/>
        <w:rPr>
          <w:rFonts w:ascii="Times New Roman" w:hAnsi="Times New Roman"/>
          <w:sz w:val="24"/>
          <w:szCs w:val="24"/>
        </w:rPr>
      </w:pPr>
      <w:r>
        <w:rPr>
          <w:rFonts w:ascii="Times New Roman" w:hAnsi="Times New Roman"/>
          <w:sz w:val="24"/>
          <w:szCs w:val="24"/>
        </w:rPr>
        <w:t xml:space="preserve">Dispute resolution mechanism is a concern phenomenon worldwide for minimizing disputes occurring in construction industry. However, disputes can only be minimized and managed through the exploration and establishment of right dispute resolution mechanisms. These mechanisms should be well spelt out in the contract form for parties to explore whenever dispute arises. The nature of dispute dictates the type of mechanism to employ. A dispute may become complex if appropriate mechanism is not employed. Therefore, ADR has a lot to offer in streamlining the dispute resolution mechanisms used for construction dispute resolution in Nigeria. The major part of the study is dedicated to propose reforms in administration of justice in construction disputes in Nigeria. Meanwhile the UK and Malaysia models of ADR for construction dispute resolution are closely studied with a view to proposing practical reforms for </w:t>
      </w:r>
      <w:r w:rsidR="00FF5341">
        <w:rPr>
          <w:rFonts w:ascii="Times New Roman" w:hAnsi="Times New Roman"/>
          <w:sz w:val="24"/>
          <w:szCs w:val="24"/>
        </w:rPr>
        <w:t>dispute resolve in Nigeria</w:t>
      </w:r>
      <w:r>
        <w:rPr>
          <w:rFonts w:ascii="Times New Roman" w:hAnsi="Times New Roman"/>
          <w:sz w:val="24"/>
          <w:szCs w:val="24"/>
        </w:rPr>
        <w:t xml:space="preserve">. In other to achieve this objective, the research has used questionnaire survey. </w:t>
      </w:r>
      <w:r w:rsidR="00BD762B">
        <w:rPr>
          <w:rFonts w:ascii="Times New Roman" w:hAnsi="Times New Roman"/>
          <w:sz w:val="24"/>
          <w:szCs w:val="24"/>
        </w:rPr>
        <w:t>600</w:t>
      </w:r>
      <w:r>
        <w:rPr>
          <w:rFonts w:ascii="Times New Roman" w:hAnsi="Times New Roman"/>
          <w:sz w:val="24"/>
          <w:szCs w:val="24"/>
        </w:rPr>
        <w:t xml:space="preserve"> questionnaires were a</w:t>
      </w:r>
      <w:r w:rsidR="00FF5341">
        <w:rPr>
          <w:rFonts w:ascii="Times New Roman" w:hAnsi="Times New Roman"/>
          <w:sz w:val="24"/>
          <w:szCs w:val="24"/>
        </w:rPr>
        <w:t>dministered to</w:t>
      </w:r>
      <w:r>
        <w:rPr>
          <w:rFonts w:ascii="Times New Roman" w:hAnsi="Times New Roman"/>
          <w:sz w:val="24"/>
          <w:szCs w:val="24"/>
        </w:rPr>
        <w:t xml:space="preserve"> construction practitioners in Nigeria, out of which </w:t>
      </w:r>
      <w:r w:rsidR="00BD762B">
        <w:rPr>
          <w:rFonts w:ascii="Times New Roman" w:hAnsi="Times New Roman"/>
          <w:sz w:val="24"/>
          <w:szCs w:val="24"/>
        </w:rPr>
        <w:t>307</w:t>
      </w:r>
      <w:r>
        <w:rPr>
          <w:rFonts w:ascii="Times New Roman" w:hAnsi="Times New Roman"/>
          <w:sz w:val="24"/>
          <w:szCs w:val="24"/>
        </w:rPr>
        <w:t xml:space="preserve"> useable responses were analyzed for this research. This represent 51% effective response rate. The findings revealed that</w:t>
      </w:r>
      <w:r w:rsidR="004E7831">
        <w:rPr>
          <w:rFonts w:ascii="Times New Roman" w:hAnsi="Times New Roman"/>
          <w:sz w:val="24"/>
          <w:szCs w:val="24"/>
        </w:rPr>
        <w:t>, the</w:t>
      </w:r>
      <w:r>
        <w:rPr>
          <w:rFonts w:ascii="Times New Roman" w:hAnsi="Times New Roman"/>
          <w:sz w:val="24"/>
          <w:szCs w:val="24"/>
        </w:rPr>
        <w:t xml:space="preserve"> use of ADR mechanism in construction cases can facilitate effective</w:t>
      </w:r>
      <w:r w:rsidR="00922C50">
        <w:rPr>
          <w:rFonts w:ascii="Times New Roman" w:hAnsi="Times New Roman"/>
          <w:sz w:val="24"/>
          <w:szCs w:val="24"/>
        </w:rPr>
        <w:t xml:space="preserve"> dispute resolution in Nigeria. The implication of the findings presented is this study were discussed in details. </w:t>
      </w:r>
    </w:p>
    <w:p w14:paraId="1C7CC0FB" w14:textId="77777777" w:rsidR="00E10BBA" w:rsidRDefault="00E10BBA" w:rsidP="00BD762B">
      <w:pPr>
        <w:pStyle w:val="BodyA"/>
        <w:spacing w:after="0" w:line="240" w:lineRule="auto"/>
        <w:jc w:val="both"/>
        <w:rPr>
          <w:rFonts w:ascii="Times New Roman" w:hAnsi="Times New Roman"/>
          <w:sz w:val="24"/>
          <w:szCs w:val="24"/>
        </w:rPr>
      </w:pPr>
    </w:p>
    <w:p w14:paraId="79042B7B" w14:textId="77777777" w:rsidR="00E10BBA" w:rsidRDefault="00E10BBA" w:rsidP="00BD762B">
      <w:pPr>
        <w:pStyle w:val="BodyA"/>
        <w:spacing w:after="0" w:line="240" w:lineRule="auto"/>
        <w:jc w:val="both"/>
        <w:rPr>
          <w:rFonts w:ascii="Times New Roman" w:hAnsi="Times New Roman"/>
          <w:sz w:val="24"/>
          <w:szCs w:val="24"/>
        </w:rPr>
      </w:pPr>
    </w:p>
    <w:p w14:paraId="300506C5" w14:textId="4BE17B6C" w:rsidR="00E10BBA" w:rsidRPr="00E10BBA" w:rsidRDefault="00E10BBA" w:rsidP="00BD762B">
      <w:pPr>
        <w:pStyle w:val="BodyA"/>
        <w:spacing w:after="0" w:line="240" w:lineRule="auto"/>
        <w:jc w:val="both"/>
        <w:rPr>
          <w:rFonts w:ascii="Times New Roman" w:hAnsi="Times New Roman"/>
          <w:b/>
          <w:bCs/>
          <w:sz w:val="24"/>
          <w:szCs w:val="24"/>
        </w:rPr>
      </w:pPr>
      <w:r w:rsidRPr="00E10BBA">
        <w:rPr>
          <w:rFonts w:ascii="Times New Roman" w:hAnsi="Times New Roman"/>
          <w:b/>
          <w:bCs/>
          <w:sz w:val="24"/>
          <w:szCs w:val="24"/>
        </w:rPr>
        <w:t xml:space="preserve">Introduction </w:t>
      </w:r>
    </w:p>
    <w:p w14:paraId="07AE3EF7" w14:textId="35362972" w:rsidR="00CC392C" w:rsidRDefault="00E10BBA" w:rsidP="004E7831">
      <w:pPr>
        <w:pStyle w:val="BodyA"/>
        <w:spacing w:after="0" w:line="240" w:lineRule="auto"/>
        <w:jc w:val="both"/>
        <w:rPr>
          <w:rStyle w:val="None"/>
          <w:rFonts w:ascii="Times New Roman" w:eastAsia="Times New Roman" w:hAnsi="Times New Roman" w:cs="Times New Roman"/>
          <w:sz w:val="24"/>
          <w:szCs w:val="24"/>
        </w:rPr>
      </w:pPr>
      <w:r>
        <w:rPr>
          <w:rStyle w:val="None"/>
          <w:rFonts w:ascii="Times New Roman" w:hAnsi="Times New Roman"/>
          <w:sz w:val="24"/>
          <w:szCs w:val="24"/>
        </w:rPr>
        <w:t xml:space="preserve">The evolution of </w:t>
      </w:r>
      <w:r w:rsidR="00DE2F61">
        <w:rPr>
          <w:rStyle w:val="None"/>
          <w:rFonts w:ascii="Times New Roman" w:hAnsi="Times New Roman"/>
          <w:sz w:val="24"/>
          <w:szCs w:val="24"/>
        </w:rPr>
        <w:t>Alternative Dispute Resolution (</w:t>
      </w:r>
      <w:r>
        <w:rPr>
          <w:rStyle w:val="None"/>
          <w:rFonts w:ascii="Times New Roman" w:hAnsi="Times New Roman"/>
          <w:sz w:val="24"/>
          <w:szCs w:val="24"/>
        </w:rPr>
        <w:t>ADR</w:t>
      </w:r>
      <w:r w:rsidR="00DE2F61">
        <w:rPr>
          <w:rStyle w:val="None"/>
          <w:rFonts w:ascii="Times New Roman" w:hAnsi="Times New Roman"/>
          <w:sz w:val="24"/>
          <w:szCs w:val="24"/>
        </w:rPr>
        <w:t>)</w:t>
      </w:r>
      <w:r>
        <w:rPr>
          <w:rStyle w:val="None"/>
          <w:rFonts w:ascii="Times New Roman" w:hAnsi="Times New Roman"/>
          <w:sz w:val="24"/>
          <w:szCs w:val="24"/>
        </w:rPr>
        <w:t xml:space="preserve"> in Nigeria can be traced to Arbitration and Conciliation Act 1990 (now Arbitration and Conciliation Act Cap A18 Laws of Federation of Nigeria (LFN), 2004, as amended) which has been enshrined in S.19 of the </w:t>
      </w:r>
      <w:r w:rsidRPr="00B03F47">
        <w:rPr>
          <w:rFonts w:ascii="Times New Roman" w:hAnsi="Times New Roman" w:cs="Times New Roman"/>
          <w:sz w:val="24"/>
          <w:szCs w:val="24"/>
        </w:rPr>
        <w:t xml:space="preserve">Nigerian </w:t>
      </w:r>
      <w:r>
        <w:rPr>
          <w:rStyle w:val="None"/>
          <w:rFonts w:ascii="Times New Roman" w:hAnsi="Times New Roman"/>
          <w:sz w:val="24"/>
          <w:szCs w:val="24"/>
        </w:rPr>
        <w:t xml:space="preserve">Constitution 1999.  Due to the cost and time spent on litigation prior to 1990, Arbitration and Conciliation Act was incorporated into vast majority of construction contracts. There was an industry of advisors and lawyers serving the construction industry on resolving disputes in Nigeria. At one time, it was considered that the construction industry’s cost were increased because of the cost of resolving disputes emanating from construction contracts. Therefore in 1992, alternative form of disputes resolution were formulated and Arbitration and Conciliation were overhauled to become a more effective dispute resolution procedure enabling the Arbitrator to manage the timetable and cost of Arbitration more effectively. This was abused over time and cases of construction disputes are reluctantly taken back to court for final decision. The only ADR processes in Nigeria as of today are arbitration and conciliation and this has influenced the direction of literatures in Nigeria which are basically on arbitration. This means that there has not been any literature on adjudication and other alternative dispute resolution.  </w:t>
      </w:r>
    </w:p>
    <w:p w14:paraId="3B2C18ED" w14:textId="77777777" w:rsidR="00E10BBA" w:rsidRDefault="00E10BBA" w:rsidP="00E10BBA">
      <w:pPr>
        <w:pStyle w:val="BodyA"/>
        <w:spacing w:after="0" w:line="240" w:lineRule="auto"/>
        <w:ind w:firstLine="720"/>
        <w:jc w:val="both"/>
        <w:rPr>
          <w:rStyle w:val="None"/>
          <w:rFonts w:ascii="Times New Roman" w:eastAsia="Times New Roman" w:hAnsi="Times New Roman" w:cs="Times New Roman"/>
          <w:sz w:val="24"/>
          <w:szCs w:val="24"/>
        </w:rPr>
      </w:pPr>
      <w:proofErr w:type="spellStart"/>
      <w:r>
        <w:rPr>
          <w:rStyle w:val="None"/>
          <w:rFonts w:ascii="Times New Roman" w:hAnsi="Times New Roman"/>
          <w:sz w:val="24"/>
          <w:szCs w:val="24"/>
        </w:rPr>
        <w:lastRenderedPageBreak/>
        <w:t>Adekoya&amp;Olowu</w:t>
      </w:r>
      <w:proofErr w:type="spellEnd"/>
      <w:r>
        <w:rPr>
          <w:rStyle w:val="None"/>
          <w:rFonts w:ascii="Times New Roman" w:hAnsi="Times New Roman"/>
          <w:sz w:val="24"/>
          <w:szCs w:val="24"/>
        </w:rPr>
        <w:t xml:space="preserve">  discussed some issues on  how the Arbitration and Conciliation Act of the 2004 was modeled on the UNICTRAL Model Law and called for the amendment of the civil procedure rules to provide for front-loaded case filing system as well as options for trying ADR mechanism before the commencement of the trial proper but failed to suggest the best international practice for resolving disputes in construction industry, however answered question on  the effect of the pre-trial conference and how it provides an opportunity to formulate, settle and narrow the issues of dispute.</w:t>
      </w:r>
    </w:p>
    <w:p w14:paraId="25C50B39" w14:textId="6820D3BA" w:rsidR="00E10BBA" w:rsidRDefault="00E10BBA" w:rsidP="00DE2F61">
      <w:pPr>
        <w:pStyle w:val="BodyA"/>
        <w:spacing w:after="0" w:line="240" w:lineRule="auto"/>
        <w:ind w:firstLine="720"/>
        <w:jc w:val="both"/>
        <w:rPr>
          <w:rStyle w:val="None"/>
          <w:rFonts w:ascii="Times New Roman" w:eastAsia="Times New Roman" w:hAnsi="Times New Roman" w:cs="Times New Roman"/>
          <w:sz w:val="24"/>
          <w:szCs w:val="24"/>
        </w:rPr>
      </w:pPr>
      <w:r>
        <w:rPr>
          <w:rStyle w:val="None"/>
          <w:rFonts w:ascii="Times New Roman" w:hAnsi="Times New Roman"/>
          <w:sz w:val="24"/>
          <w:szCs w:val="24"/>
        </w:rPr>
        <w:t xml:space="preserve"> In answering question relating to dispute resolution in their excerpt, a mention was not made of issues relating to problems facing the construction industry in the use of arbitration to resolve construction disputes.</w:t>
      </w:r>
      <w:r>
        <w:rPr>
          <w:rStyle w:val="None"/>
          <w:rFonts w:ascii="Times New Roman" w:eastAsia="Times New Roman" w:hAnsi="Times New Roman" w:cs="Times New Roman"/>
          <w:sz w:val="24"/>
          <w:szCs w:val="24"/>
          <w:vertAlign w:val="superscript"/>
        </w:rPr>
        <w:footnoteReference w:id="2"/>
      </w:r>
      <w:r>
        <w:rPr>
          <w:rStyle w:val="None"/>
          <w:rFonts w:ascii="Times New Roman" w:hAnsi="Times New Roman"/>
          <w:sz w:val="24"/>
          <w:szCs w:val="24"/>
        </w:rPr>
        <w:t xml:space="preserve"> The Lagos State Multi-Door Courthouse was established to attend to cases which needed quick response and referring such cases to the appropriate ADR door or mechanism best suited to its resolu</w:t>
      </w:r>
      <w:r w:rsidR="00DE2F61">
        <w:rPr>
          <w:rStyle w:val="None"/>
          <w:rFonts w:ascii="Times New Roman" w:hAnsi="Times New Roman"/>
          <w:sz w:val="24"/>
          <w:szCs w:val="24"/>
        </w:rPr>
        <w:t>tion, This is a laudable progra</w:t>
      </w:r>
      <w:r>
        <w:rPr>
          <w:rStyle w:val="None"/>
          <w:rFonts w:ascii="Times New Roman" w:hAnsi="Times New Roman"/>
          <w:sz w:val="24"/>
          <w:szCs w:val="24"/>
        </w:rPr>
        <w:t>m, but because the civil procedure rules has not made provisions for adjudication and for resolving construction dispute, the participants in the construction industry are still not been given good judgment in this regard.</w:t>
      </w:r>
    </w:p>
    <w:p w14:paraId="134C5C5B" w14:textId="77777777" w:rsidR="00E10BBA" w:rsidRDefault="00E10BBA" w:rsidP="00E10BBA">
      <w:pPr>
        <w:pStyle w:val="BodyA"/>
        <w:spacing w:after="0" w:line="240" w:lineRule="auto"/>
        <w:ind w:firstLine="720"/>
        <w:jc w:val="both"/>
        <w:rPr>
          <w:rStyle w:val="None"/>
          <w:rFonts w:ascii="Times New Roman" w:hAnsi="Times New Roman"/>
          <w:sz w:val="24"/>
          <w:szCs w:val="24"/>
        </w:rPr>
      </w:pPr>
      <w:r>
        <w:rPr>
          <w:rStyle w:val="None"/>
          <w:rFonts w:ascii="Times New Roman" w:hAnsi="Times New Roman"/>
          <w:sz w:val="24"/>
          <w:szCs w:val="24"/>
        </w:rPr>
        <w:t>Oyeniyi considered the need to enhance commercial activities in Nigeria and the indisputable rights of international parties to resolve disputes through arbitration. He emphasized on the desire for Nigeria to sign and ratify the New York Convention which he said is very important. He encouraged use the ADR mechanism for resolving commercial disputes in the country. He based his work on the general perception about ADR and no mention was made on adjudication.</w:t>
      </w:r>
      <w:r>
        <w:rPr>
          <w:rStyle w:val="None"/>
          <w:rFonts w:ascii="Times New Roman" w:eastAsia="Times New Roman" w:hAnsi="Times New Roman" w:cs="Times New Roman"/>
          <w:sz w:val="24"/>
          <w:szCs w:val="24"/>
          <w:vertAlign w:val="superscript"/>
        </w:rPr>
        <w:footnoteReference w:id="3"/>
      </w:r>
    </w:p>
    <w:p w14:paraId="737FCFF2" w14:textId="77777777" w:rsidR="00E10BBA" w:rsidRDefault="00E10BBA" w:rsidP="00E10BBA">
      <w:pPr>
        <w:pStyle w:val="BodyA"/>
        <w:spacing w:after="0" w:line="240" w:lineRule="auto"/>
        <w:ind w:firstLine="720"/>
        <w:jc w:val="both"/>
        <w:rPr>
          <w:rStyle w:val="None"/>
          <w:rFonts w:ascii="Times New Roman" w:hAnsi="Times New Roman"/>
          <w:color w:val="auto"/>
          <w:sz w:val="24"/>
          <w:szCs w:val="24"/>
        </w:rPr>
      </w:pPr>
      <w:r>
        <w:rPr>
          <w:rFonts w:ascii="Times New Roman" w:hAnsi="Times New Roman" w:cs="Times New Roman"/>
          <w:color w:val="auto"/>
          <w:sz w:val="24"/>
          <w:szCs w:val="24"/>
        </w:rPr>
        <w:t>Umunadi, E K gave a general overview of mediation and negotiation and how these methods have worked effectively in resolving disputes between the oil company and the youths which resorted into kidnapping some of the experts in the company, in Delta state, Nigeria</w:t>
      </w:r>
      <w:r>
        <w:rPr>
          <w:rFonts w:ascii="Times New Roman" w:hAnsi="Times New Roman" w:cs="Arial"/>
          <w:color w:val="auto"/>
          <w:sz w:val="20"/>
          <w:szCs w:val="20"/>
        </w:rPr>
        <w:t>.</w:t>
      </w:r>
      <w:r>
        <w:rPr>
          <w:rStyle w:val="FootnoteReference"/>
          <w:rFonts w:ascii="Times New Roman" w:hAnsi="Times New Roman" w:cs="Arial"/>
          <w:color w:val="auto"/>
          <w:sz w:val="20"/>
          <w:szCs w:val="20"/>
        </w:rPr>
        <w:footnoteReference w:id="4"/>
      </w:r>
    </w:p>
    <w:p w14:paraId="09595C4C" w14:textId="77777777" w:rsidR="00E10BBA" w:rsidRDefault="00E10BBA" w:rsidP="00E10BBA">
      <w:pPr>
        <w:pStyle w:val="BodyA"/>
        <w:spacing w:after="0" w:line="240" w:lineRule="auto"/>
        <w:ind w:firstLine="720"/>
        <w:jc w:val="both"/>
        <w:rPr>
          <w:rStyle w:val="None"/>
          <w:rFonts w:ascii="Times New Roman" w:eastAsia="Times New Roman" w:hAnsi="Times New Roman" w:cs="Times New Roman"/>
          <w:sz w:val="24"/>
          <w:szCs w:val="24"/>
        </w:rPr>
      </w:pPr>
      <w:r>
        <w:rPr>
          <w:rStyle w:val="None"/>
          <w:rFonts w:ascii="Times New Roman" w:hAnsi="Times New Roman"/>
          <w:sz w:val="24"/>
          <w:szCs w:val="24"/>
        </w:rPr>
        <w:t>Azikiwe et al made a general statement on arbitration being an efficient mean of resolving commercial disputes. They commended on the effort made by the Lagos state in enacting a law which facilitated the establishment of the Lagos Court of Arbitration. He discussed briefly on the existing legal framework prior to this enactment with new innovations brought about by this Act, the volume of his work bordered on commercial arbitration in which adjudication process for resolving construction dispute was not mentioned.</w:t>
      </w:r>
      <w:r>
        <w:rPr>
          <w:rStyle w:val="None"/>
          <w:rFonts w:ascii="Times New Roman" w:eastAsia="Times New Roman" w:hAnsi="Times New Roman" w:cs="Times New Roman"/>
          <w:sz w:val="24"/>
          <w:szCs w:val="24"/>
          <w:vertAlign w:val="superscript"/>
        </w:rPr>
        <w:footnoteReference w:id="5"/>
      </w:r>
    </w:p>
    <w:p w14:paraId="443679F2" w14:textId="77777777" w:rsidR="00E10BBA" w:rsidRDefault="00E10BBA" w:rsidP="00E10BBA">
      <w:pPr>
        <w:pStyle w:val="BodyA"/>
        <w:spacing w:after="0" w:line="240" w:lineRule="auto"/>
        <w:ind w:firstLine="720"/>
        <w:jc w:val="both"/>
        <w:rPr>
          <w:rStyle w:val="None"/>
          <w:rFonts w:ascii="Times New Roman" w:eastAsia="Times New Roman" w:hAnsi="Times New Roman" w:cs="Times New Roman"/>
          <w:sz w:val="24"/>
          <w:szCs w:val="24"/>
        </w:rPr>
      </w:pPr>
      <w:r>
        <w:rPr>
          <w:rStyle w:val="None"/>
          <w:rFonts w:ascii="Times New Roman" w:hAnsi="Times New Roman"/>
          <w:sz w:val="24"/>
          <w:szCs w:val="24"/>
        </w:rPr>
        <w:t>Kasimu Abubakar and Isah examined the causes of disputes in construction industry and what they identified as the major cause was delay.</w:t>
      </w:r>
      <w:r>
        <w:rPr>
          <w:rStyle w:val="None"/>
          <w:rFonts w:ascii="Times New Roman" w:eastAsia="Times New Roman" w:hAnsi="Times New Roman" w:cs="Times New Roman"/>
          <w:sz w:val="24"/>
          <w:szCs w:val="24"/>
          <w:vertAlign w:val="superscript"/>
        </w:rPr>
        <w:footnoteReference w:id="6"/>
      </w:r>
      <w:r>
        <w:rPr>
          <w:rStyle w:val="None"/>
          <w:rFonts w:ascii="Times New Roman" w:hAnsi="Times New Roman"/>
          <w:sz w:val="24"/>
          <w:szCs w:val="24"/>
        </w:rPr>
        <w:t xml:space="preserve"> They used survey methods to determine other causes. Their findings showed that improper planning, lack of </w:t>
      </w:r>
      <w:r w:rsidRPr="00B03F47">
        <w:rPr>
          <w:rFonts w:ascii="Times New Roman" w:hAnsi="Times New Roman" w:cs="Times New Roman"/>
          <w:sz w:val="24"/>
          <w:szCs w:val="24"/>
        </w:rPr>
        <w:t xml:space="preserve">communication, design errors and shortage of supply also contributed to delays in construction projects but the work concluded that delays caused more harm hence should be avoided in the construction industry.  They gave some recommendations amongst which proper monitoring of project be made by experienced and </w:t>
      </w:r>
      <w:r w:rsidRPr="00B03F47">
        <w:rPr>
          <w:rFonts w:ascii="Times New Roman" w:hAnsi="Times New Roman" w:cs="Times New Roman"/>
          <w:sz w:val="24"/>
          <w:szCs w:val="24"/>
        </w:rPr>
        <w:lastRenderedPageBreak/>
        <w:t>qualified professionals in the field. The work did not reflect on payment as the major problem facing the construction</w:t>
      </w:r>
      <w:r>
        <w:rPr>
          <w:rStyle w:val="None"/>
          <w:rFonts w:ascii="Times New Roman" w:hAnsi="Times New Roman"/>
          <w:sz w:val="24"/>
          <w:szCs w:val="24"/>
        </w:rPr>
        <w:t xml:space="preserve"> industry so they could not recommend adjudication.</w:t>
      </w:r>
    </w:p>
    <w:p w14:paraId="78F10470" w14:textId="77777777" w:rsidR="00E10BBA" w:rsidRDefault="00E10BBA" w:rsidP="00E10BBA">
      <w:pPr>
        <w:pStyle w:val="BodyA"/>
        <w:spacing w:after="0" w:line="240" w:lineRule="auto"/>
        <w:jc w:val="both"/>
        <w:rPr>
          <w:rStyle w:val="None"/>
          <w:rFonts w:ascii="Times New Roman" w:hAnsi="Times New Roman"/>
          <w:sz w:val="24"/>
          <w:szCs w:val="24"/>
        </w:rPr>
      </w:pPr>
      <w:r>
        <w:rPr>
          <w:rStyle w:val="None"/>
          <w:rFonts w:ascii="Times New Roman" w:hAnsi="Times New Roman"/>
          <w:sz w:val="24"/>
          <w:szCs w:val="24"/>
        </w:rPr>
        <w:tab/>
        <w:t>Ogunsanmi asserted that some of the literature on construction management supported the view that procurement has impact on project performance</w:t>
      </w:r>
      <w:r>
        <w:rPr>
          <w:rStyle w:val="None"/>
          <w:rFonts w:ascii="Times New Roman" w:eastAsia="Times New Roman" w:hAnsi="Times New Roman" w:cs="Times New Roman"/>
          <w:sz w:val="24"/>
          <w:szCs w:val="24"/>
          <w:vertAlign w:val="superscript"/>
        </w:rPr>
        <w:footnoteReference w:id="7"/>
      </w:r>
      <w:r>
        <w:rPr>
          <w:rStyle w:val="None"/>
          <w:rFonts w:ascii="Times New Roman" w:hAnsi="Times New Roman"/>
          <w:sz w:val="24"/>
          <w:szCs w:val="24"/>
        </w:rPr>
        <w:t xml:space="preserve">. He identified cost, time, quality related factors tendering methods and variation orders as the major factors strongly affecting projects performance in construction industry. His recommendations are that clients, stakeholders, practitioners and consultants should discourage excessive variation orders during construction. The researcher had a laudable suggestion such that the policy makers should look into the possibility of appropriate procurement and tendering methods but did not take a critical look at the existing mechanism used in resolving disputes in construction industry as an instrument that needed to be reviewed or replaced.  In view of the above reviewed literature, it is evident that there has </w:t>
      </w:r>
      <w:r w:rsidRPr="00B03F47">
        <w:rPr>
          <w:rFonts w:ascii="Times New Roman" w:hAnsi="Times New Roman" w:cs="Times New Roman"/>
          <w:sz w:val="24"/>
          <w:szCs w:val="24"/>
        </w:rPr>
        <w:t>not been any work on adjudication in Nigeria as a panacea to payment problems in the Nigerian construction</w:t>
      </w:r>
      <w:r>
        <w:rPr>
          <w:rStyle w:val="None"/>
          <w:rFonts w:ascii="Times New Roman" w:hAnsi="Times New Roman"/>
          <w:sz w:val="24"/>
          <w:szCs w:val="24"/>
        </w:rPr>
        <w:t xml:space="preserve"> Industry which is one of the objectives set out to achieve in this study.  </w:t>
      </w:r>
    </w:p>
    <w:p w14:paraId="1E5A5AE1" w14:textId="77777777" w:rsidR="00E10BBA" w:rsidRDefault="00E10BBA" w:rsidP="00E10BBA">
      <w:pPr>
        <w:pStyle w:val="BodyA"/>
        <w:spacing w:after="0" w:line="240" w:lineRule="auto"/>
        <w:jc w:val="both"/>
        <w:rPr>
          <w:rStyle w:val="None"/>
          <w:rFonts w:ascii="Times New Roman" w:hAnsi="Times New Roman"/>
          <w:sz w:val="24"/>
          <w:szCs w:val="24"/>
        </w:rPr>
      </w:pPr>
    </w:p>
    <w:p w14:paraId="5144407C" w14:textId="77777777" w:rsidR="00E10BBA" w:rsidRDefault="00E10BBA" w:rsidP="00E10BBA">
      <w:pPr>
        <w:pStyle w:val="BodyA"/>
        <w:spacing w:after="0" w:line="240" w:lineRule="auto"/>
        <w:jc w:val="both"/>
        <w:rPr>
          <w:rStyle w:val="None"/>
          <w:rFonts w:ascii="Times New Roman" w:eastAsia="Times New Roman" w:hAnsi="Times New Roman" w:cs="Times New Roman"/>
          <w:sz w:val="24"/>
          <w:szCs w:val="24"/>
        </w:rPr>
      </w:pPr>
    </w:p>
    <w:p w14:paraId="426AC25E" w14:textId="41C42F60" w:rsidR="00E10BBA" w:rsidRDefault="00E10BBA" w:rsidP="00E10BBA">
      <w:pPr>
        <w:pStyle w:val="Heading3"/>
        <w:rPr>
          <w:rStyle w:val="None"/>
          <w:b/>
          <w:bCs/>
        </w:rPr>
      </w:pPr>
      <w:bookmarkStart w:id="1" w:name="_Toc441359655"/>
      <w:r>
        <w:rPr>
          <w:rStyle w:val="None"/>
          <w:b/>
          <w:bCs/>
        </w:rPr>
        <w:t>ADR in Construction Disputes in Malaysia and UK</w:t>
      </w:r>
      <w:bookmarkEnd w:id="1"/>
    </w:p>
    <w:p w14:paraId="14AF6A84" w14:textId="77777777" w:rsidR="00E10BBA" w:rsidRDefault="00E10BBA" w:rsidP="00E10BBA">
      <w:pPr>
        <w:pStyle w:val="BodyA"/>
        <w:spacing w:after="0" w:line="240" w:lineRule="auto"/>
        <w:jc w:val="both"/>
        <w:rPr>
          <w:rStyle w:val="None"/>
          <w:rFonts w:ascii="Times New Roman" w:hAnsi="Times New Roman"/>
          <w:sz w:val="24"/>
          <w:szCs w:val="24"/>
        </w:rPr>
      </w:pPr>
      <w:r>
        <w:rPr>
          <w:rStyle w:val="None"/>
          <w:rFonts w:ascii="Times New Roman" w:hAnsi="Times New Roman"/>
          <w:sz w:val="24"/>
          <w:szCs w:val="24"/>
        </w:rPr>
        <w:t xml:space="preserve">The literature works on the use of ADR in construction disputes in Malaysia and UK consists of recently published books, articles </w:t>
      </w:r>
      <w:r w:rsidRPr="00B03F47">
        <w:rPr>
          <w:rFonts w:ascii="Times New Roman" w:hAnsi="Times New Roman" w:cs="Times New Roman"/>
          <w:sz w:val="24"/>
          <w:szCs w:val="24"/>
        </w:rPr>
        <w:t>and thesis that</w:t>
      </w:r>
      <w:r>
        <w:rPr>
          <w:rStyle w:val="None"/>
          <w:rFonts w:ascii="Times New Roman" w:hAnsi="Times New Roman"/>
          <w:sz w:val="24"/>
          <w:szCs w:val="24"/>
        </w:rPr>
        <w:t xml:space="preserve"> were written within the last two years</w:t>
      </w:r>
      <w:r w:rsidRPr="00B03F47">
        <w:rPr>
          <w:rFonts w:ascii="Times New Roman" w:hAnsi="Times New Roman" w:cs="Times New Roman"/>
          <w:sz w:val="24"/>
          <w:szCs w:val="24"/>
        </w:rPr>
        <w:t>.  On how construction</w:t>
      </w:r>
      <w:r>
        <w:rPr>
          <w:rStyle w:val="None"/>
          <w:rFonts w:ascii="Times New Roman" w:hAnsi="Times New Roman"/>
          <w:sz w:val="24"/>
          <w:szCs w:val="24"/>
        </w:rPr>
        <w:t xml:space="preserve"> disputes are resolved, what readily comes to mind is the newly introduced adjudication process to address the issues of payment which was first introduce in UK in 1990 to resolve cash flow problems in the construction industry. This has been followed by many countries like Australia, New Zealand, Sri Lanka, South Africa, Malaysia, Singapore and a host of others.  Before the introduction of the new Construction Industry Payment Act 2012 in Malaysia, Construction industry  were faced with payment problems  which could not be adequately settled under the existing dispute resolution mechanisms. For example mediation could have been the best process but because of its non- binding effect, the liable parties were not complying with the rulings of the mediators. For litigation, it is a long process and majority of the participants in the industry whose rights were affected resort to it when there is no alternative especially where the liable party would not comply with the decisions of mediator.  Arbitration was used to be more effective but was abused later which caused a lot of impediment in the construction industry in Malaysia.</w:t>
      </w:r>
    </w:p>
    <w:p w14:paraId="2895FFAE" w14:textId="77777777" w:rsidR="00E10BBA" w:rsidRDefault="00E10BBA" w:rsidP="00E10BBA">
      <w:pPr>
        <w:autoSpaceDE w:val="0"/>
        <w:autoSpaceDN w:val="0"/>
        <w:adjustRightInd w:val="0"/>
        <w:ind w:firstLine="720"/>
        <w:jc w:val="both"/>
        <w:rPr>
          <w:rStyle w:val="None"/>
          <w:bCs/>
          <w:color w:val="000000"/>
        </w:rPr>
      </w:pPr>
      <w:r>
        <w:rPr>
          <w:bCs/>
          <w:color w:val="000000"/>
        </w:rPr>
        <w:t>According to Nicholas Gould, construction industry in UK has had it so good with the introduction of ADR processes for resolution of the disputes arising from the industry. The emergence of the processes has provided avenues for the involvement of non-lawyers in mediation, conciliation, expert determination and adjudication.</w:t>
      </w:r>
      <w:r>
        <w:rPr>
          <w:rStyle w:val="FootnoteReference"/>
          <w:bCs/>
          <w:color w:val="000000"/>
        </w:rPr>
        <w:footnoteReference w:id="8"/>
      </w:r>
    </w:p>
    <w:p w14:paraId="1D7E72C1" w14:textId="77777777" w:rsidR="00E10BBA" w:rsidRDefault="00E10BBA" w:rsidP="00E10BBA">
      <w:pPr>
        <w:pStyle w:val="BodyA"/>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Howard KLEIN, asserted that arbitration was introduced into construction industry in UK because of time and cost of litigation as early as 1990s.</w:t>
      </w:r>
      <w:r>
        <w:rPr>
          <w:rStyle w:val="FootnoteReference"/>
          <w:rFonts w:ascii="Times New Roman" w:hAnsi="Times New Roman" w:cs="Times New Roman"/>
          <w:sz w:val="24"/>
          <w:szCs w:val="24"/>
        </w:rPr>
        <w:footnoteReference w:id="9"/>
      </w:r>
    </w:p>
    <w:p w14:paraId="170526F7" w14:textId="77777777" w:rsidR="00E10BBA" w:rsidRDefault="00E10BBA" w:rsidP="00E10BBA">
      <w:pPr>
        <w:pStyle w:val="BodyA"/>
        <w:spacing w:after="0" w:line="240" w:lineRule="auto"/>
        <w:ind w:firstLine="720"/>
        <w:jc w:val="both"/>
        <w:rPr>
          <w:rStyle w:val="None"/>
        </w:rPr>
      </w:pPr>
      <w:r>
        <w:rPr>
          <w:rFonts w:ascii="Times New Roman" w:hAnsi="Times New Roman" w:cs="Times New Roman"/>
          <w:sz w:val="24"/>
          <w:szCs w:val="24"/>
        </w:rPr>
        <w:lastRenderedPageBreak/>
        <w:t xml:space="preserve">Mattew </w:t>
      </w:r>
      <w:proofErr w:type="spellStart"/>
      <w:r>
        <w:rPr>
          <w:rFonts w:ascii="Times New Roman" w:hAnsi="Times New Roman" w:cs="Times New Roman"/>
          <w:sz w:val="24"/>
          <w:szCs w:val="24"/>
        </w:rPr>
        <w:t>Partick</w:t>
      </w:r>
      <w:proofErr w:type="spellEnd"/>
      <w:r>
        <w:rPr>
          <w:rFonts w:ascii="Times New Roman" w:hAnsi="Times New Roman" w:cs="Times New Roman"/>
          <w:sz w:val="24"/>
          <w:szCs w:val="24"/>
        </w:rPr>
        <w:t xml:space="preserve"> Turker, gave an account of how arbitration has turned out to be a twin sister of litigation except that the arbitrator controls the proceedings. All the litigation procedures are adopted in arbitration and this has contributed to the high cost of arbitration.</w:t>
      </w:r>
      <w:r>
        <w:rPr>
          <w:rStyle w:val="FootnoteReference"/>
          <w:rFonts w:ascii="Times New Roman" w:hAnsi="Times New Roman" w:cs="Times New Roman"/>
          <w:sz w:val="24"/>
          <w:szCs w:val="24"/>
        </w:rPr>
        <w:footnoteReference w:id="10"/>
      </w:r>
    </w:p>
    <w:p w14:paraId="3BB484D5" w14:textId="77777777" w:rsidR="00E10BBA" w:rsidRDefault="00E10BBA" w:rsidP="00E10BBA">
      <w:pPr>
        <w:pStyle w:val="BodyA"/>
        <w:spacing w:after="0" w:line="240" w:lineRule="auto"/>
        <w:ind w:firstLine="720"/>
        <w:jc w:val="both"/>
        <w:rPr>
          <w:rStyle w:val="None"/>
          <w:rFonts w:ascii="Times New Roman" w:eastAsia="Times New Roman" w:hAnsi="Times New Roman" w:cs="Times New Roman"/>
          <w:sz w:val="24"/>
          <w:szCs w:val="24"/>
        </w:rPr>
      </w:pPr>
      <w:r>
        <w:rPr>
          <w:rFonts w:ascii="Times New Roman" w:hAnsi="Times New Roman" w:cs="Arial"/>
          <w:color w:val="222222"/>
          <w:sz w:val="24"/>
          <w:szCs w:val="24"/>
          <w:shd w:val="clear" w:color="auto" w:fill="FFFFFF"/>
        </w:rPr>
        <w:t>Harmon, Kathleen MJ.</w:t>
      </w:r>
      <w:r>
        <w:rPr>
          <w:rStyle w:val="FootnoteReference"/>
          <w:rFonts w:ascii="Times New Roman" w:hAnsi="Times New Roman" w:cs="Arial"/>
          <w:color w:val="222222"/>
          <w:sz w:val="24"/>
          <w:szCs w:val="24"/>
          <w:shd w:val="clear" w:color="auto" w:fill="FFFFFF"/>
        </w:rPr>
        <w:footnoteReference w:id="11"/>
      </w:r>
      <w:r>
        <w:rPr>
          <w:rStyle w:val="None"/>
          <w:rFonts w:ascii="Times New Roman" w:hAnsi="Times New Roman"/>
          <w:sz w:val="24"/>
          <w:szCs w:val="24"/>
        </w:rPr>
        <w:t>The research work of Nur Emma et al revealed that dispute resolution procedures available for resolving construction disputes were mainly litigation, arbitration, and mediation.</w:t>
      </w:r>
      <w:r>
        <w:rPr>
          <w:rStyle w:val="None"/>
          <w:rFonts w:ascii="Times New Roman" w:eastAsia="Times New Roman" w:hAnsi="Times New Roman" w:cs="Times New Roman"/>
          <w:sz w:val="24"/>
          <w:szCs w:val="24"/>
          <w:vertAlign w:val="superscript"/>
        </w:rPr>
        <w:footnoteReference w:id="12"/>
      </w:r>
      <w:r>
        <w:rPr>
          <w:rStyle w:val="None"/>
          <w:rFonts w:ascii="Times New Roman" w:hAnsi="Times New Roman"/>
          <w:sz w:val="24"/>
          <w:szCs w:val="24"/>
        </w:rPr>
        <w:t>The Late Tan Sri Dunuk Amar Lee Him (the former Chief Justice of High Court of Sabah and Sarawak) lamented on the high rate of construction cases in court and wished for a specialized construction court to be established wherein cases of construction disputes could be heard without delay and had this to say:</w:t>
      </w:r>
    </w:p>
    <w:p w14:paraId="1758B493" w14:textId="77777777" w:rsidR="00E10BBA" w:rsidRDefault="00E10BBA" w:rsidP="00E10BBA">
      <w:pPr>
        <w:pStyle w:val="Quote"/>
        <w:rPr>
          <w:rStyle w:val="None"/>
          <w:rFonts w:eastAsia="Times New Roman" w:cs="Times New Roman"/>
          <w:szCs w:val="24"/>
        </w:rPr>
      </w:pPr>
      <w:r>
        <w:rPr>
          <w:rStyle w:val="None"/>
          <w:szCs w:val="24"/>
        </w:rPr>
        <w:t>It has been noted that court’s delay in the administration of justice apart from the issue of cost, the drawbacks in litigations have caused the construction players to consider other methods that could provide them with more realistic options in preserving their rights, profits as well as their present and future between relationship.</w:t>
      </w:r>
      <w:r>
        <w:rPr>
          <w:rStyle w:val="None"/>
          <w:rFonts w:eastAsia="Times New Roman" w:cs="Times New Roman"/>
          <w:szCs w:val="24"/>
          <w:vertAlign w:val="superscript"/>
        </w:rPr>
        <w:footnoteReference w:id="13"/>
      </w:r>
    </w:p>
    <w:p w14:paraId="41143309" w14:textId="77777777" w:rsidR="00E10BBA" w:rsidRDefault="00E10BBA" w:rsidP="00E10BBA">
      <w:pPr>
        <w:pStyle w:val="BodyA"/>
        <w:spacing w:after="0" w:line="240" w:lineRule="auto"/>
        <w:ind w:firstLine="680"/>
        <w:jc w:val="both"/>
        <w:rPr>
          <w:rStyle w:val="None"/>
          <w:rFonts w:ascii="Times New Roman" w:eastAsia="Times New Roman" w:hAnsi="Times New Roman" w:cs="Times New Roman"/>
          <w:sz w:val="24"/>
          <w:szCs w:val="24"/>
        </w:rPr>
      </w:pPr>
      <w:r>
        <w:rPr>
          <w:rStyle w:val="None"/>
          <w:rFonts w:ascii="Times New Roman" w:hAnsi="Times New Roman"/>
          <w:sz w:val="24"/>
          <w:szCs w:val="24"/>
        </w:rPr>
        <w:t>Problems caused by cash flows are much higher than that of the benefits of having the delayed interest paid through the court’s judgment. This excerpt was used to form part of the opinion expressed in the work of Nur Emma, et al to support the claim that there were over 300,000 civil cases awaiting trials in courts including construction disputes. This was the situation with the construction disputes after the observation made by the late justice. The number of cases in courts between 2006 and 2008 was alarming that suggestion of their referral to ADR had to be made in 2008.</w:t>
      </w:r>
      <w:r>
        <w:rPr>
          <w:rStyle w:val="None"/>
          <w:rFonts w:ascii="Times New Roman" w:eastAsia="Times New Roman" w:hAnsi="Times New Roman" w:cs="Times New Roman"/>
          <w:sz w:val="24"/>
          <w:szCs w:val="24"/>
          <w:vertAlign w:val="superscript"/>
        </w:rPr>
        <w:footnoteReference w:id="14"/>
      </w:r>
      <w:r>
        <w:rPr>
          <w:rStyle w:val="None"/>
          <w:rFonts w:ascii="Times New Roman" w:hAnsi="Times New Roman"/>
          <w:sz w:val="24"/>
          <w:szCs w:val="24"/>
        </w:rPr>
        <w:t xml:space="preserve"> This spurred the director of KLRCA to organize some seminars and workshops with participations from the stakeholders in construction industry to see how the problems facing the industry can be resolved.   The issue of delayed and non-payment in the construction industry has been long lamented by the Master Builders Association Malaysia (MBAM). Surveys on payment issues carried out by them confirmed that default in payment is the focal problem in the construction industry. During the construction industry roundtable held in June 2003, the Construction of Industry Development Board Malaysia (CIDB) together with other construction industries had identified payment as one of the ten priority areas in the Malaysian construction industry. </w:t>
      </w:r>
    </w:p>
    <w:p w14:paraId="3EF6AC9F" w14:textId="77777777" w:rsidR="00E10BBA" w:rsidRDefault="00E10BBA" w:rsidP="00E10BBA">
      <w:pPr>
        <w:pStyle w:val="BodyA"/>
        <w:spacing w:after="0" w:line="240" w:lineRule="auto"/>
        <w:jc w:val="both"/>
        <w:rPr>
          <w:rStyle w:val="None"/>
          <w:rFonts w:ascii="Times New Roman" w:eastAsia="Times New Roman" w:hAnsi="Times New Roman" w:cs="Times New Roman"/>
          <w:sz w:val="24"/>
          <w:szCs w:val="24"/>
        </w:rPr>
      </w:pPr>
      <w:r>
        <w:rPr>
          <w:rStyle w:val="None"/>
          <w:rFonts w:ascii="Times New Roman" w:hAnsi="Times New Roman"/>
          <w:sz w:val="24"/>
          <w:szCs w:val="24"/>
        </w:rPr>
        <w:t xml:space="preserve"> Consequently, Construction Industry Working Group on Payment (WG10) led by </w:t>
      </w:r>
      <w:r>
        <w:rPr>
          <w:rStyle w:val="None"/>
          <w:rFonts w:ascii="Times New Roman" w:eastAsia="Arial Unicode MS" w:hAnsi="Times New Roman" w:cs="Arial Unicode MS"/>
          <w:sz w:val="24"/>
          <w:szCs w:val="24"/>
        </w:rPr>
        <w:br/>
      </w:r>
      <w:r>
        <w:rPr>
          <w:rStyle w:val="None"/>
          <w:rFonts w:ascii="Times New Roman" w:hAnsi="Times New Roman"/>
          <w:sz w:val="24"/>
          <w:szCs w:val="24"/>
        </w:rPr>
        <w:t xml:space="preserve">Institute of Surveyors Malaysia (ISM) was then formed. In June 2004, the group made various recommendations during the construction industry roundtable which was chaired by the Honorable Minister of Works. The creation of a Malaysian CIPA is one of the recommendations done by the group. The problems identified include withholding of certificates, deposit of retention money in a separate Bank account amongst others. This cash flow has severely and adversely affected the </w:t>
      </w:r>
      <w:r>
        <w:rPr>
          <w:rStyle w:val="None"/>
          <w:rFonts w:ascii="Times New Roman" w:hAnsi="Times New Roman"/>
          <w:sz w:val="24"/>
          <w:szCs w:val="24"/>
        </w:rPr>
        <w:lastRenderedPageBreak/>
        <w:t>progress in the construction industry and this requires urgent attention.</w:t>
      </w:r>
      <w:r>
        <w:rPr>
          <w:rStyle w:val="None"/>
          <w:rFonts w:ascii="Times New Roman" w:eastAsia="Times New Roman" w:hAnsi="Times New Roman" w:cs="Times New Roman"/>
          <w:sz w:val="24"/>
          <w:szCs w:val="24"/>
          <w:vertAlign w:val="superscript"/>
        </w:rPr>
        <w:footnoteReference w:id="15"/>
      </w:r>
      <w:r>
        <w:rPr>
          <w:rStyle w:val="None"/>
          <w:rFonts w:ascii="Times New Roman" w:hAnsi="Times New Roman"/>
          <w:sz w:val="24"/>
          <w:szCs w:val="24"/>
        </w:rPr>
        <w:t xml:space="preserve"> It is in this situation adjudication was found to be useful as a means of resolving disputes arising from construction contracts. Sundra Rajoo, pioneered the campaign for the adoption of adjudication process for serving in the construction industry whenever dispute arises.</w:t>
      </w:r>
      <w:r>
        <w:rPr>
          <w:rStyle w:val="None"/>
          <w:rFonts w:ascii="Times New Roman" w:eastAsia="Times New Roman" w:hAnsi="Times New Roman" w:cs="Times New Roman"/>
          <w:sz w:val="24"/>
          <w:szCs w:val="24"/>
          <w:vertAlign w:val="superscript"/>
        </w:rPr>
        <w:footnoteReference w:id="16"/>
      </w:r>
      <w:r>
        <w:rPr>
          <w:rStyle w:val="None"/>
          <w:rFonts w:ascii="Times New Roman" w:hAnsi="Times New Roman"/>
          <w:sz w:val="24"/>
          <w:szCs w:val="24"/>
        </w:rPr>
        <w:t xml:space="preserve"> The UK model of Housing Grants, Construction and Regeneration Act of 1996 was adopted to resolve payment problems facing the construction industry. The model received the royal assent in Malaysia on 18 June, 2012, and published in the Gazette on 22nd June; 2012 and came into force sometimes in 2013. </w:t>
      </w:r>
    </w:p>
    <w:p w14:paraId="18492D20" w14:textId="77777777" w:rsidR="00E10BBA" w:rsidRDefault="00E10BBA" w:rsidP="00E10BBA">
      <w:pPr>
        <w:pStyle w:val="BodyA"/>
        <w:spacing w:after="0" w:line="240" w:lineRule="auto"/>
        <w:ind w:firstLine="720"/>
        <w:jc w:val="both"/>
        <w:rPr>
          <w:rStyle w:val="None"/>
          <w:rFonts w:ascii="Times New Roman" w:eastAsia="Times New Roman" w:hAnsi="Times New Roman" w:cs="Times New Roman"/>
          <w:sz w:val="24"/>
          <w:szCs w:val="24"/>
        </w:rPr>
      </w:pPr>
      <w:r>
        <w:rPr>
          <w:rStyle w:val="None"/>
          <w:rFonts w:ascii="Times New Roman" w:hAnsi="Times New Roman"/>
          <w:sz w:val="24"/>
          <w:szCs w:val="24"/>
        </w:rPr>
        <w:t>Noushad Ali Naseem Ameer Ali asserted that the issue of cash flow had been a stumbling block causing a setback to some construction projects in Malaysia before the adoption of adjudication process in 2012.</w:t>
      </w:r>
      <w:r>
        <w:rPr>
          <w:rStyle w:val="None"/>
          <w:rFonts w:ascii="Times New Roman" w:eastAsia="Times New Roman" w:hAnsi="Times New Roman" w:cs="Times New Roman"/>
          <w:sz w:val="24"/>
          <w:szCs w:val="24"/>
          <w:vertAlign w:val="superscript"/>
        </w:rPr>
        <w:footnoteReference w:id="17"/>
      </w:r>
      <w:r>
        <w:rPr>
          <w:rStyle w:val="None"/>
          <w:rFonts w:ascii="Times New Roman" w:hAnsi="Times New Roman"/>
          <w:sz w:val="24"/>
          <w:szCs w:val="24"/>
        </w:rPr>
        <w:t xml:space="preserve">  A similar research was conducted by Wong Chen Hin, who found out that globally, payments has been an issue in construction industry, and argued that the existing dispute resolution methods available to resolve payment dispute were inadequate until statutory adjudication was first introduced in United Kingdom as a mean of improving payment practices in the construction industry. Noushad observed that the use of adjudication in construction industry became the subject of discussion, after much debate. The construction Industry Payment and Adjudication Act 2012 of Malaysia received a royal assent on 18th June, 2012 </w:t>
      </w:r>
      <w:r w:rsidRPr="00B03F47">
        <w:rPr>
          <w:rStyle w:val="None"/>
          <w:rFonts w:ascii="Times New Roman" w:hAnsi="Times New Roman" w:cs="Times New Roman"/>
          <w:sz w:val="24"/>
          <w:szCs w:val="24"/>
        </w:rPr>
        <w:t>under the rules of Malaysian Act 746.</w:t>
      </w:r>
      <w:r w:rsidRPr="00B03F47">
        <w:rPr>
          <w:rStyle w:val="None"/>
          <w:rFonts w:ascii="Times New Roman" w:eastAsia="Times New Roman" w:hAnsi="Times New Roman" w:cs="Times New Roman"/>
          <w:sz w:val="24"/>
          <w:szCs w:val="24"/>
          <w:vertAlign w:val="superscript"/>
        </w:rPr>
        <w:footnoteReference w:id="18"/>
      </w:r>
      <w:r w:rsidRPr="00B03F47">
        <w:rPr>
          <w:rStyle w:val="None"/>
          <w:rFonts w:ascii="Times New Roman" w:hAnsi="Times New Roman" w:cs="Times New Roman"/>
          <w:sz w:val="24"/>
          <w:szCs w:val="24"/>
        </w:rPr>
        <w:t xml:space="preserve"> Adjudication became the process of use in resolving </w:t>
      </w:r>
      <w:r w:rsidRPr="00B03F47">
        <w:rPr>
          <w:rFonts w:ascii="Times New Roman" w:hAnsi="Times New Roman" w:cs="Times New Roman"/>
          <w:sz w:val="24"/>
          <w:szCs w:val="24"/>
        </w:rPr>
        <w:t>a larger scale</w:t>
      </w:r>
      <w:r>
        <w:rPr>
          <w:rStyle w:val="None"/>
          <w:rFonts w:ascii="Times New Roman" w:hAnsi="Times New Roman"/>
          <w:sz w:val="24"/>
          <w:szCs w:val="24"/>
        </w:rPr>
        <w:t xml:space="preserve"> of disputes including payment claims in construction industry. The Act applies to all construction contracts made in writing after 22nd June, 2012 including those entered into by the Government of Malaysia.  The Mudajaya Corporation Ltd Berhad v Leighton Contractors (Malaysia) Sdn Bhd was the celebrated case where the Gazette Notification P.U (A) 104 of 2014 which empowered the Minister to exercise his effect of statutory adjudication Act from 14 April 2014.</w:t>
      </w:r>
      <w:r>
        <w:rPr>
          <w:rStyle w:val="FootnoteReference"/>
          <w:rFonts w:ascii="Times New Roman" w:hAnsi="Times New Roman"/>
          <w:sz w:val="24"/>
          <w:szCs w:val="24"/>
        </w:rPr>
        <w:footnoteReference w:id="19"/>
      </w:r>
    </w:p>
    <w:p w14:paraId="4A54E48A" w14:textId="77777777" w:rsidR="00E10BBA" w:rsidRDefault="00E10BBA" w:rsidP="00E10BBA">
      <w:pPr>
        <w:pStyle w:val="BodyA"/>
        <w:spacing w:after="0" w:line="240" w:lineRule="auto"/>
        <w:jc w:val="both"/>
        <w:rPr>
          <w:rStyle w:val="None"/>
          <w:rFonts w:ascii="Times New Roman" w:eastAsia="Times New Roman" w:hAnsi="Times New Roman" w:cs="Times New Roman"/>
          <w:sz w:val="24"/>
          <w:szCs w:val="24"/>
        </w:rPr>
      </w:pPr>
      <w:r>
        <w:rPr>
          <w:rStyle w:val="None"/>
          <w:rFonts w:ascii="Times New Roman" w:eastAsia="Times New Roman" w:hAnsi="Times New Roman" w:cs="Times New Roman"/>
          <w:sz w:val="24"/>
          <w:szCs w:val="24"/>
        </w:rPr>
        <w:tab/>
      </w:r>
      <w:r>
        <w:rPr>
          <w:rStyle w:val="None"/>
          <w:rFonts w:ascii="Times New Roman" w:hAnsi="Times New Roman"/>
          <w:sz w:val="24"/>
          <w:szCs w:val="24"/>
        </w:rPr>
        <w:t xml:space="preserve">By virtue of section 28 of the legal framework of adjudication Act in Malaysia, </w:t>
      </w:r>
      <w:r w:rsidRPr="004703E4">
        <w:rPr>
          <w:rFonts w:ascii="Times New Roman" w:hAnsi="Times New Roman" w:cs="Times New Roman"/>
          <w:sz w:val="24"/>
          <w:szCs w:val="24"/>
        </w:rPr>
        <w:t>adjudicator’s decision</w:t>
      </w:r>
      <w:r>
        <w:rPr>
          <w:rStyle w:val="None"/>
          <w:rFonts w:ascii="Times New Roman" w:hAnsi="Times New Roman"/>
          <w:sz w:val="24"/>
          <w:szCs w:val="24"/>
        </w:rPr>
        <w:t xml:space="preserve"> has been placed on equal footing with the decision of the High Court. An adjudicator can give several other remedies to the favored party under an adjudication decision, where the respondent has not paid the full or part of the stipulated amount pursuant to the </w:t>
      </w:r>
      <w:r w:rsidRPr="004703E4">
        <w:rPr>
          <w:rFonts w:ascii="Times New Roman" w:hAnsi="Times New Roman" w:cs="Times New Roman"/>
          <w:sz w:val="24"/>
          <w:szCs w:val="24"/>
        </w:rPr>
        <w:t>adjudicator’s decision</w:t>
      </w:r>
      <w:r>
        <w:rPr>
          <w:rStyle w:val="None"/>
          <w:rFonts w:ascii="Times New Roman" w:hAnsi="Times New Roman"/>
          <w:sz w:val="24"/>
          <w:szCs w:val="24"/>
        </w:rPr>
        <w:t>, and in addition the adjudicator can suspend the work in the event within the stated time.</w:t>
      </w:r>
      <w:r>
        <w:rPr>
          <w:rStyle w:val="None"/>
          <w:rFonts w:ascii="Times New Roman" w:eastAsia="Times New Roman" w:hAnsi="Times New Roman" w:cs="Times New Roman"/>
          <w:sz w:val="24"/>
          <w:szCs w:val="24"/>
          <w:vertAlign w:val="superscript"/>
        </w:rPr>
        <w:footnoteReference w:id="20"/>
      </w:r>
      <w:r>
        <w:rPr>
          <w:rStyle w:val="None"/>
          <w:rFonts w:ascii="Times New Roman" w:hAnsi="Times New Roman"/>
          <w:sz w:val="24"/>
          <w:szCs w:val="24"/>
        </w:rPr>
        <w:t xml:space="preserve">   The Act covers all construction contracts made in writing that relates to construction work carried out wholly or partly within territory of Malaysia including one that is entered into by the Government of Malaysia. This also includes local and international construction contracts, and where the adjudicated amount pursuant to the adjudicator’s decision has not been paid wholly or partly within the stipulated time.  Part V of the Act stipulates the functions of KLRCA as the adjudication authority.   Mohammad Danuri et al work gives an explanation on the effects of the Act in Malaysia, and that KLRCA can amongst its other functions </w:t>
      </w:r>
      <w:r>
        <w:rPr>
          <w:rStyle w:val="None"/>
          <w:rFonts w:ascii="Times New Roman" w:hAnsi="Times New Roman"/>
          <w:sz w:val="24"/>
          <w:szCs w:val="24"/>
        </w:rPr>
        <w:lastRenderedPageBreak/>
        <w:t>set competency standards and criteria of an adjudicator, and provide administrative support for the conduct of Adjudication.</w:t>
      </w:r>
      <w:r>
        <w:rPr>
          <w:rStyle w:val="None"/>
          <w:rFonts w:ascii="Times New Roman" w:eastAsia="Times New Roman" w:hAnsi="Times New Roman" w:cs="Times New Roman"/>
          <w:sz w:val="24"/>
          <w:szCs w:val="24"/>
          <w:vertAlign w:val="superscript"/>
        </w:rPr>
        <w:footnoteReference w:id="21"/>
      </w:r>
    </w:p>
    <w:p w14:paraId="35D059A6" w14:textId="77777777" w:rsidR="00E10BBA" w:rsidRPr="00E77369" w:rsidRDefault="00E10BBA" w:rsidP="00E10BBA">
      <w:pPr>
        <w:pStyle w:val="BodyA"/>
        <w:spacing w:after="0" w:line="240" w:lineRule="auto"/>
        <w:jc w:val="both"/>
        <w:rPr>
          <w:rStyle w:val="None"/>
          <w:rFonts w:ascii="Times New Roman" w:hAnsi="Times New Roman"/>
          <w:color w:val="FF0000"/>
          <w:sz w:val="24"/>
          <w:szCs w:val="24"/>
        </w:rPr>
      </w:pPr>
      <w:r>
        <w:rPr>
          <w:rStyle w:val="None"/>
          <w:rFonts w:ascii="Times New Roman" w:eastAsia="Times New Roman" w:hAnsi="Times New Roman" w:cs="Times New Roman"/>
          <w:sz w:val="24"/>
          <w:szCs w:val="24"/>
        </w:rPr>
        <w:tab/>
      </w:r>
      <w:r>
        <w:rPr>
          <w:rStyle w:val="None"/>
          <w:rFonts w:ascii="Times New Roman" w:hAnsi="Times New Roman"/>
          <w:sz w:val="24"/>
          <w:szCs w:val="24"/>
        </w:rPr>
        <w:t>The CIPA will be applicable to every written construction contract that relates to construction work carried out either or wholly or partly within the territory of Malaysia.</w:t>
      </w:r>
      <w:r>
        <w:rPr>
          <w:rStyle w:val="None"/>
          <w:rFonts w:ascii="Times New Roman" w:eastAsia="Times New Roman" w:hAnsi="Times New Roman" w:cs="Times New Roman"/>
          <w:sz w:val="24"/>
          <w:szCs w:val="24"/>
          <w:vertAlign w:val="superscript"/>
        </w:rPr>
        <w:footnoteReference w:id="22"/>
      </w:r>
      <w:r>
        <w:rPr>
          <w:rStyle w:val="None"/>
          <w:rFonts w:ascii="Times New Roman" w:hAnsi="Times New Roman"/>
          <w:color w:val="FF0000"/>
          <w:sz w:val="24"/>
          <w:szCs w:val="24"/>
        </w:rPr>
        <w:t xml:space="preserve"> </w:t>
      </w:r>
      <w:r w:rsidRPr="001F7360">
        <w:rPr>
          <w:rStyle w:val="None"/>
          <w:rFonts w:ascii="Times New Roman" w:hAnsi="Times New Roman"/>
          <w:color w:val="auto"/>
          <w:sz w:val="24"/>
          <w:szCs w:val="24"/>
        </w:rPr>
        <w:t>In the case of Subang Skypark Sdn Bhd v Accradius Sdn Bhd, the court held that parties may settle any dispute with the adjudicator’s decision by written agreement between the parties or by arbitration.</w:t>
      </w:r>
      <w:r w:rsidRPr="001F7360">
        <w:rPr>
          <w:rStyle w:val="FootnoteReference"/>
          <w:rFonts w:ascii="Times New Roman" w:hAnsi="Times New Roman"/>
          <w:color w:val="auto"/>
          <w:sz w:val="24"/>
          <w:szCs w:val="24"/>
        </w:rPr>
        <w:footnoteReference w:id="23"/>
      </w:r>
      <w:r w:rsidRPr="001F7360">
        <w:rPr>
          <w:rStyle w:val="None"/>
          <w:rFonts w:ascii="Times New Roman" w:hAnsi="Times New Roman"/>
          <w:color w:val="auto"/>
          <w:sz w:val="24"/>
          <w:szCs w:val="24"/>
        </w:rPr>
        <w:t xml:space="preserve"> </w:t>
      </w:r>
    </w:p>
    <w:p w14:paraId="150C1524" w14:textId="77777777" w:rsidR="00E10BBA" w:rsidRDefault="00E10BBA" w:rsidP="00E10BBA">
      <w:pPr>
        <w:pStyle w:val="BodyA"/>
        <w:spacing w:after="0" w:line="240" w:lineRule="auto"/>
        <w:jc w:val="both"/>
        <w:rPr>
          <w:rStyle w:val="None"/>
          <w:rFonts w:ascii="Times New Roman" w:eastAsia="Times New Roman" w:hAnsi="Times New Roman" w:cs="Times New Roman"/>
          <w:sz w:val="24"/>
          <w:szCs w:val="24"/>
        </w:rPr>
      </w:pPr>
      <w:r>
        <w:rPr>
          <w:rStyle w:val="None"/>
          <w:rFonts w:ascii="Times New Roman" w:hAnsi="Times New Roman"/>
          <w:sz w:val="24"/>
          <w:szCs w:val="24"/>
        </w:rPr>
        <w:t xml:space="preserve"> The claimant may commence the adjudication   proceedings by serving a written notice of adjudication to the respondent. The written notice must specify the nature, description of the dispute and the remedy sought together with supporting document on the respondent. The effect of the Act is to facilitate a regular and timely payment and speedy dispute resolution mechanism through adjudication. It may be too early to give full account of the success </w:t>
      </w:r>
      <w:r w:rsidRPr="004703E4">
        <w:rPr>
          <w:rFonts w:ascii="Times New Roman" w:hAnsi="Times New Roman" w:cs="Times New Roman"/>
          <w:sz w:val="24"/>
          <w:szCs w:val="24"/>
        </w:rPr>
        <w:t xml:space="preserve">of the Construction Industry and Payment Act on the industry now because the process is still at </w:t>
      </w:r>
      <w:r>
        <w:rPr>
          <w:rFonts w:ascii="Times New Roman" w:hAnsi="Times New Roman" w:cs="Times New Roman"/>
          <w:sz w:val="24"/>
          <w:szCs w:val="24"/>
        </w:rPr>
        <w:t>its</w:t>
      </w:r>
      <w:r w:rsidRPr="004703E4">
        <w:rPr>
          <w:rFonts w:ascii="Times New Roman" w:hAnsi="Times New Roman" w:cs="Times New Roman"/>
          <w:sz w:val="24"/>
          <w:szCs w:val="24"/>
        </w:rPr>
        <w:t xml:space="preserve"> infancy</w:t>
      </w:r>
      <w:r>
        <w:rPr>
          <w:rStyle w:val="None"/>
          <w:rFonts w:ascii="Times New Roman" w:hAnsi="Times New Roman"/>
          <w:sz w:val="24"/>
          <w:szCs w:val="24"/>
        </w:rPr>
        <w:t xml:space="preserve"> stage.</w:t>
      </w:r>
      <w:r>
        <w:rPr>
          <w:rStyle w:val="None"/>
          <w:rFonts w:ascii="Times New Roman" w:eastAsia="Times New Roman" w:hAnsi="Times New Roman" w:cs="Times New Roman"/>
          <w:sz w:val="24"/>
          <w:szCs w:val="24"/>
        </w:rPr>
        <w:tab/>
      </w:r>
      <w:r>
        <w:rPr>
          <w:rStyle w:val="None"/>
          <w:rFonts w:ascii="Times New Roman" w:hAnsi="Times New Roman"/>
          <w:sz w:val="24"/>
          <w:szCs w:val="24"/>
        </w:rPr>
        <w:t>However, record reveals that a large percentage of the participants are highly satisfied with the outcome of the Adjudication procedure.</w:t>
      </w:r>
      <w:r>
        <w:rPr>
          <w:rStyle w:val="None"/>
          <w:rFonts w:ascii="Times New Roman" w:eastAsia="Times New Roman" w:hAnsi="Times New Roman" w:cs="Times New Roman"/>
          <w:sz w:val="24"/>
          <w:szCs w:val="24"/>
          <w:vertAlign w:val="superscript"/>
        </w:rPr>
        <w:footnoteReference w:id="24"/>
      </w:r>
      <w:r>
        <w:rPr>
          <w:rStyle w:val="None"/>
          <w:rFonts w:ascii="Times New Roman" w:hAnsi="Times New Roman"/>
          <w:sz w:val="24"/>
          <w:szCs w:val="24"/>
        </w:rPr>
        <w:t xml:space="preserve"> In Singapore, similar problems were faced within the construction industry. This led to the majority of the researchers into knowing the real problem behind the high rate of disputes in the construction industry over flooding the courts.  Chua Shu investigated into the cause of the failure and impacts of ADR in relation to dispute resolution in the construction industry.</w:t>
      </w:r>
      <w:r>
        <w:rPr>
          <w:rStyle w:val="None"/>
          <w:rFonts w:ascii="Times New Roman" w:eastAsia="Times New Roman" w:hAnsi="Times New Roman" w:cs="Times New Roman"/>
          <w:sz w:val="24"/>
          <w:szCs w:val="24"/>
          <w:vertAlign w:val="superscript"/>
        </w:rPr>
        <w:footnoteReference w:id="25"/>
      </w:r>
      <w:r>
        <w:rPr>
          <w:rStyle w:val="None"/>
          <w:rFonts w:ascii="Times New Roman" w:hAnsi="Times New Roman"/>
          <w:sz w:val="24"/>
          <w:szCs w:val="24"/>
        </w:rPr>
        <w:t xml:space="preserve"> His findings revealed that construction disputes have not received the proper attention it deserved under the existing dispute resolution mechanisms which formed the introduction of adjudication. Research carried out by Rozina Bint Mohd Zafian revealed that the aspect relating to payments has been the major area of conflict/dispute in construction industry. </w:t>
      </w:r>
    </w:p>
    <w:p w14:paraId="0B93C5C5" w14:textId="77777777" w:rsidR="00E10BBA" w:rsidRDefault="00E10BBA" w:rsidP="00E10BBA">
      <w:pPr>
        <w:pStyle w:val="BodyA"/>
        <w:spacing w:after="0" w:line="240" w:lineRule="auto"/>
        <w:ind w:firstLine="720"/>
        <w:jc w:val="both"/>
        <w:rPr>
          <w:rStyle w:val="None"/>
          <w:rFonts w:ascii="Times New Roman" w:hAnsi="Times New Roman"/>
          <w:sz w:val="24"/>
          <w:szCs w:val="24"/>
        </w:rPr>
      </w:pPr>
      <w:r>
        <w:rPr>
          <w:rStyle w:val="None"/>
          <w:rFonts w:ascii="Times New Roman" w:hAnsi="Times New Roman"/>
          <w:sz w:val="24"/>
          <w:szCs w:val="24"/>
        </w:rPr>
        <w:t xml:space="preserve">This work is premised on the impact of delayed payment, receipt of less payment or even non-payment as a major impediment which impounds most of the construction projects. In UK, according to Kennedy P, there has been a dramatic increase in the use of adjudication. The statistical figure given by him suggest the mechanism has really assisted to reduce the disputes between contractors and subcontractors over the issue of none and delayed payment. Still on the success of statutory adjudication, Mark Entwhistle has this to say, </w:t>
      </w:r>
    </w:p>
    <w:p w14:paraId="3F16D92E" w14:textId="77777777" w:rsidR="00E10BBA" w:rsidRDefault="00E10BBA" w:rsidP="00E10BBA">
      <w:pPr>
        <w:pStyle w:val="BodyA"/>
        <w:spacing w:before="100" w:beforeAutospacing="1" w:after="100" w:afterAutospacing="1" w:line="240" w:lineRule="auto"/>
        <w:ind w:left="720" w:right="720" w:firstLine="720"/>
        <w:jc w:val="both"/>
        <w:rPr>
          <w:rStyle w:val="None"/>
          <w:rFonts w:ascii="Times New Roman" w:hAnsi="Times New Roman"/>
          <w:sz w:val="24"/>
          <w:szCs w:val="24"/>
        </w:rPr>
      </w:pPr>
      <w:r>
        <w:rPr>
          <w:rStyle w:val="None"/>
          <w:rFonts w:ascii="Times New Roman" w:hAnsi="Times New Roman"/>
          <w:sz w:val="24"/>
          <w:szCs w:val="24"/>
        </w:rPr>
        <w:t xml:space="preserve">“The use of adjudication is self- evidently linked to overall construction output, but the popularity of the process can now be said to be secure as a preferred formal dispute resolution mechanism for the construction industry…” </w:t>
      </w:r>
    </w:p>
    <w:p w14:paraId="6A967F8B" w14:textId="77777777" w:rsidR="00E10BBA" w:rsidRDefault="00E10BBA" w:rsidP="00E10BBA">
      <w:pPr>
        <w:pStyle w:val="BodyA"/>
        <w:spacing w:after="0" w:line="240" w:lineRule="auto"/>
        <w:ind w:left="-630"/>
        <w:jc w:val="both"/>
        <w:rPr>
          <w:rStyle w:val="None"/>
          <w:rFonts w:ascii="Times New Roman" w:hAnsi="Times New Roman"/>
          <w:sz w:val="24"/>
          <w:szCs w:val="24"/>
        </w:rPr>
      </w:pPr>
      <w:r>
        <w:rPr>
          <w:rStyle w:val="None"/>
          <w:rFonts w:ascii="Times New Roman" w:hAnsi="Times New Roman"/>
          <w:sz w:val="24"/>
          <w:szCs w:val="24"/>
        </w:rPr>
        <w:t>Adjudication was widely considered to have been successful except in 2007-2008 when the industry experienced a substantial downturn in its workload.</w:t>
      </w:r>
      <w:r>
        <w:rPr>
          <w:rStyle w:val="FootnoteReference"/>
          <w:rFonts w:ascii="Times New Roman" w:hAnsi="Times New Roman"/>
          <w:sz w:val="24"/>
          <w:szCs w:val="24"/>
        </w:rPr>
        <w:footnoteReference w:id="26"/>
      </w:r>
      <w:r>
        <w:rPr>
          <w:rStyle w:val="None"/>
          <w:rFonts w:ascii="Times New Roman" w:hAnsi="Times New Roman"/>
          <w:sz w:val="24"/>
          <w:szCs w:val="24"/>
        </w:rPr>
        <w:t xml:space="preserve">  Adjudicator is to be appointed by the authorized nominating body within seven days of receipt of the adjudication application. On settlement of a dispute, seven days is set aside for dispute settlement within which response is to be provided and neither the claimant nor respondent may seek to clarify any matters and respondent provides a payment amount. </w:t>
      </w:r>
      <w:r>
        <w:rPr>
          <w:rStyle w:val="None"/>
          <w:rFonts w:ascii="Times New Roman" w:hAnsi="Times New Roman"/>
          <w:sz w:val="24"/>
          <w:szCs w:val="24"/>
        </w:rPr>
        <w:lastRenderedPageBreak/>
        <w:t>Where he fails to pay or varies the payment the claimant is entitled to make an application</w:t>
      </w:r>
      <w:r>
        <w:rPr>
          <w:rStyle w:val="None"/>
          <w:rFonts w:ascii="Times New Roman" w:eastAsia="Times New Roman" w:hAnsi="Times New Roman" w:cs="Times New Roman"/>
          <w:sz w:val="24"/>
          <w:szCs w:val="24"/>
          <w:vertAlign w:val="superscript"/>
        </w:rPr>
        <w:footnoteReference w:id="27"/>
      </w:r>
      <w:r>
        <w:rPr>
          <w:rStyle w:val="None"/>
          <w:rFonts w:ascii="Times New Roman" w:hAnsi="Times New Roman"/>
          <w:sz w:val="24"/>
          <w:szCs w:val="24"/>
        </w:rPr>
        <w:t xml:space="preserve">  for the enforcement of the adjudicated amount in court.</w:t>
      </w:r>
      <w:r>
        <w:rPr>
          <w:rStyle w:val="None"/>
          <w:rFonts w:ascii="Times New Roman" w:eastAsia="Times New Roman" w:hAnsi="Times New Roman" w:cs="Times New Roman"/>
          <w:sz w:val="24"/>
          <w:szCs w:val="24"/>
          <w:vertAlign w:val="superscript"/>
        </w:rPr>
        <w:footnoteReference w:id="28"/>
      </w:r>
    </w:p>
    <w:p w14:paraId="2AA7DC6D" w14:textId="77777777" w:rsidR="00E10BBA" w:rsidRDefault="00E10BBA" w:rsidP="00E10BBA">
      <w:pPr>
        <w:pStyle w:val="BodyA"/>
        <w:spacing w:after="0" w:line="240" w:lineRule="auto"/>
        <w:ind w:left="-630" w:firstLine="630"/>
        <w:jc w:val="both"/>
        <w:rPr>
          <w:rStyle w:val="None"/>
          <w:rFonts w:ascii="Times New Roman" w:eastAsia="Times New Roman" w:hAnsi="Times New Roman" w:cs="Times New Roman"/>
          <w:sz w:val="24"/>
          <w:szCs w:val="24"/>
        </w:rPr>
      </w:pPr>
      <w:r>
        <w:rPr>
          <w:rStyle w:val="None"/>
          <w:rFonts w:ascii="Times New Roman" w:hAnsi="Times New Roman"/>
          <w:sz w:val="24"/>
          <w:szCs w:val="24"/>
        </w:rPr>
        <w:t xml:space="preserve"> Claire King explained that the amount of progress payment to which a person is entitled under a contract will either be the amount calculated in accordance with the terms of the contract or if the contract does not so provide the amount, it will be calculated on the basis of the value of the construction work carried out or the goods or services supplied.</w:t>
      </w:r>
      <w:r>
        <w:rPr>
          <w:rStyle w:val="None"/>
          <w:rFonts w:ascii="Times New Roman" w:eastAsia="Times New Roman" w:hAnsi="Times New Roman" w:cs="Times New Roman"/>
          <w:sz w:val="24"/>
          <w:szCs w:val="24"/>
          <w:vertAlign w:val="superscript"/>
        </w:rPr>
        <w:footnoteReference w:id="29"/>
      </w:r>
      <w:r>
        <w:rPr>
          <w:rStyle w:val="None"/>
          <w:rFonts w:ascii="Times New Roman" w:hAnsi="Times New Roman"/>
          <w:sz w:val="24"/>
          <w:szCs w:val="24"/>
        </w:rPr>
        <w:t xml:space="preserve"> This work also gives explanation on the date provided for the progress payment to be made as provided in the Act.  Where the contract provides for the date on which a progress payment becomes due and payable on the date as specified or determined in accordance with the terms of the contract or the date immediately upon expiry of thirty-five (35) days after. </w:t>
      </w:r>
    </w:p>
    <w:p w14:paraId="04C00EC7" w14:textId="77777777" w:rsidR="00E10BBA" w:rsidRDefault="00E10BBA" w:rsidP="00E10BBA">
      <w:pPr>
        <w:pStyle w:val="BodyA"/>
        <w:spacing w:after="0" w:line="240" w:lineRule="auto"/>
        <w:jc w:val="both"/>
        <w:rPr>
          <w:rStyle w:val="None"/>
          <w:rFonts w:ascii="Times New Roman" w:eastAsia="Times New Roman" w:hAnsi="Times New Roman" w:cs="Times New Roman"/>
          <w:sz w:val="24"/>
          <w:szCs w:val="24"/>
        </w:rPr>
      </w:pPr>
      <w:r>
        <w:rPr>
          <w:rStyle w:val="None"/>
          <w:rFonts w:ascii="Times New Roman" w:hAnsi="Times New Roman"/>
          <w:sz w:val="24"/>
          <w:szCs w:val="24"/>
        </w:rPr>
        <w:tab/>
        <w:t>The adjudicator is empowered to determine his or her own jurisdiction on a provisional basis and that the determination will be binding unless it is challenged in the High Court. Adjudication determination is treated as a decision of the High Court.</w:t>
      </w:r>
      <w:r>
        <w:rPr>
          <w:rStyle w:val="None"/>
          <w:rFonts w:ascii="Times New Roman" w:eastAsia="Times New Roman" w:hAnsi="Times New Roman" w:cs="Times New Roman"/>
          <w:sz w:val="24"/>
          <w:szCs w:val="24"/>
          <w:vertAlign w:val="superscript"/>
        </w:rPr>
        <w:footnoteReference w:id="30"/>
      </w:r>
      <w:r>
        <w:rPr>
          <w:rStyle w:val="None"/>
          <w:rFonts w:ascii="Times New Roman" w:hAnsi="Times New Roman"/>
          <w:sz w:val="24"/>
          <w:szCs w:val="24"/>
        </w:rPr>
        <w:t xml:space="preserve"> Recently in UK, there was an amendment in the Construction Act, the abolition of the requirement for construction contracts to be in writing has been amended.  Part 8 of the Local Democracy, Economic </w:t>
      </w:r>
      <w:r w:rsidRPr="004703E4">
        <w:rPr>
          <w:rStyle w:val="None"/>
          <w:rFonts w:ascii="Times New Roman" w:hAnsi="Times New Roman" w:cs="Times New Roman"/>
          <w:sz w:val="24"/>
          <w:szCs w:val="24"/>
        </w:rPr>
        <w:t xml:space="preserve">Development and Construction Act in England, Wales and Scotland was domesticated to </w:t>
      </w:r>
      <w:r w:rsidRPr="004703E4">
        <w:rPr>
          <w:rFonts w:ascii="Times New Roman" w:hAnsi="Times New Roman" w:cs="Times New Roman"/>
          <w:sz w:val="24"/>
          <w:szCs w:val="24"/>
        </w:rPr>
        <w:t>increase clarity in construction contracts</w:t>
      </w:r>
      <w:r>
        <w:rPr>
          <w:rStyle w:val="None"/>
          <w:rFonts w:ascii="Times New Roman" w:hAnsi="Times New Roman"/>
          <w:sz w:val="24"/>
          <w:szCs w:val="24"/>
        </w:rPr>
        <w:t>; to introduce a “better” payment regime and improve rights of contractors, to suspend work in non-payment circumstances and encourage the use of adjudication for resolving disputes. The construction act is now applicable to all construction contracts- whether wholly, partly in writing or wholly oral. The stipulation period for final determination of construction dispute is to be conducted within 28 to 30 working days.</w:t>
      </w:r>
      <w:r>
        <w:rPr>
          <w:rStyle w:val="None"/>
          <w:rFonts w:ascii="Times New Roman" w:eastAsia="Times New Roman" w:hAnsi="Times New Roman" w:cs="Times New Roman"/>
          <w:sz w:val="24"/>
          <w:szCs w:val="24"/>
          <w:vertAlign w:val="superscript"/>
        </w:rPr>
        <w:footnoteReference w:id="31"/>
      </w:r>
      <w:r>
        <w:rPr>
          <w:rStyle w:val="None"/>
          <w:rFonts w:ascii="Times New Roman" w:hAnsi="Times New Roman"/>
          <w:sz w:val="24"/>
          <w:szCs w:val="24"/>
        </w:rPr>
        <w:t xml:space="preserve"> Adjudication is a quick and cost efficient process in which an independent third party makes a binding decision on construction contract disputes. The adjudicator’s powers are defined by the parties in relation to the contract under which he has been appointed. His decision is mandatory on the parties. </w:t>
      </w:r>
    </w:p>
    <w:p w14:paraId="57039F37" w14:textId="77777777" w:rsidR="00E10BBA" w:rsidRDefault="00E10BBA" w:rsidP="00E10BBA">
      <w:pPr>
        <w:pStyle w:val="BodyA"/>
        <w:spacing w:after="0" w:line="240" w:lineRule="auto"/>
        <w:ind w:firstLine="720"/>
        <w:jc w:val="both"/>
        <w:rPr>
          <w:rStyle w:val="None"/>
          <w:rFonts w:ascii="Times New Roman" w:eastAsia="Times New Roman" w:hAnsi="Times New Roman" w:cs="Times New Roman"/>
          <w:sz w:val="24"/>
          <w:szCs w:val="24"/>
        </w:rPr>
      </w:pPr>
      <w:r>
        <w:rPr>
          <w:rStyle w:val="None"/>
          <w:rFonts w:ascii="Times New Roman" w:hAnsi="Times New Roman"/>
          <w:sz w:val="24"/>
          <w:szCs w:val="24"/>
        </w:rPr>
        <w:t>The current concern with adjudication is that there has been an increasing trend for larger</w:t>
      </w:r>
      <w:r w:rsidRPr="00E62093">
        <w:rPr>
          <w:rStyle w:val="None"/>
          <w:rFonts w:ascii="Times New Roman" w:hAnsi="Times New Roman"/>
          <w:color w:val="FF0000"/>
          <w:sz w:val="24"/>
          <w:szCs w:val="24"/>
        </w:rPr>
        <w:t xml:space="preserve"> </w:t>
      </w:r>
      <w:r>
        <w:rPr>
          <w:rStyle w:val="None"/>
          <w:rFonts w:ascii="Times New Roman" w:hAnsi="Times New Roman"/>
          <w:sz w:val="24"/>
          <w:szCs w:val="24"/>
        </w:rPr>
        <w:t>and complex disputes being referred to adjudication such as delays, disruptions and accelerated claims. Jon P. asserted that some disputes, particularly on the completion of projects, are too complex to achieve a fair adjudication process within the time limits of the scheme.</w:t>
      </w:r>
      <w:r>
        <w:rPr>
          <w:rStyle w:val="None"/>
          <w:rFonts w:ascii="Times New Roman" w:eastAsia="Times New Roman" w:hAnsi="Times New Roman" w:cs="Times New Roman"/>
          <w:sz w:val="24"/>
          <w:szCs w:val="24"/>
          <w:vertAlign w:val="superscript"/>
        </w:rPr>
        <w:footnoteReference w:id="32"/>
      </w:r>
      <w:r>
        <w:rPr>
          <w:rStyle w:val="None"/>
          <w:rFonts w:ascii="Times New Roman" w:hAnsi="Times New Roman"/>
          <w:sz w:val="24"/>
          <w:szCs w:val="24"/>
        </w:rPr>
        <w:t xml:space="preserve"> The ability to refer complicated disputes to adjudication has led some members of judiciary to suggest that it is not suitable for all disputes and parties should consider using arbitration and litigation where appropriate.</w:t>
      </w:r>
      <w:r>
        <w:rPr>
          <w:rStyle w:val="None"/>
          <w:rFonts w:ascii="Times New Roman" w:eastAsia="Times New Roman" w:hAnsi="Times New Roman" w:cs="Times New Roman"/>
          <w:sz w:val="24"/>
          <w:szCs w:val="24"/>
          <w:vertAlign w:val="superscript"/>
        </w:rPr>
        <w:footnoteReference w:id="33"/>
      </w:r>
    </w:p>
    <w:p w14:paraId="131BE045" w14:textId="77777777" w:rsidR="00E10BBA" w:rsidRDefault="00E10BBA" w:rsidP="00E10BBA">
      <w:pPr>
        <w:pStyle w:val="BodyA"/>
        <w:spacing w:after="0" w:line="240" w:lineRule="auto"/>
        <w:jc w:val="both"/>
        <w:rPr>
          <w:rStyle w:val="None"/>
          <w:rFonts w:ascii="Times New Roman" w:hAnsi="Times New Roman"/>
          <w:sz w:val="24"/>
          <w:szCs w:val="24"/>
        </w:rPr>
      </w:pPr>
      <w:r>
        <w:rPr>
          <w:rStyle w:val="None"/>
          <w:rFonts w:ascii="Times New Roman" w:hAnsi="Times New Roman"/>
          <w:sz w:val="24"/>
          <w:szCs w:val="24"/>
        </w:rPr>
        <w:tab/>
        <w:t xml:space="preserve">On the effectiveness of the  construction industry on payment the  adjudication act (CIPA) in Malaysia with respect to adjudication process, wherein the Bar council has this to say  “According to Gould, Vivian, R. and Robert Gaitskell QC,  in a revolutionary new approach, quoting Sir Vivian Ramsey, or a system that is a ‘runaway success a great success’ or one which has been referred to as the best invention since sliced bread is introduced by ‘leading jurisdictions’, </w:t>
      </w:r>
      <w:r>
        <w:rPr>
          <w:rStyle w:val="None"/>
          <w:rFonts w:ascii="Times New Roman" w:hAnsi="Times New Roman"/>
          <w:sz w:val="24"/>
          <w:szCs w:val="24"/>
        </w:rPr>
        <w:lastRenderedPageBreak/>
        <w:t>of course it takes  time for other ‘followers’ to take it up.”</w:t>
      </w:r>
      <w:r>
        <w:rPr>
          <w:rStyle w:val="None"/>
          <w:rFonts w:ascii="Times New Roman" w:eastAsia="Times New Roman" w:hAnsi="Times New Roman" w:cs="Times New Roman"/>
          <w:sz w:val="24"/>
          <w:szCs w:val="24"/>
          <w:vertAlign w:val="superscript"/>
        </w:rPr>
        <w:footnoteReference w:id="34"/>
      </w:r>
      <w:r>
        <w:rPr>
          <w:rStyle w:val="None"/>
          <w:rFonts w:ascii="Times New Roman" w:hAnsi="Times New Roman"/>
          <w:sz w:val="24"/>
          <w:szCs w:val="24"/>
        </w:rPr>
        <w:t xml:space="preserve"> There are now 12 jurisdictions around the world that have taken up adjudication process. Adjudication is now a Bill in parliament in Ireland.  All states and territories in Australia have now introduced statutory adjudication. Several other countries are also discussing the adoption of adjudication. Meanwhile, because of the success of adjudication, the leading jurisdictions are now talking about expanding adjudication to even other non-construction industries. Countries that are followers ought to monitor these successes closely – and when ready and if appropriate move to prevent potential future disasters (such as sudden insolvencies), and proactively improve practice in the construction industry. The clever learn from their mistakes. The wise learn from others’ mistakes. Fools never learn from either. The Malaysian construction industry must take pride in its far-sighted wisdom on this issue. CIPAA is a recommendation under the Strategic Thrust 2 of the Construction Industry Master Plan (CIMP) which aims to improve and develop the construction industry in tandem with the Vision 2020. Therefore, it is imperative on other countries to emulate this great accomplishment by amending their relevant laws and giving way for the application of adjudication ADR as a dispute management technique in both Construction Industry and commercial disputes.</w:t>
      </w:r>
    </w:p>
    <w:p w14:paraId="141F5E15" w14:textId="77777777" w:rsidR="00E10BBA" w:rsidRDefault="00E10BBA" w:rsidP="00E10BBA">
      <w:pPr>
        <w:pStyle w:val="BodyA"/>
        <w:spacing w:after="0" w:line="240" w:lineRule="auto"/>
        <w:jc w:val="both"/>
        <w:rPr>
          <w:rStyle w:val="None"/>
          <w:rFonts w:ascii="Times New Roman" w:hAnsi="Times New Roman"/>
          <w:sz w:val="24"/>
          <w:szCs w:val="24"/>
        </w:rPr>
      </w:pPr>
    </w:p>
    <w:p w14:paraId="180330E1" w14:textId="77777777" w:rsidR="00DE2F61" w:rsidRPr="00BD0FB9" w:rsidRDefault="00DE2F61" w:rsidP="00DE2F61">
      <w:pPr>
        <w:keepNext/>
        <w:keepLines/>
        <w:spacing w:after="240"/>
        <w:jc w:val="both"/>
        <w:outlineLvl w:val="1"/>
        <w:rPr>
          <w:rFonts w:eastAsiaTheme="majorEastAsia" w:cstheme="majorBidi"/>
          <w:b/>
          <w:bCs/>
          <w:caps/>
          <w:szCs w:val="26"/>
        </w:rPr>
      </w:pPr>
      <w:r w:rsidRPr="00BD0FB9">
        <w:rPr>
          <w:rFonts w:eastAsiaTheme="majorEastAsia" w:cstheme="majorBidi"/>
          <w:b/>
          <w:bCs/>
          <w:caps/>
          <w:szCs w:val="26"/>
        </w:rPr>
        <w:t>Methods and Procedure</w:t>
      </w:r>
    </w:p>
    <w:p w14:paraId="1C084DAC" w14:textId="14A79889" w:rsidR="000A06AF" w:rsidRPr="000A06AF" w:rsidRDefault="00DE2F61" w:rsidP="004E7831">
      <w:pPr>
        <w:widowControl w:val="0"/>
        <w:jc w:val="both"/>
        <w:rPr>
          <w:rFonts w:eastAsia="Times New Roman"/>
          <w:color w:val="000000"/>
          <w:u w:color="000000"/>
        </w:rPr>
      </w:pPr>
      <w:r w:rsidRPr="00BD0FB9">
        <w:rPr>
          <w:rFonts w:eastAsia="Times New Roman"/>
          <w:color w:val="000000"/>
          <w:u w:color="000000"/>
        </w:rPr>
        <w:t xml:space="preserve">A self-administered questionnaire </w:t>
      </w:r>
      <w:r w:rsidR="004E7831">
        <w:rPr>
          <w:rFonts w:eastAsia="Times New Roman"/>
          <w:color w:val="000000"/>
          <w:u w:color="000000"/>
        </w:rPr>
        <w:t>is</w:t>
      </w:r>
      <w:r w:rsidRPr="00BD0FB9">
        <w:rPr>
          <w:rFonts w:eastAsia="Times New Roman"/>
          <w:color w:val="000000"/>
          <w:u w:color="000000"/>
        </w:rPr>
        <w:t xml:space="preserve"> employed in this study for data collection. Descriptive statistics was used for analyzing the data collected</w:t>
      </w:r>
      <w:r w:rsidR="004E7831">
        <w:rPr>
          <w:rFonts w:eastAsia="Times New Roman"/>
          <w:color w:val="000000"/>
          <w:u w:color="000000"/>
        </w:rPr>
        <w:t>.</w:t>
      </w:r>
      <w:r w:rsidRPr="00BD0FB9">
        <w:rPr>
          <w:rFonts w:eastAsia="Times New Roman"/>
          <w:color w:val="000000"/>
          <w:u w:color="000000"/>
        </w:rPr>
        <w:t xml:space="preserve"> According to Argyrous, employing descriptive statistics such as fr</w:t>
      </w:r>
      <w:r w:rsidR="004E7831">
        <w:rPr>
          <w:rFonts w:eastAsia="Times New Roman"/>
          <w:color w:val="000000"/>
          <w:u w:color="000000"/>
        </w:rPr>
        <w:t xml:space="preserve">equencies, </w:t>
      </w:r>
      <w:r w:rsidRPr="00BD0FB9">
        <w:rPr>
          <w:rFonts w:eastAsia="Times New Roman"/>
          <w:color w:val="000000"/>
          <w:u w:color="000000"/>
        </w:rPr>
        <w:t>percentage</w:t>
      </w:r>
      <w:r w:rsidR="004E7831">
        <w:rPr>
          <w:rFonts w:eastAsia="Times New Roman"/>
          <w:color w:val="000000"/>
          <w:u w:color="000000"/>
        </w:rPr>
        <w:t xml:space="preserve"> and table</w:t>
      </w:r>
      <w:r w:rsidRPr="00BD0FB9">
        <w:rPr>
          <w:rFonts w:eastAsia="Times New Roman"/>
          <w:color w:val="000000"/>
          <w:u w:color="000000"/>
        </w:rPr>
        <w:t xml:space="preserve"> make the results of a study clear and concise.</w:t>
      </w:r>
      <w:r w:rsidRPr="00BD0FB9">
        <w:rPr>
          <w:rFonts w:eastAsia="Times New Roman"/>
          <w:color w:val="000000"/>
          <w:u w:color="000000"/>
          <w:vertAlign w:val="superscript"/>
        </w:rPr>
        <w:footnoteReference w:id="35"/>
      </w:r>
      <w:r w:rsidRPr="00BD0FB9">
        <w:rPr>
          <w:rFonts w:eastAsia="Calibri" w:cs="Calibri"/>
          <w:color w:val="000000"/>
          <w:u w:color="000000"/>
        </w:rPr>
        <w:t xml:space="preserve"> For this purpose, the study employs the use of tables and charts for presenting the findings from the collected data. </w:t>
      </w:r>
      <w:r w:rsidRPr="00DE2F61">
        <w:rPr>
          <w:rFonts w:eastAsia="Calibri" w:cs="Calibri"/>
          <w:color w:val="000000"/>
          <w:u w:color="000000"/>
        </w:rPr>
        <w:t>This research was conducted within the population of the experts in the construction industry (area of the research focused) in Nigeria, The data analysis presented in this chapter focuses on the entire construction industry in Nigeria specifically from all the six geo-political zones with regards to the effect of the legal framework for construction dispute resolution. The sampling technique used for this study is random sampling because it is the appropriate technique used where meaningful in-depth data in a population are required. According to Creswell, the outline of a survey study begins with a discussion about purpose, population, and instrument relationship between variables, interpretation, and analysis.</w:t>
      </w:r>
      <w:r w:rsidRPr="00DE2F61">
        <w:rPr>
          <w:rFonts w:eastAsia="Calibri" w:cs="Calibri"/>
          <w:color w:val="000000"/>
          <w:u w:color="000000"/>
          <w:vertAlign w:val="superscript"/>
        </w:rPr>
        <w:footnoteReference w:id="36"/>
      </w:r>
      <w:r w:rsidRPr="00DE2F61">
        <w:rPr>
          <w:rFonts w:eastAsia="Calibri" w:cs="Calibri"/>
          <w:color w:val="000000"/>
          <w:u w:color="000000"/>
        </w:rPr>
        <w:t xml:space="preserve"> </w:t>
      </w:r>
      <w:r w:rsidR="000A06AF" w:rsidRPr="00BD0FB9">
        <w:rPr>
          <w:rFonts w:eastAsia="Times New Roman"/>
          <w:color w:val="000000"/>
          <w:u w:color="000000"/>
        </w:rPr>
        <w:t>The sample inference were taken from respondents that are located within the selected commercial states are: Abuja, Ilorin, Lagos, Port-Harcourt, Kano and Kaduna. Purposive sampling technique was used mainly because of the non- accessibility of a sampling frame for the target population. The survey conducted cut across the commercial zones representing the whole country, however with specific groups in focus such as legal practitioners, architects, Engineers, Quantity Surveyors, Contractors, and Builders who are into construction business from different parts of the federation. This help</w:t>
      </w:r>
      <w:r w:rsidR="004E7831">
        <w:rPr>
          <w:rFonts w:eastAsia="Times New Roman"/>
          <w:color w:val="000000"/>
          <w:u w:color="000000"/>
        </w:rPr>
        <w:t>s</w:t>
      </w:r>
      <w:r w:rsidR="000A06AF" w:rsidRPr="00BD0FB9">
        <w:rPr>
          <w:rFonts w:eastAsia="Times New Roman"/>
          <w:color w:val="000000"/>
          <w:u w:color="000000"/>
        </w:rPr>
        <w:t xml:space="preserve"> the researcher capture a wide and exhaustive opinion of respondents from around the nation and importantly to arrive at generalizable conclusions.</w:t>
      </w:r>
      <w:r w:rsidR="000A06AF" w:rsidRPr="000A06AF">
        <w:rPr>
          <w:rFonts w:eastAsia="Calibri" w:cs="Calibri"/>
          <w:color w:val="000000"/>
          <w:u w:color="000000"/>
          <w:bdr w:val="none" w:sz="0" w:space="0" w:color="auto"/>
        </w:rPr>
        <w:t xml:space="preserve"> </w:t>
      </w:r>
      <w:r w:rsidR="000A06AF" w:rsidRPr="000A06AF">
        <w:rPr>
          <w:rFonts w:eastAsia="Times New Roman"/>
          <w:color w:val="000000"/>
          <w:u w:color="000000"/>
        </w:rPr>
        <w:t xml:space="preserve">The questionnaire items were designed primarily to obtain information from legal practitioners, judges and stakeholders in construction industry following the answers to the research questions of this study with a slight modification to allow for more information. Respondents were required to appraise an agreement to the statement from the questions as follows: </w:t>
      </w:r>
      <w:r w:rsidR="000A06AF">
        <w:rPr>
          <w:rFonts w:eastAsia="Times New Roman"/>
          <w:color w:val="000000"/>
          <w:u w:color="000000"/>
        </w:rPr>
        <w:t xml:space="preserve">1. </w:t>
      </w:r>
      <w:r w:rsidR="000A06AF" w:rsidRPr="000A06AF">
        <w:rPr>
          <w:rFonts w:eastAsia="Times New Roman"/>
          <w:color w:val="000000"/>
          <w:u w:color="000000"/>
        </w:rPr>
        <w:t>Agree</w:t>
      </w:r>
      <w:r w:rsidR="000A06AF">
        <w:rPr>
          <w:rFonts w:eastAsia="Times New Roman"/>
          <w:color w:val="000000"/>
          <w:u w:color="000000"/>
        </w:rPr>
        <w:t xml:space="preserve">; 2. </w:t>
      </w:r>
      <w:r w:rsidR="000A06AF" w:rsidRPr="000A06AF">
        <w:rPr>
          <w:rFonts w:eastAsia="Times New Roman"/>
          <w:color w:val="000000"/>
          <w:u w:color="000000"/>
        </w:rPr>
        <w:t xml:space="preserve">Strongly </w:t>
      </w:r>
      <w:r w:rsidR="004E7831">
        <w:rPr>
          <w:rFonts w:eastAsia="Times New Roman"/>
          <w:color w:val="000000"/>
          <w:u w:color="000000"/>
        </w:rPr>
        <w:t>A</w:t>
      </w:r>
      <w:r w:rsidR="000A06AF" w:rsidRPr="000A06AF">
        <w:rPr>
          <w:rFonts w:eastAsia="Times New Roman"/>
          <w:color w:val="000000"/>
          <w:u w:color="000000"/>
        </w:rPr>
        <w:t>gree</w:t>
      </w:r>
      <w:r w:rsidR="000A06AF">
        <w:rPr>
          <w:rFonts w:eastAsia="Times New Roman"/>
          <w:color w:val="000000"/>
          <w:u w:color="000000"/>
        </w:rPr>
        <w:t xml:space="preserve">; 3. </w:t>
      </w:r>
      <w:r w:rsidR="000A06AF" w:rsidRPr="000A06AF">
        <w:rPr>
          <w:rFonts w:eastAsia="Times New Roman"/>
          <w:color w:val="000000"/>
          <w:u w:color="000000"/>
        </w:rPr>
        <w:t>Disagree</w:t>
      </w:r>
      <w:r w:rsidR="000A06AF">
        <w:rPr>
          <w:rFonts w:eastAsia="Times New Roman"/>
          <w:color w:val="000000"/>
          <w:u w:color="000000"/>
        </w:rPr>
        <w:t xml:space="preserve">; </w:t>
      </w:r>
      <w:r w:rsidR="004E7831">
        <w:rPr>
          <w:rFonts w:eastAsia="Times New Roman"/>
          <w:color w:val="000000"/>
          <w:u w:color="000000"/>
        </w:rPr>
        <w:t>4. Strongly D</w:t>
      </w:r>
      <w:r w:rsidR="000A06AF">
        <w:rPr>
          <w:rFonts w:eastAsia="Times New Roman"/>
          <w:color w:val="000000"/>
          <w:u w:color="000000"/>
        </w:rPr>
        <w:t xml:space="preserve">isagree. </w:t>
      </w:r>
    </w:p>
    <w:p w14:paraId="4A43BD86" w14:textId="345CB058" w:rsidR="00DE2F61" w:rsidRPr="00DE2F61" w:rsidRDefault="00DE2F61" w:rsidP="000A06AF">
      <w:pPr>
        <w:widowControl w:val="0"/>
        <w:jc w:val="both"/>
        <w:rPr>
          <w:rFonts w:eastAsia="Calibri" w:cs="Calibri"/>
          <w:color w:val="000000"/>
          <w:u w:color="000000"/>
        </w:rPr>
      </w:pPr>
    </w:p>
    <w:p w14:paraId="45CA0E64" w14:textId="424B4BF1" w:rsidR="00E10BBA" w:rsidRPr="00FF5341" w:rsidRDefault="004E7831" w:rsidP="00E10BBA">
      <w:pPr>
        <w:pStyle w:val="BodyA"/>
        <w:spacing w:after="0" w:line="240" w:lineRule="auto"/>
        <w:jc w:val="both"/>
        <w:rPr>
          <w:rStyle w:val="None"/>
          <w:rFonts w:ascii="Times New Roman" w:hAnsi="Times New Roman"/>
          <w:b/>
          <w:bCs/>
          <w:sz w:val="24"/>
          <w:szCs w:val="24"/>
        </w:rPr>
      </w:pPr>
      <w:r w:rsidRPr="00FF5341">
        <w:rPr>
          <w:rStyle w:val="None"/>
          <w:rFonts w:ascii="Times New Roman" w:hAnsi="Times New Roman"/>
          <w:b/>
          <w:bCs/>
          <w:sz w:val="24"/>
          <w:szCs w:val="24"/>
        </w:rPr>
        <w:t xml:space="preserve">FINDINGS </w:t>
      </w:r>
    </w:p>
    <w:p w14:paraId="48FD5A9E" w14:textId="3CD8DC57" w:rsidR="000A06AF" w:rsidRPr="000A06AF" w:rsidRDefault="000A06AF" w:rsidP="000A06AF">
      <w:pPr>
        <w:pStyle w:val="BodyA"/>
        <w:spacing w:after="0"/>
        <w:jc w:val="both"/>
        <w:rPr>
          <w:rFonts w:ascii="Times New Roman" w:hAnsi="Times New Roman" w:cs="Times New Roman"/>
          <w:sz w:val="24"/>
          <w:szCs w:val="24"/>
        </w:rPr>
      </w:pPr>
      <w:bookmarkStart w:id="2" w:name="_Toc441359723"/>
      <w:r w:rsidRPr="000A06AF">
        <w:rPr>
          <w:rFonts w:ascii="Times New Roman" w:hAnsi="Times New Roman" w:cs="Times New Roman"/>
          <w:b/>
          <w:bCs/>
          <w:sz w:val="24"/>
          <w:szCs w:val="24"/>
        </w:rPr>
        <w:t>Legal framework for construction dispute resolution in Nigeria</w:t>
      </w:r>
      <w:bookmarkEnd w:id="2"/>
    </w:p>
    <w:p w14:paraId="709BA7D0" w14:textId="55AEE8A8" w:rsidR="002917D4" w:rsidRDefault="002917D4" w:rsidP="002917D4">
      <w:pPr>
        <w:pStyle w:val="BodyA"/>
        <w:spacing w:line="240" w:lineRule="auto"/>
        <w:jc w:val="both"/>
        <w:rPr>
          <w:rFonts w:ascii="Times New Roman" w:hAnsi="Times New Roman" w:cs="Times New Roman"/>
          <w:bCs/>
          <w:sz w:val="24"/>
          <w:szCs w:val="24"/>
        </w:rPr>
      </w:pPr>
      <w:r>
        <w:rPr>
          <w:rFonts w:ascii="Times New Roman" w:hAnsi="Times New Roman" w:cs="Times New Roman"/>
          <w:sz w:val="24"/>
          <w:szCs w:val="24"/>
        </w:rPr>
        <w:t>T</w:t>
      </w:r>
      <w:r w:rsidR="000A06AF" w:rsidRPr="000A06AF">
        <w:rPr>
          <w:rFonts w:ascii="Times New Roman" w:hAnsi="Times New Roman" w:cs="Times New Roman"/>
          <w:sz w:val="24"/>
          <w:szCs w:val="24"/>
        </w:rPr>
        <w:t xml:space="preserve">his study finds it necessary </w:t>
      </w:r>
      <w:r>
        <w:rPr>
          <w:rFonts w:ascii="Times New Roman" w:hAnsi="Times New Roman" w:cs="Times New Roman"/>
          <w:sz w:val="24"/>
          <w:szCs w:val="24"/>
        </w:rPr>
        <w:t>to examine</w:t>
      </w:r>
      <w:r w:rsidR="000A06AF" w:rsidRPr="000A06AF">
        <w:rPr>
          <w:rFonts w:ascii="Times New Roman" w:hAnsi="Times New Roman" w:cs="Times New Roman"/>
          <w:sz w:val="24"/>
          <w:szCs w:val="24"/>
        </w:rPr>
        <w:t xml:space="preserve"> the effective</w:t>
      </w:r>
      <w:r>
        <w:rPr>
          <w:rFonts w:ascii="Times New Roman" w:hAnsi="Times New Roman" w:cs="Times New Roman"/>
          <w:sz w:val="24"/>
          <w:szCs w:val="24"/>
        </w:rPr>
        <w:t>ness of the legal</w:t>
      </w:r>
      <w:r w:rsidR="000A06AF" w:rsidRPr="000A06AF">
        <w:rPr>
          <w:rFonts w:ascii="Times New Roman" w:hAnsi="Times New Roman" w:cs="Times New Roman"/>
          <w:sz w:val="24"/>
          <w:szCs w:val="24"/>
        </w:rPr>
        <w:t xml:space="preserve"> instruments </w:t>
      </w:r>
      <w:r>
        <w:rPr>
          <w:rFonts w:ascii="Times New Roman" w:hAnsi="Times New Roman" w:cs="Times New Roman"/>
          <w:sz w:val="24"/>
          <w:szCs w:val="24"/>
        </w:rPr>
        <w:t xml:space="preserve">deployed </w:t>
      </w:r>
      <w:r w:rsidR="000A06AF" w:rsidRPr="000A06AF">
        <w:rPr>
          <w:rFonts w:ascii="Times New Roman" w:hAnsi="Times New Roman" w:cs="Times New Roman"/>
          <w:sz w:val="24"/>
          <w:szCs w:val="24"/>
        </w:rPr>
        <w:t xml:space="preserve">in management of disputes in the </w:t>
      </w:r>
      <w:r>
        <w:rPr>
          <w:rFonts w:ascii="Times New Roman" w:hAnsi="Times New Roman" w:cs="Times New Roman"/>
          <w:sz w:val="24"/>
          <w:szCs w:val="24"/>
        </w:rPr>
        <w:t xml:space="preserve">construction </w:t>
      </w:r>
      <w:r w:rsidR="000A06AF" w:rsidRPr="000A06AF">
        <w:rPr>
          <w:rFonts w:ascii="Times New Roman" w:hAnsi="Times New Roman" w:cs="Times New Roman"/>
          <w:sz w:val="24"/>
          <w:szCs w:val="24"/>
        </w:rPr>
        <w:t>industry</w:t>
      </w:r>
      <w:r>
        <w:rPr>
          <w:rFonts w:ascii="Times New Roman" w:hAnsi="Times New Roman" w:cs="Times New Roman"/>
          <w:sz w:val="24"/>
          <w:szCs w:val="24"/>
        </w:rPr>
        <w:t xml:space="preserve"> of Nigeria</w:t>
      </w:r>
      <w:r w:rsidR="000A06AF" w:rsidRPr="000A06AF">
        <w:rPr>
          <w:rFonts w:ascii="Times New Roman" w:hAnsi="Times New Roman" w:cs="Times New Roman"/>
          <w:sz w:val="24"/>
          <w:szCs w:val="24"/>
        </w:rPr>
        <w:t xml:space="preserve">. </w:t>
      </w:r>
      <w:r w:rsidRPr="000A06AF">
        <w:rPr>
          <w:rFonts w:ascii="Times New Roman" w:hAnsi="Times New Roman" w:cs="Times New Roman"/>
          <w:bCs/>
          <w:sz w:val="24"/>
          <w:szCs w:val="24"/>
        </w:rPr>
        <w:t xml:space="preserve">The data in </w:t>
      </w:r>
      <w:r>
        <w:rPr>
          <w:rFonts w:ascii="Times New Roman" w:hAnsi="Times New Roman" w:cs="Times New Roman"/>
          <w:bCs/>
          <w:sz w:val="24"/>
          <w:szCs w:val="24"/>
        </w:rPr>
        <w:t>Table 1</w:t>
      </w:r>
      <w:r w:rsidRPr="000A06AF">
        <w:rPr>
          <w:rFonts w:ascii="Times New Roman" w:hAnsi="Times New Roman" w:cs="Times New Roman"/>
          <w:bCs/>
          <w:sz w:val="24"/>
          <w:szCs w:val="24"/>
        </w:rPr>
        <w:t xml:space="preserve"> </w:t>
      </w:r>
      <w:r>
        <w:rPr>
          <w:rFonts w:ascii="Times New Roman" w:hAnsi="Times New Roman" w:cs="Times New Roman"/>
          <w:bCs/>
          <w:sz w:val="24"/>
          <w:szCs w:val="24"/>
        </w:rPr>
        <w:t>established</w:t>
      </w:r>
      <w:r w:rsidRPr="000A06AF">
        <w:rPr>
          <w:rFonts w:ascii="Times New Roman" w:hAnsi="Times New Roman" w:cs="Times New Roman"/>
          <w:bCs/>
          <w:sz w:val="24"/>
          <w:szCs w:val="24"/>
        </w:rPr>
        <w:t xml:space="preserve"> the inefficacy of the legal framework set down for construction dispute resolution. The </w:t>
      </w:r>
      <w:r>
        <w:rPr>
          <w:rFonts w:ascii="Times New Roman" w:hAnsi="Times New Roman" w:cs="Times New Roman"/>
          <w:bCs/>
          <w:sz w:val="24"/>
          <w:szCs w:val="24"/>
        </w:rPr>
        <w:t xml:space="preserve">result shows that, there </w:t>
      </w:r>
      <w:r w:rsidRPr="000A06AF">
        <w:rPr>
          <w:rFonts w:ascii="Times New Roman" w:hAnsi="Times New Roman" w:cs="Times New Roman"/>
          <w:bCs/>
          <w:sz w:val="24"/>
          <w:szCs w:val="24"/>
        </w:rPr>
        <w:t>a problem of the inability of clients to attract fund and lack of good planning</w:t>
      </w:r>
      <w:r w:rsidRPr="000A06AF">
        <w:rPr>
          <w:rFonts w:ascii="Times New Roman" w:hAnsi="Times New Roman" w:cs="Times New Roman"/>
          <w:sz w:val="24"/>
          <w:szCs w:val="24"/>
        </w:rPr>
        <w:t>.</w:t>
      </w:r>
      <w:r w:rsidRPr="000A06AF">
        <w:rPr>
          <w:rFonts w:ascii="Times New Roman" w:hAnsi="Times New Roman" w:cs="Times New Roman"/>
          <w:sz w:val="24"/>
          <w:szCs w:val="24"/>
          <w:vertAlign w:val="superscript"/>
        </w:rPr>
        <w:footnoteReference w:id="37"/>
      </w:r>
      <w:r w:rsidRPr="000A06AF">
        <w:rPr>
          <w:rFonts w:ascii="Times New Roman" w:hAnsi="Times New Roman" w:cs="Times New Roman"/>
          <w:bCs/>
          <w:sz w:val="24"/>
          <w:szCs w:val="24"/>
        </w:rPr>
        <w:t xml:space="preserve"> </w:t>
      </w:r>
    </w:p>
    <w:p w14:paraId="7F75E757" w14:textId="2AEA6328" w:rsidR="002917D4" w:rsidRPr="000A06AF" w:rsidRDefault="000A06AF" w:rsidP="002917D4">
      <w:pPr>
        <w:pStyle w:val="BodyA"/>
        <w:spacing w:after="0"/>
        <w:jc w:val="both"/>
        <w:rPr>
          <w:rFonts w:ascii="Times New Roman" w:hAnsi="Times New Roman" w:cs="Times New Roman"/>
          <w:sz w:val="24"/>
          <w:szCs w:val="24"/>
        </w:rPr>
      </w:pPr>
      <w:bookmarkStart w:id="3" w:name="_Toc441359620"/>
      <w:r w:rsidRPr="000A06AF">
        <w:rPr>
          <w:rFonts w:ascii="Times New Roman" w:hAnsi="Times New Roman" w:cs="Times New Roman"/>
          <w:sz w:val="24"/>
          <w:szCs w:val="24"/>
        </w:rPr>
        <w:t xml:space="preserve">Table </w:t>
      </w:r>
      <w:bookmarkEnd w:id="3"/>
      <w:r w:rsidR="002917D4">
        <w:rPr>
          <w:rFonts w:ascii="Times New Roman" w:hAnsi="Times New Roman" w:cs="Times New Roman"/>
          <w:sz w:val="24"/>
          <w:szCs w:val="24"/>
        </w:rPr>
        <w:t xml:space="preserve">1: Effectiveness of </w:t>
      </w:r>
      <w:r w:rsidR="002917D4" w:rsidRPr="002917D4">
        <w:rPr>
          <w:rFonts w:ascii="Times New Roman" w:hAnsi="Times New Roman" w:cs="Times New Roman"/>
          <w:color w:val="auto"/>
          <w:sz w:val="24"/>
          <w:szCs w:val="24"/>
        </w:rPr>
        <w:t>Legal framework for construction dispute resolution in Nigeria</w:t>
      </w:r>
    </w:p>
    <w:tbl>
      <w:tblPr>
        <w:tblW w:w="813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2722"/>
        <w:gridCol w:w="2702"/>
        <w:gridCol w:w="2706"/>
      </w:tblGrid>
      <w:tr w:rsidR="000A06AF" w:rsidRPr="000A06AF" w14:paraId="6669E046" w14:textId="77777777" w:rsidTr="000A06AF">
        <w:trPr>
          <w:trHeight w:val="356"/>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4A1BBA0"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Respondents</w:t>
            </w:r>
          </w:p>
        </w:tc>
        <w:tc>
          <w:tcPr>
            <w:tcW w:w="2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BA7EBB9"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Frequency</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40B091F" w14:textId="1A74781F"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Percentage</w:t>
            </w:r>
            <w:r w:rsidR="002917D4">
              <w:rPr>
                <w:rFonts w:ascii="Times New Roman" w:hAnsi="Times New Roman" w:cs="Times New Roman"/>
                <w:sz w:val="24"/>
                <w:szCs w:val="24"/>
              </w:rPr>
              <w:t xml:space="preserve"> (%)</w:t>
            </w:r>
          </w:p>
        </w:tc>
      </w:tr>
      <w:tr w:rsidR="000A06AF" w:rsidRPr="000A06AF" w14:paraId="0A5C80E0" w14:textId="77777777" w:rsidTr="000A06AF">
        <w:trPr>
          <w:trHeight w:val="356"/>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06CDBA92"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Effective</w:t>
            </w:r>
          </w:p>
        </w:tc>
        <w:tc>
          <w:tcPr>
            <w:tcW w:w="2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D7B1E0D"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80</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73C963E"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26</w:t>
            </w:r>
          </w:p>
        </w:tc>
      </w:tr>
      <w:tr w:rsidR="000A06AF" w:rsidRPr="000A06AF" w14:paraId="7A9039AE" w14:textId="77777777" w:rsidTr="000A06AF">
        <w:trPr>
          <w:trHeight w:val="356"/>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9C8B545"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Not Effective</w:t>
            </w:r>
          </w:p>
        </w:tc>
        <w:tc>
          <w:tcPr>
            <w:tcW w:w="2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43DECBC4"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167</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553C04C7"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54</w:t>
            </w:r>
          </w:p>
        </w:tc>
      </w:tr>
      <w:tr w:rsidR="000A06AF" w:rsidRPr="000A06AF" w14:paraId="34B18353" w14:textId="77777777" w:rsidTr="000A06AF">
        <w:trPr>
          <w:trHeight w:val="356"/>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0A01BDED"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Undecided</w:t>
            </w:r>
          </w:p>
        </w:tc>
        <w:tc>
          <w:tcPr>
            <w:tcW w:w="2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FDFEE5B"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60</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4CC82147"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20</w:t>
            </w:r>
          </w:p>
        </w:tc>
      </w:tr>
      <w:tr w:rsidR="000A06AF" w:rsidRPr="000A06AF" w14:paraId="63B231C2" w14:textId="77777777" w:rsidTr="000A06AF">
        <w:trPr>
          <w:trHeight w:val="356"/>
          <w:jc w:val="center"/>
        </w:trPr>
        <w:tc>
          <w:tcPr>
            <w:tcW w:w="27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907DB86"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 xml:space="preserve">Total </w:t>
            </w:r>
          </w:p>
        </w:tc>
        <w:tc>
          <w:tcPr>
            <w:tcW w:w="27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5D7D6B62"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307</w:t>
            </w:r>
          </w:p>
        </w:tc>
        <w:tc>
          <w:tcPr>
            <w:tcW w:w="27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2F8D8849"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100</w:t>
            </w:r>
          </w:p>
        </w:tc>
      </w:tr>
    </w:tbl>
    <w:p w14:paraId="6689CB2C" w14:textId="77777777" w:rsidR="000A06AF" w:rsidRDefault="000A06AF" w:rsidP="000A06AF">
      <w:pPr>
        <w:pStyle w:val="BodyA"/>
        <w:spacing w:line="240" w:lineRule="auto"/>
        <w:jc w:val="both"/>
        <w:rPr>
          <w:rFonts w:ascii="Times New Roman" w:hAnsi="Times New Roman" w:cs="Times New Roman"/>
          <w:bCs/>
          <w:sz w:val="24"/>
          <w:szCs w:val="24"/>
        </w:rPr>
      </w:pPr>
    </w:p>
    <w:p w14:paraId="6A971A84" w14:textId="77777777" w:rsidR="000C4DBF" w:rsidRPr="000A06AF" w:rsidRDefault="000A06AF" w:rsidP="000C4DBF">
      <w:pPr>
        <w:pStyle w:val="BodyA"/>
        <w:spacing w:line="240" w:lineRule="auto"/>
        <w:jc w:val="both"/>
        <w:rPr>
          <w:rFonts w:ascii="Times New Roman" w:hAnsi="Times New Roman" w:cs="Times New Roman"/>
          <w:sz w:val="24"/>
          <w:szCs w:val="24"/>
        </w:rPr>
      </w:pPr>
      <w:r w:rsidRPr="000A06AF">
        <w:rPr>
          <w:rFonts w:ascii="Times New Roman" w:hAnsi="Times New Roman" w:cs="Times New Roman"/>
          <w:sz w:val="24"/>
          <w:szCs w:val="24"/>
        </w:rPr>
        <w:t>The importance of ADR in construction industry cannot be underestimated given the nature of the work involved. The expedite delivery of projects require that disputes must not be left unattended for a long period of time. This can be deduced from the</w:t>
      </w:r>
      <w:r w:rsidR="002917D4">
        <w:rPr>
          <w:rFonts w:ascii="Times New Roman" w:hAnsi="Times New Roman" w:cs="Times New Roman"/>
          <w:sz w:val="24"/>
          <w:szCs w:val="24"/>
        </w:rPr>
        <w:t xml:space="preserve"> findings presented in Table 2. </w:t>
      </w:r>
      <w:r w:rsidR="002917D4" w:rsidRPr="000A06AF">
        <w:rPr>
          <w:rFonts w:ascii="Times New Roman" w:hAnsi="Times New Roman" w:cs="Times New Roman"/>
          <w:sz w:val="24"/>
          <w:szCs w:val="24"/>
        </w:rPr>
        <w:t>The</w:t>
      </w:r>
      <w:r w:rsidR="002917D4">
        <w:rPr>
          <w:rFonts w:ascii="Times New Roman" w:hAnsi="Times New Roman" w:cs="Times New Roman"/>
          <w:sz w:val="24"/>
          <w:szCs w:val="24"/>
        </w:rPr>
        <w:t xml:space="preserve"> findings presented below represent the</w:t>
      </w:r>
      <w:r w:rsidR="002917D4" w:rsidRPr="000A06AF">
        <w:rPr>
          <w:rFonts w:ascii="Times New Roman" w:hAnsi="Times New Roman" w:cs="Times New Roman"/>
          <w:sz w:val="24"/>
          <w:szCs w:val="24"/>
        </w:rPr>
        <w:t xml:space="preserve"> respondents’ acceptance on the relevance of ADR mechanisms which can facilitate and minimize disputes </w:t>
      </w:r>
      <w:r w:rsidR="002917D4">
        <w:rPr>
          <w:rFonts w:ascii="Times New Roman" w:hAnsi="Times New Roman" w:cs="Times New Roman"/>
          <w:sz w:val="24"/>
          <w:szCs w:val="24"/>
        </w:rPr>
        <w:t xml:space="preserve">occurring in the industry.  This finding </w:t>
      </w:r>
      <w:r w:rsidR="002917D4" w:rsidRPr="000A06AF">
        <w:rPr>
          <w:rFonts w:ascii="Times New Roman" w:hAnsi="Times New Roman" w:cs="Times New Roman"/>
          <w:sz w:val="24"/>
          <w:szCs w:val="24"/>
        </w:rPr>
        <w:t>has been supported in the work of Animashaun.</w:t>
      </w:r>
      <w:r w:rsidR="002917D4" w:rsidRPr="000A06AF">
        <w:rPr>
          <w:rFonts w:ascii="Times New Roman" w:hAnsi="Times New Roman" w:cs="Times New Roman"/>
          <w:sz w:val="24"/>
          <w:szCs w:val="24"/>
          <w:vertAlign w:val="superscript"/>
        </w:rPr>
        <w:footnoteReference w:id="38"/>
      </w:r>
      <w:r w:rsidR="002917D4" w:rsidRPr="000A06AF">
        <w:rPr>
          <w:rFonts w:ascii="Times New Roman" w:hAnsi="Times New Roman" w:cs="Times New Roman"/>
          <w:sz w:val="24"/>
          <w:szCs w:val="24"/>
        </w:rPr>
        <w:t xml:space="preserve"> However,</w:t>
      </w:r>
      <w:r w:rsidR="002917D4">
        <w:rPr>
          <w:rFonts w:ascii="Times New Roman" w:hAnsi="Times New Roman" w:cs="Times New Roman"/>
          <w:sz w:val="24"/>
          <w:szCs w:val="24"/>
        </w:rPr>
        <w:t xml:space="preserve"> </w:t>
      </w:r>
      <w:r w:rsidR="002917D4" w:rsidRPr="000A06AF">
        <w:rPr>
          <w:rFonts w:ascii="Times New Roman" w:hAnsi="Times New Roman" w:cs="Times New Roman"/>
          <w:sz w:val="24"/>
          <w:szCs w:val="24"/>
        </w:rPr>
        <w:t>those who did not subscribe to the use of ADR were very insignificant</w:t>
      </w:r>
      <w:r w:rsidR="00C11112">
        <w:rPr>
          <w:rFonts w:ascii="Times New Roman" w:hAnsi="Times New Roman" w:cs="Times New Roman"/>
          <w:sz w:val="24"/>
          <w:szCs w:val="24"/>
        </w:rPr>
        <w:t xml:space="preserve"> (Disagree: 6%; Strongly Disagree: 3%)</w:t>
      </w:r>
      <w:r w:rsidR="002917D4" w:rsidRPr="000A06AF">
        <w:rPr>
          <w:rFonts w:ascii="Times New Roman" w:hAnsi="Times New Roman" w:cs="Times New Roman"/>
          <w:sz w:val="24"/>
          <w:szCs w:val="24"/>
        </w:rPr>
        <w:t xml:space="preserve">.  </w:t>
      </w:r>
      <w:r w:rsidR="00C11112">
        <w:rPr>
          <w:rFonts w:ascii="Times New Roman" w:hAnsi="Times New Roman" w:cs="Times New Roman"/>
          <w:sz w:val="24"/>
          <w:szCs w:val="24"/>
        </w:rPr>
        <w:t xml:space="preserve">In addition, the result </w:t>
      </w:r>
      <w:r w:rsidR="000C4DBF">
        <w:rPr>
          <w:rFonts w:ascii="Times New Roman" w:hAnsi="Times New Roman" w:cs="Times New Roman"/>
          <w:sz w:val="24"/>
          <w:szCs w:val="24"/>
        </w:rPr>
        <w:t xml:space="preserve">in Table 3 revealed that majority of the respondents (81%) prefer to use ADR mechanisms to get their construction disputes resolved as compared to arbitration (12%) and litigation (7%). This findings </w:t>
      </w:r>
      <w:r w:rsidR="000C4DBF">
        <w:rPr>
          <w:rFonts w:ascii="Times New Roman" w:hAnsi="Times New Roman" w:cs="Times New Roman"/>
          <w:bCs/>
          <w:sz w:val="24"/>
          <w:szCs w:val="24"/>
        </w:rPr>
        <w:t>demonstrate</w:t>
      </w:r>
      <w:r w:rsidR="000C4DBF" w:rsidRPr="000A06AF">
        <w:rPr>
          <w:rFonts w:ascii="Times New Roman" w:hAnsi="Times New Roman" w:cs="Times New Roman"/>
          <w:bCs/>
          <w:sz w:val="24"/>
          <w:szCs w:val="24"/>
        </w:rPr>
        <w:t xml:space="preserve"> the quest of stakeholders to resort to alternative dispute resolution mechanisms which can serve the industry effectively should any dispute occur despite the existing legal framework put in place to resolve their disputes. It has been found that alternative dispute resolution mechanisms are more cost-effective and will be more preferred because of the nature of the industry. When disputes are left unattended to, they later generate into having projects abandoned. This averment has been supported in the study work of </w:t>
      </w:r>
      <w:proofErr w:type="spellStart"/>
      <w:r w:rsidR="000C4DBF" w:rsidRPr="000A06AF">
        <w:rPr>
          <w:rFonts w:ascii="Times New Roman" w:hAnsi="Times New Roman" w:cs="Times New Roman"/>
          <w:bCs/>
          <w:sz w:val="24"/>
          <w:szCs w:val="24"/>
        </w:rPr>
        <w:t>Uket</w:t>
      </w:r>
      <w:proofErr w:type="spellEnd"/>
      <w:r w:rsidR="000C4DBF" w:rsidRPr="000A06AF">
        <w:rPr>
          <w:rFonts w:ascii="Times New Roman" w:hAnsi="Times New Roman" w:cs="Times New Roman"/>
          <w:bCs/>
          <w:sz w:val="24"/>
          <w:szCs w:val="24"/>
        </w:rPr>
        <w:t>.</w:t>
      </w:r>
      <w:r w:rsidR="000C4DBF" w:rsidRPr="000A06AF">
        <w:rPr>
          <w:rFonts w:ascii="Times New Roman" w:hAnsi="Times New Roman" w:cs="Times New Roman"/>
          <w:bCs/>
          <w:sz w:val="24"/>
          <w:szCs w:val="24"/>
          <w:vertAlign w:val="superscript"/>
        </w:rPr>
        <w:footnoteReference w:id="39"/>
      </w:r>
      <w:r w:rsidR="000C4DBF" w:rsidRPr="000A06AF">
        <w:rPr>
          <w:rFonts w:ascii="Times New Roman" w:hAnsi="Times New Roman" w:cs="Times New Roman"/>
          <w:bCs/>
          <w:sz w:val="24"/>
          <w:szCs w:val="24"/>
        </w:rPr>
        <w:t xml:space="preserve"> The use of alternative dispute resolution mechanisms which can impact effectively on projects by disposing off any kind of disputes are highly welcomed by the respondents.</w:t>
      </w:r>
      <w:r w:rsidR="000C4DBF">
        <w:rPr>
          <w:rFonts w:ascii="Times New Roman" w:hAnsi="Times New Roman" w:cs="Times New Roman"/>
          <w:bCs/>
          <w:sz w:val="24"/>
          <w:szCs w:val="24"/>
        </w:rPr>
        <w:t xml:space="preserve"> </w:t>
      </w:r>
      <w:r w:rsidR="000C4DBF" w:rsidRPr="000A06AF">
        <w:rPr>
          <w:rFonts w:ascii="Times New Roman" w:hAnsi="Times New Roman" w:cs="Times New Roman"/>
          <w:sz w:val="24"/>
          <w:szCs w:val="24"/>
        </w:rPr>
        <w:t xml:space="preserve">This finding is supported in the work of Okechukwu that judges are willing to make sure they deal with construction dispute cases as </w:t>
      </w:r>
      <w:r w:rsidR="000C4DBF" w:rsidRPr="000A06AF">
        <w:rPr>
          <w:rFonts w:ascii="Times New Roman" w:hAnsi="Times New Roman" w:cs="Times New Roman"/>
          <w:sz w:val="24"/>
          <w:szCs w:val="24"/>
        </w:rPr>
        <w:lastRenderedPageBreak/>
        <w:t>quickly as possible,    is an indication of willingness on the part of the judges who sit on construction cases to advise parties to transfer to ADR for quick dispensation of justice.</w:t>
      </w:r>
      <w:r w:rsidR="000C4DBF" w:rsidRPr="000A06AF">
        <w:rPr>
          <w:rFonts w:ascii="Times New Roman" w:hAnsi="Times New Roman" w:cs="Times New Roman"/>
          <w:sz w:val="24"/>
          <w:szCs w:val="24"/>
          <w:vertAlign w:val="superscript"/>
        </w:rPr>
        <w:footnoteReference w:id="40"/>
      </w:r>
    </w:p>
    <w:p w14:paraId="3ED2EE89" w14:textId="77777777" w:rsidR="002917D4" w:rsidRPr="000A06AF" w:rsidRDefault="002917D4" w:rsidP="002917D4">
      <w:pPr>
        <w:pStyle w:val="BodyA"/>
        <w:spacing w:after="0" w:line="240" w:lineRule="auto"/>
        <w:jc w:val="both"/>
        <w:rPr>
          <w:rFonts w:ascii="Times New Roman" w:hAnsi="Times New Roman" w:cs="Times New Roman"/>
          <w:sz w:val="24"/>
          <w:szCs w:val="24"/>
        </w:rPr>
      </w:pPr>
    </w:p>
    <w:p w14:paraId="521F5FD3" w14:textId="041388AD" w:rsidR="002917D4" w:rsidRDefault="000A06AF" w:rsidP="00C11112">
      <w:pPr>
        <w:pStyle w:val="BodyA"/>
        <w:spacing w:after="0" w:line="240" w:lineRule="auto"/>
        <w:jc w:val="both"/>
        <w:rPr>
          <w:rFonts w:ascii="Times New Roman" w:hAnsi="Times New Roman" w:cs="Times New Roman"/>
          <w:b/>
          <w:bCs/>
          <w:sz w:val="24"/>
          <w:szCs w:val="24"/>
          <w:lang w:val="fr-FR"/>
        </w:rPr>
      </w:pPr>
      <w:bookmarkStart w:id="4" w:name="_Toc441359626"/>
      <w:r w:rsidRPr="000A06AF">
        <w:rPr>
          <w:rFonts w:ascii="Times New Roman" w:hAnsi="Times New Roman" w:cs="Times New Roman"/>
          <w:sz w:val="24"/>
          <w:szCs w:val="24"/>
        </w:rPr>
        <w:t xml:space="preserve">Table </w:t>
      </w:r>
      <w:bookmarkEnd w:id="4"/>
      <w:r w:rsidR="002917D4">
        <w:rPr>
          <w:rFonts w:ascii="Times New Roman" w:hAnsi="Times New Roman" w:cs="Times New Roman"/>
          <w:sz w:val="24"/>
          <w:szCs w:val="24"/>
        </w:rPr>
        <w:t xml:space="preserve">2: </w:t>
      </w:r>
      <w:bookmarkStart w:id="5" w:name="_Toc441359727"/>
      <w:r w:rsidR="002917D4" w:rsidRPr="002917D4">
        <w:rPr>
          <w:rFonts w:ascii="Times New Roman" w:hAnsi="Times New Roman" w:cs="Times New Roman"/>
          <w:sz w:val="24"/>
          <w:szCs w:val="24"/>
          <w:lang w:val="fr-FR"/>
        </w:rPr>
        <w:t>Relevance of ADR in construction industry</w:t>
      </w:r>
      <w:bookmarkEnd w:id="5"/>
    </w:p>
    <w:tbl>
      <w:tblPr>
        <w:tblW w:w="813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2708"/>
        <w:gridCol w:w="2709"/>
        <w:gridCol w:w="2713"/>
      </w:tblGrid>
      <w:tr w:rsidR="000A06AF" w:rsidRPr="000A06AF" w14:paraId="3C4EDF23" w14:textId="77777777" w:rsidTr="002917D4">
        <w:trPr>
          <w:trHeight w:val="348"/>
          <w:jc w:val="center"/>
        </w:trPr>
        <w:tc>
          <w:tcPr>
            <w:tcW w:w="2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27C1EC3D"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Responses</w:t>
            </w:r>
          </w:p>
        </w:tc>
        <w:tc>
          <w:tcPr>
            <w:tcW w:w="2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5590962F"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Frequency</w:t>
            </w:r>
          </w:p>
        </w:tc>
        <w:tc>
          <w:tcPr>
            <w:tcW w:w="2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26DE617E" w14:textId="197AF01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 xml:space="preserve">Percentage </w:t>
            </w:r>
            <w:r w:rsidR="00C11112">
              <w:rPr>
                <w:rFonts w:ascii="Times New Roman" w:hAnsi="Times New Roman" w:cs="Times New Roman"/>
                <w:sz w:val="24"/>
                <w:szCs w:val="24"/>
              </w:rPr>
              <w:t>(%)</w:t>
            </w:r>
          </w:p>
        </w:tc>
      </w:tr>
      <w:tr w:rsidR="000A06AF" w:rsidRPr="000A06AF" w14:paraId="6F56686A" w14:textId="77777777" w:rsidTr="002917D4">
        <w:trPr>
          <w:trHeight w:val="348"/>
          <w:jc w:val="center"/>
        </w:trPr>
        <w:tc>
          <w:tcPr>
            <w:tcW w:w="2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8D31CAE"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 xml:space="preserve">Strongly agree </w:t>
            </w:r>
          </w:p>
        </w:tc>
        <w:tc>
          <w:tcPr>
            <w:tcW w:w="2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6000652"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185</w:t>
            </w:r>
          </w:p>
        </w:tc>
        <w:tc>
          <w:tcPr>
            <w:tcW w:w="2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9FF39BB"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60</w:t>
            </w:r>
          </w:p>
        </w:tc>
      </w:tr>
      <w:tr w:rsidR="000A06AF" w:rsidRPr="000A06AF" w14:paraId="703A37AE" w14:textId="77777777" w:rsidTr="002917D4">
        <w:trPr>
          <w:trHeight w:val="348"/>
          <w:jc w:val="center"/>
        </w:trPr>
        <w:tc>
          <w:tcPr>
            <w:tcW w:w="2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0F08E29"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Agree</w:t>
            </w:r>
          </w:p>
        </w:tc>
        <w:tc>
          <w:tcPr>
            <w:tcW w:w="2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078AAB37"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95</w:t>
            </w:r>
          </w:p>
        </w:tc>
        <w:tc>
          <w:tcPr>
            <w:tcW w:w="2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DD71B2B"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31</w:t>
            </w:r>
          </w:p>
        </w:tc>
      </w:tr>
      <w:tr w:rsidR="000A06AF" w:rsidRPr="000A06AF" w14:paraId="44C43709" w14:textId="77777777" w:rsidTr="002917D4">
        <w:trPr>
          <w:trHeight w:val="348"/>
          <w:jc w:val="center"/>
        </w:trPr>
        <w:tc>
          <w:tcPr>
            <w:tcW w:w="2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0477002E"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 xml:space="preserve">Disagree </w:t>
            </w:r>
          </w:p>
        </w:tc>
        <w:tc>
          <w:tcPr>
            <w:tcW w:w="2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44EA2D3"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17</w:t>
            </w:r>
          </w:p>
        </w:tc>
        <w:tc>
          <w:tcPr>
            <w:tcW w:w="2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7C968BF"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6</w:t>
            </w:r>
          </w:p>
        </w:tc>
      </w:tr>
      <w:tr w:rsidR="000A06AF" w:rsidRPr="000A06AF" w14:paraId="69997ADD" w14:textId="77777777" w:rsidTr="002917D4">
        <w:trPr>
          <w:trHeight w:val="348"/>
          <w:jc w:val="center"/>
        </w:trPr>
        <w:tc>
          <w:tcPr>
            <w:tcW w:w="2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6803155"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 xml:space="preserve">Strongly disagree </w:t>
            </w:r>
          </w:p>
        </w:tc>
        <w:tc>
          <w:tcPr>
            <w:tcW w:w="2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EF15448"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10</w:t>
            </w:r>
          </w:p>
        </w:tc>
        <w:tc>
          <w:tcPr>
            <w:tcW w:w="2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B3B3628"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3</w:t>
            </w:r>
          </w:p>
        </w:tc>
      </w:tr>
      <w:tr w:rsidR="000A06AF" w:rsidRPr="000A06AF" w14:paraId="0650A566" w14:textId="77777777" w:rsidTr="002917D4">
        <w:trPr>
          <w:trHeight w:val="348"/>
          <w:jc w:val="center"/>
        </w:trPr>
        <w:tc>
          <w:tcPr>
            <w:tcW w:w="27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400B646D"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 xml:space="preserve">Total </w:t>
            </w:r>
          </w:p>
        </w:tc>
        <w:tc>
          <w:tcPr>
            <w:tcW w:w="2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01871E8"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307</w:t>
            </w:r>
          </w:p>
        </w:tc>
        <w:tc>
          <w:tcPr>
            <w:tcW w:w="27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4D68FA0" w14:textId="77777777" w:rsidR="000A06AF" w:rsidRPr="000A06AF" w:rsidRDefault="000A06AF" w:rsidP="002917D4">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100</w:t>
            </w:r>
          </w:p>
        </w:tc>
      </w:tr>
    </w:tbl>
    <w:p w14:paraId="1DFC5CB3" w14:textId="77777777" w:rsidR="00693813" w:rsidRDefault="00693813" w:rsidP="000A06AF">
      <w:pPr>
        <w:pStyle w:val="BodyA"/>
        <w:jc w:val="both"/>
        <w:rPr>
          <w:rFonts w:ascii="Times New Roman" w:hAnsi="Times New Roman" w:cs="Times New Roman"/>
          <w:sz w:val="24"/>
          <w:szCs w:val="24"/>
        </w:rPr>
      </w:pPr>
      <w:bookmarkStart w:id="6" w:name="_Toc441359627"/>
    </w:p>
    <w:p w14:paraId="7B081B1D" w14:textId="31509FCD" w:rsidR="000A06AF" w:rsidRPr="000A06AF" w:rsidRDefault="00C11112" w:rsidP="00C11112">
      <w:pPr>
        <w:pStyle w:val="BodyA"/>
        <w:spacing w:after="0"/>
        <w:jc w:val="both"/>
        <w:rPr>
          <w:rFonts w:ascii="Times New Roman" w:hAnsi="Times New Roman" w:cs="Times New Roman"/>
          <w:sz w:val="24"/>
          <w:szCs w:val="24"/>
        </w:rPr>
      </w:pPr>
      <w:r>
        <w:rPr>
          <w:rFonts w:ascii="Times New Roman" w:hAnsi="Times New Roman" w:cs="Times New Roman"/>
          <w:sz w:val="24"/>
          <w:szCs w:val="24"/>
        </w:rPr>
        <w:t xml:space="preserve">Table 3: </w:t>
      </w:r>
      <w:r w:rsidR="000A06AF" w:rsidRPr="000A06AF">
        <w:rPr>
          <w:rFonts w:ascii="Times New Roman" w:hAnsi="Times New Roman" w:cs="Times New Roman"/>
          <w:sz w:val="24"/>
          <w:szCs w:val="24"/>
          <w:lang w:val="fr-FR"/>
        </w:rPr>
        <w:t>Respondents</w:t>
      </w:r>
      <w:r w:rsidR="000A06AF" w:rsidRPr="000A06AF">
        <w:rPr>
          <w:rFonts w:ascii="Times New Roman" w:hAnsi="Times New Roman" w:cs="Times New Roman"/>
          <w:sz w:val="24"/>
          <w:szCs w:val="24"/>
        </w:rPr>
        <w:t>’ views on how parties to construction dispute wish to get their dispute resolved without making a recourse to court</w:t>
      </w:r>
      <w:bookmarkEnd w:id="6"/>
    </w:p>
    <w:tbl>
      <w:tblPr>
        <w:tblW w:w="83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2982"/>
        <w:gridCol w:w="2982"/>
        <w:gridCol w:w="2346"/>
      </w:tblGrid>
      <w:tr w:rsidR="000A06AF" w:rsidRPr="000A06AF" w14:paraId="50B1A25E" w14:textId="77777777" w:rsidTr="00C11112">
        <w:trPr>
          <w:trHeight w:val="355"/>
          <w:jc w:val="center"/>
        </w:trPr>
        <w:tc>
          <w:tcPr>
            <w:tcW w:w="2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DE94E5F"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Response</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A707844"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Frequency</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07C2A146" w14:textId="2E8E6C64"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Percentage</w:t>
            </w:r>
            <w:r w:rsidR="00C11112">
              <w:rPr>
                <w:rFonts w:ascii="Times New Roman" w:hAnsi="Times New Roman" w:cs="Times New Roman"/>
                <w:sz w:val="24"/>
                <w:szCs w:val="24"/>
              </w:rPr>
              <w:t xml:space="preserve"> (%)</w:t>
            </w:r>
          </w:p>
        </w:tc>
      </w:tr>
      <w:tr w:rsidR="000A06AF" w:rsidRPr="000A06AF" w14:paraId="729A1247" w14:textId="77777777" w:rsidTr="00C11112">
        <w:trPr>
          <w:trHeight w:val="355"/>
          <w:jc w:val="center"/>
        </w:trPr>
        <w:tc>
          <w:tcPr>
            <w:tcW w:w="2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49AEC2DE"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 xml:space="preserve"> Through ADR process</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5076ACDE"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255</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3D2A1E7"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81</w:t>
            </w:r>
          </w:p>
        </w:tc>
      </w:tr>
      <w:tr w:rsidR="000A06AF" w:rsidRPr="000A06AF" w14:paraId="6FDD608E" w14:textId="77777777" w:rsidTr="00C11112">
        <w:trPr>
          <w:trHeight w:val="355"/>
          <w:jc w:val="center"/>
        </w:trPr>
        <w:tc>
          <w:tcPr>
            <w:tcW w:w="2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BBC1546"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Arbitration</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988CC10"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32</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30094D0B"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12</w:t>
            </w:r>
          </w:p>
        </w:tc>
      </w:tr>
      <w:tr w:rsidR="000A06AF" w:rsidRPr="000A06AF" w14:paraId="1E7E4FCA" w14:textId="77777777" w:rsidTr="00C11112">
        <w:trPr>
          <w:trHeight w:val="355"/>
          <w:jc w:val="center"/>
        </w:trPr>
        <w:tc>
          <w:tcPr>
            <w:tcW w:w="2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1ACE2551"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Litigation</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17A6678"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20</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FBA05D2"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7</w:t>
            </w:r>
          </w:p>
        </w:tc>
      </w:tr>
      <w:tr w:rsidR="000A06AF" w:rsidRPr="000A06AF" w14:paraId="59429DBC" w14:textId="77777777" w:rsidTr="00C11112">
        <w:trPr>
          <w:trHeight w:val="355"/>
          <w:jc w:val="center"/>
        </w:trPr>
        <w:tc>
          <w:tcPr>
            <w:tcW w:w="2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CA105D0"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Total</w:t>
            </w:r>
          </w:p>
        </w:tc>
        <w:tc>
          <w:tcPr>
            <w:tcW w:w="29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7868EFB9"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307</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hideMark/>
          </w:tcPr>
          <w:p w14:paraId="6CC19373"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100</w:t>
            </w:r>
          </w:p>
        </w:tc>
      </w:tr>
    </w:tbl>
    <w:p w14:paraId="6BAA11FB" w14:textId="77777777" w:rsidR="000A06AF" w:rsidRPr="000A06AF" w:rsidRDefault="000A06AF" w:rsidP="000A06AF">
      <w:pPr>
        <w:pStyle w:val="BodyA"/>
        <w:jc w:val="both"/>
        <w:rPr>
          <w:rFonts w:ascii="Times New Roman" w:hAnsi="Times New Roman" w:cs="Times New Roman"/>
          <w:sz w:val="24"/>
          <w:szCs w:val="24"/>
        </w:rPr>
      </w:pPr>
    </w:p>
    <w:p w14:paraId="41615B14" w14:textId="1035FC74" w:rsidR="000C4DBF" w:rsidRPr="000A06AF" w:rsidRDefault="000A06AF" w:rsidP="007E5ECB">
      <w:pPr>
        <w:pStyle w:val="BodyA"/>
        <w:spacing w:line="240" w:lineRule="auto"/>
        <w:jc w:val="both"/>
        <w:rPr>
          <w:rFonts w:ascii="Times New Roman" w:hAnsi="Times New Roman" w:cs="Times New Roman"/>
          <w:b/>
          <w:bCs/>
          <w:sz w:val="24"/>
          <w:szCs w:val="24"/>
        </w:rPr>
      </w:pPr>
      <w:r w:rsidRPr="000A06AF">
        <w:rPr>
          <w:rFonts w:ascii="Times New Roman" w:hAnsi="Times New Roman" w:cs="Times New Roman"/>
          <w:sz w:val="24"/>
          <w:szCs w:val="24"/>
        </w:rPr>
        <w:tab/>
        <w:t>Largely, all the respondents also welcome the idea of ADR process that gives quick dispensation of resolution to their disputes without losing their business relationships and defeating their target.</w:t>
      </w:r>
      <w:r w:rsidRPr="000A06AF">
        <w:rPr>
          <w:rFonts w:ascii="Times New Roman" w:hAnsi="Times New Roman" w:cs="Times New Roman"/>
          <w:sz w:val="24"/>
          <w:szCs w:val="24"/>
          <w:vertAlign w:val="superscript"/>
        </w:rPr>
        <w:footnoteReference w:id="41"/>
      </w:r>
      <w:r w:rsidRPr="000A06AF">
        <w:rPr>
          <w:rFonts w:ascii="Times New Roman" w:hAnsi="Times New Roman" w:cs="Times New Roman"/>
          <w:sz w:val="24"/>
          <w:szCs w:val="24"/>
        </w:rPr>
        <w:t xml:space="preserve"> Respondents are pleased to note that in recent years the courts have been keen to identify cases that are suitable for mediation. </w:t>
      </w:r>
      <w:r w:rsidR="000C4DBF">
        <w:rPr>
          <w:rFonts w:ascii="Times New Roman" w:hAnsi="Times New Roman" w:cs="Times New Roman"/>
          <w:sz w:val="24"/>
          <w:szCs w:val="24"/>
        </w:rPr>
        <w:t xml:space="preserve"> </w:t>
      </w:r>
      <w:bookmarkStart w:id="7" w:name="_Toc441359629"/>
      <w:r w:rsidRPr="000A06AF">
        <w:rPr>
          <w:rFonts w:ascii="Times New Roman" w:hAnsi="Times New Roman" w:cs="Times New Roman"/>
          <w:sz w:val="24"/>
          <w:szCs w:val="24"/>
        </w:rPr>
        <w:t xml:space="preserve">Table </w:t>
      </w:r>
      <w:r w:rsidRPr="000A06AF">
        <w:rPr>
          <w:rFonts w:ascii="Times New Roman" w:hAnsi="Times New Roman" w:cs="Times New Roman"/>
          <w:sz w:val="24"/>
          <w:szCs w:val="24"/>
        </w:rPr>
        <w:fldChar w:fldCharType="begin"/>
      </w:r>
      <w:r w:rsidRPr="000A06AF">
        <w:rPr>
          <w:rFonts w:ascii="Times New Roman" w:hAnsi="Times New Roman" w:cs="Times New Roman"/>
          <w:sz w:val="24"/>
          <w:szCs w:val="24"/>
        </w:rPr>
        <w:instrText xml:space="preserve"> STYLEREF 1 \s </w:instrText>
      </w:r>
      <w:r w:rsidRPr="000A06AF">
        <w:rPr>
          <w:rFonts w:ascii="Times New Roman" w:hAnsi="Times New Roman" w:cs="Times New Roman"/>
          <w:sz w:val="24"/>
          <w:szCs w:val="24"/>
        </w:rPr>
        <w:fldChar w:fldCharType="separate"/>
      </w:r>
      <w:r w:rsidRPr="000A06AF">
        <w:rPr>
          <w:rFonts w:ascii="Times New Roman" w:hAnsi="Times New Roman" w:cs="Times New Roman"/>
          <w:sz w:val="24"/>
          <w:szCs w:val="24"/>
          <w:cs/>
        </w:rPr>
        <w:t>‎</w:t>
      </w:r>
      <w:r w:rsidRPr="000A06AF">
        <w:rPr>
          <w:rFonts w:ascii="Times New Roman" w:hAnsi="Times New Roman" w:cs="Times New Roman"/>
          <w:sz w:val="24"/>
          <w:szCs w:val="24"/>
        </w:rPr>
        <w:t>4</w:t>
      </w:r>
      <w:r w:rsidRPr="000A06AF">
        <w:rPr>
          <w:rFonts w:ascii="Times New Roman" w:hAnsi="Times New Roman" w:cs="Times New Roman"/>
          <w:sz w:val="24"/>
          <w:szCs w:val="24"/>
        </w:rPr>
        <w:fldChar w:fldCharType="end"/>
      </w:r>
      <w:r w:rsidR="000C4DBF">
        <w:rPr>
          <w:rFonts w:ascii="Times New Roman" w:hAnsi="Times New Roman" w:cs="Times New Roman"/>
          <w:sz w:val="24"/>
          <w:szCs w:val="24"/>
        </w:rPr>
        <w:t xml:space="preserve"> presents r</w:t>
      </w:r>
      <w:r w:rsidRPr="000A06AF">
        <w:rPr>
          <w:rFonts w:ascii="Times New Roman" w:hAnsi="Times New Roman" w:cs="Times New Roman"/>
          <w:sz w:val="24"/>
          <w:szCs w:val="24"/>
        </w:rPr>
        <w:t xml:space="preserve">espondents’ views on the need for the Nigerian government to </w:t>
      </w:r>
      <w:r w:rsidR="000C4DBF" w:rsidRPr="000A06AF">
        <w:rPr>
          <w:rFonts w:ascii="Times New Roman" w:hAnsi="Times New Roman" w:cs="Times New Roman"/>
          <w:sz w:val="24"/>
          <w:szCs w:val="24"/>
        </w:rPr>
        <w:t>learn from</w:t>
      </w:r>
      <w:r w:rsidRPr="000A06AF">
        <w:rPr>
          <w:rFonts w:ascii="Times New Roman" w:hAnsi="Times New Roman" w:cs="Times New Roman"/>
          <w:sz w:val="24"/>
          <w:szCs w:val="24"/>
        </w:rPr>
        <w:t xml:space="preserve"> the ADR processes used in other commonwealth countries like Malaysia and UK</w:t>
      </w:r>
      <w:bookmarkEnd w:id="7"/>
      <w:r w:rsidR="000C4DBF">
        <w:rPr>
          <w:rFonts w:ascii="Times New Roman" w:hAnsi="Times New Roman" w:cs="Times New Roman"/>
          <w:sz w:val="24"/>
          <w:szCs w:val="24"/>
        </w:rPr>
        <w:t xml:space="preserve">. </w:t>
      </w:r>
      <w:r w:rsidR="000C4DBF" w:rsidRPr="000A06AF">
        <w:rPr>
          <w:rFonts w:ascii="Times New Roman" w:hAnsi="Times New Roman" w:cs="Times New Roman"/>
          <w:sz w:val="24"/>
          <w:szCs w:val="24"/>
        </w:rPr>
        <w:t xml:space="preserve">The </w:t>
      </w:r>
      <w:r w:rsidR="007E5ECB">
        <w:rPr>
          <w:rFonts w:ascii="Times New Roman" w:hAnsi="Times New Roman" w:cs="Times New Roman"/>
          <w:sz w:val="24"/>
          <w:szCs w:val="24"/>
        </w:rPr>
        <w:t>findings reflect</w:t>
      </w:r>
      <w:r w:rsidR="000C4DBF" w:rsidRPr="000A06AF">
        <w:rPr>
          <w:rFonts w:ascii="Times New Roman" w:hAnsi="Times New Roman" w:cs="Times New Roman"/>
          <w:sz w:val="24"/>
          <w:szCs w:val="24"/>
        </w:rPr>
        <w:t xml:space="preserve"> respondents’ views on the need for Nigeria to learn from other commonwe</w:t>
      </w:r>
      <w:r w:rsidR="007E5ECB">
        <w:rPr>
          <w:rFonts w:ascii="Times New Roman" w:hAnsi="Times New Roman" w:cs="Times New Roman"/>
          <w:sz w:val="24"/>
          <w:szCs w:val="24"/>
        </w:rPr>
        <w:t>alth countries such as Malaysia</w:t>
      </w:r>
      <w:r w:rsidR="000C4DBF" w:rsidRPr="000A06AF">
        <w:rPr>
          <w:rFonts w:ascii="Times New Roman" w:hAnsi="Times New Roman" w:cs="Times New Roman"/>
          <w:sz w:val="24"/>
          <w:szCs w:val="24"/>
        </w:rPr>
        <w:t xml:space="preserve"> in order to place the industry on equal </w:t>
      </w:r>
      <w:r w:rsidR="000C4DBF" w:rsidRPr="000A06AF">
        <w:rPr>
          <w:rFonts w:ascii="Times New Roman" w:hAnsi="Times New Roman" w:cs="Times New Roman"/>
          <w:sz w:val="24"/>
          <w:szCs w:val="24"/>
        </w:rPr>
        <w:lastRenderedPageBreak/>
        <w:t>footing with the internal best practices for construction dispute resolution. This work has a support from Abolore, Akpan and Windapo.</w:t>
      </w:r>
      <w:r w:rsidR="000C4DBF" w:rsidRPr="000A06AF">
        <w:rPr>
          <w:rFonts w:ascii="Times New Roman" w:hAnsi="Times New Roman" w:cs="Times New Roman"/>
          <w:sz w:val="24"/>
          <w:szCs w:val="24"/>
          <w:vertAlign w:val="superscript"/>
        </w:rPr>
        <w:footnoteReference w:id="42"/>
      </w:r>
    </w:p>
    <w:p w14:paraId="797680DE" w14:textId="7CE59A42" w:rsidR="000A06AF" w:rsidRDefault="000A06AF" w:rsidP="000C4DBF">
      <w:pPr>
        <w:pStyle w:val="BodyA"/>
        <w:spacing w:line="240" w:lineRule="auto"/>
        <w:jc w:val="both"/>
        <w:rPr>
          <w:rFonts w:ascii="Times New Roman" w:hAnsi="Times New Roman" w:cs="Times New Roman"/>
          <w:sz w:val="24"/>
          <w:szCs w:val="24"/>
        </w:rPr>
      </w:pPr>
    </w:p>
    <w:p w14:paraId="02229A81" w14:textId="77777777" w:rsidR="007E5ECB" w:rsidRPr="000A06AF" w:rsidRDefault="007E5ECB" w:rsidP="000C4DBF">
      <w:pPr>
        <w:pStyle w:val="BodyA"/>
        <w:spacing w:line="240" w:lineRule="auto"/>
        <w:jc w:val="both"/>
        <w:rPr>
          <w:rFonts w:ascii="Times New Roman" w:hAnsi="Times New Roman" w:cs="Times New Roman"/>
          <w:sz w:val="24"/>
          <w:szCs w:val="24"/>
        </w:rPr>
      </w:pPr>
    </w:p>
    <w:p w14:paraId="523AAC80" w14:textId="4C0DBC68" w:rsidR="000A06AF" w:rsidRPr="000A06AF" w:rsidRDefault="000C4DBF" w:rsidP="000A06AF">
      <w:pPr>
        <w:pStyle w:val="BodyA"/>
        <w:jc w:val="both"/>
        <w:rPr>
          <w:rFonts w:ascii="Times New Roman" w:hAnsi="Times New Roman" w:cs="Times New Roman"/>
          <w:sz w:val="24"/>
          <w:szCs w:val="24"/>
        </w:rPr>
      </w:pPr>
      <w:r>
        <w:rPr>
          <w:rFonts w:ascii="Times New Roman" w:hAnsi="Times New Roman" w:cs="Times New Roman"/>
          <w:sz w:val="24"/>
          <w:szCs w:val="24"/>
        </w:rPr>
        <w:t xml:space="preserve">Table 4: Respondents opinion on </w:t>
      </w:r>
      <w:r w:rsidRPr="000A06AF">
        <w:rPr>
          <w:rFonts w:ascii="Times New Roman" w:hAnsi="Times New Roman" w:cs="Times New Roman"/>
          <w:sz w:val="24"/>
          <w:szCs w:val="24"/>
        </w:rPr>
        <w:t>Nigerian government to learn from the ADR processes used in other commonwealth countries like Malaysia and UK</w:t>
      </w:r>
      <w:r>
        <w:rPr>
          <w:rFonts w:ascii="Times New Roman" w:hAnsi="Times New Roman" w:cs="Times New Roman"/>
          <w:sz w:val="24"/>
          <w:szCs w:val="24"/>
        </w:rPr>
        <w:t>.</w:t>
      </w:r>
    </w:p>
    <w:tbl>
      <w:tblPr>
        <w:tblStyle w:val="TableGrid"/>
        <w:tblW w:w="8280" w:type="dxa"/>
        <w:jc w:val="center"/>
        <w:tblLayout w:type="fixed"/>
        <w:tblLook w:val="04A0" w:firstRow="1" w:lastRow="0" w:firstColumn="1" w:lastColumn="0" w:noHBand="0" w:noVBand="1"/>
      </w:tblPr>
      <w:tblGrid>
        <w:gridCol w:w="2760"/>
        <w:gridCol w:w="2760"/>
        <w:gridCol w:w="2760"/>
      </w:tblGrid>
      <w:tr w:rsidR="000A06AF" w:rsidRPr="000A06AF" w14:paraId="7C29F027" w14:textId="77777777" w:rsidTr="000C4DBF">
        <w:trPr>
          <w:trHeight w:val="329"/>
          <w:jc w:val="center"/>
        </w:trPr>
        <w:tc>
          <w:tcPr>
            <w:tcW w:w="2760" w:type="dxa"/>
            <w:hideMark/>
          </w:tcPr>
          <w:p w14:paraId="2FF87B0D"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Response</w:t>
            </w:r>
          </w:p>
        </w:tc>
        <w:tc>
          <w:tcPr>
            <w:tcW w:w="2760" w:type="dxa"/>
            <w:hideMark/>
          </w:tcPr>
          <w:p w14:paraId="6A955F50"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Frequency</w:t>
            </w:r>
          </w:p>
        </w:tc>
        <w:tc>
          <w:tcPr>
            <w:tcW w:w="2760" w:type="dxa"/>
            <w:hideMark/>
          </w:tcPr>
          <w:p w14:paraId="7F7665BD"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Percentage</w:t>
            </w:r>
          </w:p>
        </w:tc>
      </w:tr>
      <w:tr w:rsidR="000A06AF" w:rsidRPr="000A06AF" w14:paraId="275B68D7" w14:textId="77777777" w:rsidTr="000C4DBF">
        <w:trPr>
          <w:trHeight w:val="329"/>
          <w:jc w:val="center"/>
        </w:trPr>
        <w:tc>
          <w:tcPr>
            <w:tcW w:w="2760" w:type="dxa"/>
            <w:hideMark/>
          </w:tcPr>
          <w:p w14:paraId="6FEF08F8"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Strongly Agree</w:t>
            </w:r>
          </w:p>
        </w:tc>
        <w:tc>
          <w:tcPr>
            <w:tcW w:w="2760" w:type="dxa"/>
            <w:hideMark/>
          </w:tcPr>
          <w:p w14:paraId="4037F539"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207</w:t>
            </w:r>
          </w:p>
        </w:tc>
        <w:tc>
          <w:tcPr>
            <w:tcW w:w="2760" w:type="dxa"/>
            <w:hideMark/>
          </w:tcPr>
          <w:p w14:paraId="3DC77189"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69</w:t>
            </w:r>
          </w:p>
        </w:tc>
      </w:tr>
      <w:tr w:rsidR="000A06AF" w:rsidRPr="000A06AF" w14:paraId="4E9998A5" w14:textId="77777777" w:rsidTr="000C4DBF">
        <w:trPr>
          <w:trHeight w:val="329"/>
          <w:jc w:val="center"/>
        </w:trPr>
        <w:tc>
          <w:tcPr>
            <w:tcW w:w="2760" w:type="dxa"/>
            <w:hideMark/>
          </w:tcPr>
          <w:p w14:paraId="78D1D24C"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Agree</w:t>
            </w:r>
          </w:p>
        </w:tc>
        <w:tc>
          <w:tcPr>
            <w:tcW w:w="2760" w:type="dxa"/>
            <w:hideMark/>
          </w:tcPr>
          <w:p w14:paraId="247DB7C7"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77</w:t>
            </w:r>
          </w:p>
        </w:tc>
        <w:tc>
          <w:tcPr>
            <w:tcW w:w="2760" w:type="dxa"/>
            <w:hideMark/>
          </w:tcPr>
          <w:p w14:paraId="0600250A"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26</w:t>
            </w:r>
          </w:p>
        </w:tc>
      </w:tr>
      <w:tr w:rsidR="000A06AF" w:rsidRPr="000A06AF" w14:paraId="5829D61A" w14:textId="77777777" w:rsidTr="000C4DBF">
        <w:trPr>
          <w:trHeight w:val="329"/>
          <w:jc w:val="center"/>
        </w:trPr>
        <w:tc>
          <w:tcPr>
            <w:tcW w:w="2760" w:type="dxa"/>
            <w:hideMark/>
          </w:tcPr>
          <w:p w14:paraId="7581CBA1"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Disagree</w:t>
            </w:r>
          </w:p>
        </w:tc>
        <w:tc>
          <w:tcPr>
            <w:tcW w:w="2760" w:type="dxa"/>
            <w:hideMark/>
          </w:tcPr>
          <w:p w14:paraId="0F6DC997"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15</w:t>
            </w:r>
          </w:p>
        </w:tc>
        <w:tc>
          <w:tcPr>
            <w:tcW w:w="2760" w:type="dxa"/>
            <w:hideMark/>
          </w:tcPr>
          <w:p w14:paraId="01DB6121"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5</w:t>
            </w:r>
          </w:p>
        </w:tc>
      </w:tr>
      <w:tr w:rsidR="000A06AF" w:rsidRPr="000A06AF" w14:paraId="41D7EC0A" w14:textId="77777777" w:rsidTr="000C4DBF">
        <w:trPr>
          <w:trHeight w:val="329"/>
          <w:jc w:val="center"/>
        </w:trPr>
        <w:tc>
          <w:tcPr>
            <w:tcW w:w="2760" w:type="dxa"/>
            <w:hideMark/>
          </w:tcPr>
          <w:p w14:paraId="2CEF0FDC"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Total</w:t>
            </w:r>
          </w:p>
        </w:tc>
        <w:tc>
          <w:tcPr>
            <w:tcW w:w="2760" w:type="dxa"/>
            <w:hideMark/>
          </w:tcPr>
          <w:p w14:paraId="6A4042A9"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307</w:t>
            </w:r>
          </w:p>
        </w:tc>
        <w:tc>
          <w:tcPr>
            <w:tcW w:w="2760" w:type="dxa"/>
            <w:hideMark/>
          </w:tcPr>
          <w:p w14:paraId="3E4A4222" w14:textId="77777777" w:rsidR="000A06AF" w:rsidRPr="000A06AF" w:rsidRDefault="000A06AF" w:rsidP="00693813">
            <w:pPr>
              <w:pStyle w:val="BodyA"/>
              <w:spacing w:after="0" w:line="240" w:lineRule="auto"/>
              <w:jc w:val="both"/>
              <w:rPr>
                <w:rFonts w:ascii="Times New Roman" w:hAnsi="Times New Roman" w:cs="Times New Roman"/>
                <w:sz w:val="24"/>
                <w:szCs w:val="24"/>
              </w:rPr>
            </w:pPr>
            <w:r w:rsidRPr="000A06AF">
              <w:rPr>
                <w:rFonts w:ascii="Times New Roman" w:hAnsi="Times New Roman" w:cs="Times New Roman"/>
                <w:sz w:val="24"/>
                <w:szCs w:val="24"/>
              </w:rPr>
              <w:t>100</w:t>
            </w:r>
          </w:p>
        </w:tc>
      </w:tr>
    </w:tbl>
    <w:p w14:paraId="138725BC" w14:textId="77777777" w:rsidR="000A06AF" w:rsidRPr="000A06AF" w:rsidRDefault="000A06AF" w:rsidP="000A06AF">
      <w:pPr>
        <w:pStyle w:val="BodyA"/>
        <w:jc w:val="both"/>
        <w:rPr>
          <w:rFonts w:ascii="Times New Roman" w:hAnsi="Times New Roman" w:cs="Times New Roman"/>
          <w:b/>
          <w:bCs/>
          <w:sz w:val="24"/>
          <w:szCs w:val="24"/>
        </w:rPr>
      </w:pPr>
    </w:p>
    <w:p w14:paraId="40FFE04A" w14:textId="55AB1239" w:rsidR="00E10BBA" w:rsidRPr="00693813" w:rsidRDefault="00E10BBA" w:rsidP="00E10BBA">
      <w:pPr>
        <w:pStyle w:val="BodyA"/>
        <w:spacing w:after="0" w:line="240" w:lineRule="auto"/>
        <w:jc w:val="both"/>
        <w:rPr>
          <w:rStyle w:val="None"/>
          <w:rFonts w:ascii="Times New Roman" w:hAnsi="Times New Roman"/>
          <w:b/>
          <w:bCs/>
          <w:sz w:val="24"/>
          <w:szCs w:val="24"/>
        </w:rPr>
      </w:pPr>
      <w:r w:rsidRPr="00693813">
        <w:rPr>
          <w:rStyle w:val="None"/>
          <w:rFonts w:ascii="Times New Roman" w:hAnsi="Times New Roman"/>
          <w:b/>
          <w:bCs/>
          <w:sz w:val="24"/>
          <w:szCs w:val="24"/>
        </w:rPr>
        <w:t xml:space="preserve">Conclusions      </w:t>
      </w:r>
    </w:p>
    <w:p w14:paraId="346EDABB" w14:textId="200FABF9" w:rsidR="00693813" w:rsidRPr="00693813" w:rsidRDefault="00693813" w:rsidP="007E5ECB">
      <w:pPr>
        <w:pStyle w:val="BodyA"/>
        <w:spacing w:line="240" w:lineRule="auto"/>
        <w:jc w:val="both"/>
        <w:rPr>
          <w:rFonts w:ascii="Times New Roman" w:hAnsi="Times New Roman" w:cs="Times New Roman"/>
          <w:sz w:val="24"/>
          <w:szCs w:val="24"/>
        </w:rPr>
      </w:pPr>
      <w:r w:rsidRPr="00693813">
        <w:rPr>
          <w:rFonts w:ascii="Times New Roman" w:hAnsi="Times New Roman" w:cs="Times New Roman"/>
          <w:sz w:val="24"/>
          <w:szCs w:val="24"/>
        </w:rPr>
        <w:t xml:space="preserve">In the light of the </w:t>
      </w:r>
      <w:r w:rsidR="007E5ECB">
        <w:rPr>
          <w:rFonts w:ascii="Times New Roman" w:hAnsi="Times New Roman" w:cs="Times New Roman"/>
          <w:sz w:val="24"/>
          <w:szCs w:val="24"/>
        </w:rPr>
        <w:t xml:space="preserve">findings presented in this study is revealed </w:t>
      </w:r>
      <w:r w:rsidRPr="00693813">
        <w:rPr>
          <w:rFonts w:ascii="Times New Roman" w:hAnsi="Times New Roman" w:cs="Times New Roman"/>
          <w:sz w:val="24"/>
          <w:szCs w:val="24"/>
        </w:rPr>
        <w:t>that</w:t>
      </w:r>
      <w:r w:rsidR="007E5ECB">
        <w:rPr>
          <w:rFonts w:ascii="Times New Roman" w:hAnsi="Times New Roman" w:cs="Times New Roman"/>
          <w:sz w:val="24"/>
          <w:szCs w:val="24"/>
        </w:rPr>
        <w:t>,</w:t>
      </w:r>
      <w:r w:rsidRPr="00693813">
        <w:rPr>
          <w:rFonts w:ascii="Times New Roman" w:hAnsi="Times New Roman" w:cs="Times New Roman"/>
          <w:sz w:val="24"/>
          <w:szCs w:val="24"/>
        </w:rPr>
        <w:t xml:space="preserve"> ADR processes used for construction dispute resolution have not been optimally explored for there to be effective and adequate dispute resolution mechanism in Nigeria. Among the ADR </w:t>
      </w:r>
      <w:r w:rsidR="007E5ECB" w:rsidRPr="00693813">
        <w:rPr>
          <w:rFonts w:ascii="Times New Roman" w:hAnsi="Times New Roman" w:cs="Times New Roman"/>
          <w:sz w:val="24"/>
          <w:szCs w:val="24"/>
        </w:rPr>
        <w:t>Centers</w:t>
      </w:r>
      <w:r w:rsidRPr="00693813">
        <w:rPr>
          <w:rFonts w:ascii="Times New Roman" w:hAnsi="Times New Roman" w:cs="Times New Roman"/>
          <w:sz w:val="24"/>
          <w:szCs w:val="24"/>
        </w:rPr>
        <w:t xml:space="preserve"> established by the government to relieve courts of cases that require urgent attention, only Regional Centre for international commercial arbitration in Lagos is more functional which is the reason that gave birth to Multi-Door courthouse. While others have been dormant because of inadequate awareness of their existence and purpose to the public. Hence there is a need on the part of these Centres to create enlightenment to the public at large telling them what they stand to gain. On this note, it is pertinent to know that the ADR Centre in Ilorin (a city in the North-Central) is breaking through, on land matters. There is a need for this branch to make known to the stakeholders in the construction industry about the ADR processes available for them and what they stand to gain.</w:t>
      </w:r>
      <w:r w:rsidRPr="00693813">
        <w:rPr>
          <w:rFonts w:ascii="Times New Roman" w:hAnsi="Times New Roman" w:cs="Times New Roman"/>
          <w:sz w:val="24"/>
          <w:szCs w:val="24"/>
          <w:vertAlign w:val="superscript"/>
        </w:rPr>
        <w:footnoteReference w:id="43"/>
      </w:r>
    </w:p>
    <w:p w14:paraId="32242A16" w14:textId="639F32F8" w:rsidR="00693813" w:rsidRPr="00693813" w:rsidRDefault="00693813" w:rsidP="007E5ECB">
      <w:pPr>
        <w:pStyle w:val="BodyA"/>
        <w:spacing w:line="240" w:lineRule="auto"/>
        <w:jc w:val="both"/>
        <w:rPr>
          <w:rFonts w:ascii="Times New Roman" w:hAnsi="Times New Roman" w:cs="Times New Roman"/>
          <w:sz w:val="24"/>
          <w:szCs w:val="24"/>
        </w:rPr>
      </w:pPr>
      <w:r w:rsidRPr="00693813">
        <w:rPr>
          <w:rFonts w:ascii="Times New Roman" w:hAnsi="Times New Roman" w:cs="Times New Roman"/>
          <w:sz w:val="24"/>
          <w:szCs w:val="24"/>
        </w:rPr>
        <w:t xml:space="preserve">Furthermore, the result of this findings reflected that rating litigation and arbitration for construction dispute resolution is poor hence the need for overhauling of the existing legal framework for construction dispute resolution in Nigeria. Processes such as Statutory Adjudication, Dispute Review Board and Expert Determination need to be introduced to supplement the existing ones. Statutory Adjudication Act needs to be considered by the legislative arm of government to cater for prompt payment in the industry. </w:t>
      </w:r>
      <w:r w:rsidR="007E5ECB">
        <w:rPr>
          <w:rFonts w:ascii="Times New Roman" w:hAnsi="Times New Roman" w:cs="Times New Roman"/>
          <w:sz w:val="24"/>
          <w:szCs w:val="24"/>
        </w:rPr>
        <w:t xml:space="preserve"> </w:t>
      </w:r>
      <w:r w:rsidRPr="00693813">
        <w:rPr>
          <w:rFonts w:ascii="Times New Roman" w:hAnsi="Times New Roman" w:cs="Times New Roman"/>
          <w:sz w:val="24"/>
          <w:szCs w:val="24"/>
          <w:lang w:val="fr-FR"/>
        </w:rPr>
        <w:t>ADR Centres</w:t>
      </w:r>
      <w:r w:rsidRPr="00693813">
        <w:rPr>
          <w:rFonts w:ascii="Times New Roman" w:hAnsi="Times New Roman" w:cs="Times New Roman"/>
          <w:sz w:val="24"/>
          <w:szCs w:val="24"/>
        </w:rPr>
        <w:t xml:space="preserve"> must be ready to give administrative support for the conduct of adjudication under this act. Lawyers and other stakeholders must be trained as adjudicators for them to act in this capacity. There is a need for </w:t>
      </w:r>
      <w:r w:rsidRPr="00693813">
        <w:rPr>
          <w:rFonts w:ascii="Times New Roman" w:hAnsi="Times New Roman" w:cs="Times New Roman"/>
          <w:sz w:val="24"/>
          <w:szCs w:val="24"/>
        </w:rPr>
        <w:lastRenderedPageBreak/>
        <w:t xml:space="preserve">use of the expert determination process as provided for in the ADR Provision in Nigeria. Establishment of construction court is highly desirable to facilitate prompt dispensation of justice and give final verdicts on construction disputes. </w:t>
      </w:r>
      <w:r w:rsidR="007E5ECB">
        <w:rPr>
          <w:rFonts w:ascii="Times New Roman" w:hAnsi="Times New Roman" w:cs="Times New Roman"/>
          <w:sz w:val="24"/>
          <w:szCs w:val="24"/>
        </w:rPr>
        <w:t xml:space="preserve"> </w:t>
      </w:r>
      <w:r w:rsidRPr="00693813">
        <w:rPr>
          <w:rFonts w:ascii="Times New Roman" w:hAnsi="Times New Roman" w:cs="Times New Roman"/>
          <w:sz w:val="24"/>
          <w:szCs w:val="24"/>
        </w:rPr>
        <w:t xml:space="preserve"> </w:t>
      </w:r>
    </w:p>
    <w:p w14:paraId="0B5D3DE3" w14:textId="77777777" w:rsidR="00E10BBA" w:rsidRDefault="00E10BBA" w:rsidP="00BD762B">
      <w:pPr>
        <w:pStyle w:val="BodyA"/>
        <w:spacing w:after="0" w:line="240" w:lineRule="auto"/>
        <w:jc w:val="both"/>
      </w:pPr>
    </w:p>
    <w:sectPr w:rsidR="00E10BBA">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92E1FC" w14:textId="77777777" w:rsidR="00D41810" w:rsidRDefault="00D41810">
      <w:r>
        <w:separator/>
      </w:r>
    </w:p>
  </w:endnote>
  <w:endnote w:type="continuationSeparator" w:id="0">
    <w:p w14:paraId="14F4FF67" w14:textId="77777777" w:rsidR="00D41810" w:rsidRDefault="00D41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Microsoft JhengHei Light">
    <w:panose1 w:val="020B0304030504040204"/>
    <w:charset w:val="80"/>
    <w:family w:val="swiss"/>
    <w:pitch w:val="variable"/>
    <w:sig w:usb0="A0000AEF" w:usb1="29CFFCFB" w:usb2="00000016" w:usb3="00000000" w:csb0="003E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DBDC9" w14:textId="77777777" w:rsidR="00B27DCA" w:rsidRDefault="00B27DC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B81530" w14:textId="77777777" w:rsidR="00D41810" w:rsidRDefault="00D41810">
      <w:r>
        <w:separator/>
      </w:r>
    </w:p>
  </w:footnote>
  <w:footnote w:type="continuationSeparator" w:id="0">
    <w:p w14:paraId="4B363B09" w14:textId="77777777" w:rsidR="00D41810" w:rsidRDefault="00D41810">
      <w:r>
        <w:continuationSeparator/>
      </w:r>
    </w:p>
  </w:footnote>
  <w:footnote w:id="1">
    <w:p w14:paraId="30EA340F" w14:textId="42A723DE" w:rsidR="002022E9" w:rsidRPr="002022E9" w:rsidRDefault="002022E9">
      <w:pPr>
        <w:pStyle w:val="FootnoteText"/>
        <w:rPr>
          <w:rFonts w:ascii="Times New Roman" w:hAnsi="Times New Roman"/>
          <w:lang w:val="en-US"/>
        </w:rPr>
      </w:pPr>
      <w:r w:rsidRPr="002022E9">
        <w:rPr>
          <w:rStyle w:val="FootnoteReference"/>
          <w:rFonts w:ascii="Times New Roman" w:hAnsi="Times New Roman"/>
        </w:rPr>
        <w:footnoteRef/>
      </w:r>
      <w:bookmarkStart w:id="0" w:name="_GoBack"/>
      <w:bookmarkEnd w:id="0"/>
      <w:r w:rsidRPr="002022E9">
        <w:rPr>
          <w:rFonts w:ascii="Times New Roman" w:hAnsi="Times New Roman"/>
        </w:rPr>
        <w:t>Barakat A. Raji, Department of  Jurisprudence and International Law, Unilorin, Nigeria and Professor Ashgar Ali Bin Ali Muhamed, Department of Civil Law, Ahmad Ibrahim Kulliyyah of Laws, International Islamic University Malaysia.</w:t>
      </w:r>
    </w:p>
  </w:footnote>
  <w:footnote w:id="2">
    <w:p w14:paraId="334C5285"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Adekoya, F. &amp;Olowu, A.T, “Question and answers guide to dispute resolution in Nigeria” </w:t>
      </w:r>
      <w:r w:rsidRPr="004426DB">
        <w:rPr>
          <w:rStyle w:val="Hyperlink0"/>
          <w:rFonts w:eastAsia="Calibri"/>
          <w:sz w:val="20"/>
          <w:szCs w:val="20"/>
        </w:rPr>
        <w:t>Nigeria Business Guide/ Newsfeed, Practical Law Publishing Ltd. (2009).</w:t>
      </w:r>
    </w:p>
  </w:footnote>
  <w:footnote w:id="3">
    <w:p w14:paraId="120697C7" w14:textId="6B231F6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Kehinde A, “ADR and the relationship with court processes”, A Conference Pap</w:t>
      </w:r>
      <w:r w:rsidR="00FF173F" w:rsidRPr="004426DB">
        <w:rPr>
          <w:rStyle w:val="Hyperlink1"/>
          <w:rFonts w:ascii="Times New Roman" w:hAnsi="Times New Roman"/>
          <w:sz w:val="20"/>
          <w:szCs w:val="20"/>
        </w:rPr>
        <w:t>er  Present at the Nige</w:t>
      </w:r>
      <w:r w:rsidRPr="004426DB">
        <w:rPr>
          <w:rStyle w:val="Hyperlink1"/>
          <w:rFonts w:ascii="Times New Roman" w:hAnsi="Times New Roman"/>
          <w:sz w:val="20"/>
          <w:szCs w:val="20"/>
        </w:rPr>
        <w:t>rian Bar Association Annual General /Delegate Conference, Abuja, 2004 as cited by Ayinla L.A in his thesis (PhD Degree, IIUM, 2011).</w:t>
      </w:r>
    </w:p>
  </w:footnote>
  <w:footnote w:id="4">
    <w:p w14:paraId="21F97081" w14:textId="72C38220" w:rsidR="00E10BBA" w:rsidRPr="004426DB" w:rsidRDefault="00E10BBA" w:rsidP="00E10BBA">
      <w:pPr>
        <w:pStyle w:val="FootnoteText"/>
        <w:jc w:val="both"/>
        <w:rPr>
          <w:rFonts w:ascii="Times New Roman" w:hAnsi="Times New Roman"/>
        </w:rPr>
      </w:pPr>
      <w:r w:rsidRPr="004426DB">
        <w:rPr>
          <w:rStyle w:val="FootnoteReference"/>
          <w:rFonts w:ascii="Times New Roman" w:hAnsi="Times New Roman"/>
        </w:rPr>
        <w:footnoteRef/>
      </w:r>
      <w:r w:rsidRPr="004426DB">
        <w:rPr>
          <w:rFonts w:ascii="Times New Roman" w:hAnsi="Times New Roman"/>
        </w:rPr>
        <w:t xml:space="preserve"> UMUNADI, Ejiwoke Kennedy, </w:t>
      </w:r>
      <w:r w:rsidRPr="004426DB">
        <w:rPr>
          <w:rFonts w:ascii="Times New Roman" w:hAnsi="Times New Roman"/>
          <w:iCs/>
        </w:rPr>
        <w:t>“The Efficacy of Mediation and Negotiation Methods for Dispute Resolution in Delta State</w:t>
      </w:r>
      <w:r w:rsidR="00FF173F" w:rsidRPr="004426DB">
        <w:rPr>
          <w:rFonts w:ascii="Times New Roman" w:hAnsi="Times New Roman"/>
          <w:iCs/>
        </w:rPr>
        <w:t>,</w:t>
      </w:r>
      <w:r w:rsidRPr="004426DB">
        <w:rPr>
          <w:rFonts w:ascii="Times New Roman" w:hAnsi="Times New Roman"/>
          <w:iCs/>
        </w:rPr>
        <w:t>”</w:t>
      </w:r>
      <w:r w:rsidR="00FF173F" w:rsidRPr="004426DB">
        <w:rPr>
          <w:rFonts w:ascii="Times New Roman" w:hAnsi="Times New Roman"/>
          <w:iCs/>
        </w:rPr>
        <w:t xml:space="preserve"> </w:t>
      </w:r>
      <w:r w:rsidRPr="004426DB">
        <w:rPr>
          <w:rFonts w:ascii="Times New Roman" w:hAnsi="Times New Roman"/>
          <w:i/>
          <w:iCs/>
        </w:rPr>
        <w:t>Sacha Journal of Policy and Strategic Studies</w:t>
      </w:r>
      <w:r w:rsidRPr="004426DB">
        <w:rPr>
          <w:rFonts w:ascii="Times New Roman" w:hAnsi="Times New Roman"/>
        </w:rPr>
        <w:t>, vol. 1, no.2, (2011), 64-73.</w:t>
      </w:r>
    </w:p>
  </w:footnote>
  <w:footnote w:id="5">
    <w:p w14:paraId="795DDC14" w14:textId="7ECFA32A" w:rsidR="00E10BBA" w:rsidRPr="004426DB" w:rsidRDefault="00E10BBA" w:rsidP="00E10BBA">
      <w:pPr>
        <w:pStyle w:val="FootnoteText"/>
        <w:jc w:val="both"/>
        <w:rPr>
          <w:rFonts w:ascii="Times New Roman" w:hAnsi="Times New Roman"/>
          <w:i/>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Azikiwe, H.U, et al., “The European, Middle Eastern and African arbitration” </w:t>
      </w:r>
      <w:r w:rsidRPr="004426DB">
        <w:rPr>
          <w:rStyle w:val="Hyperlink0"/>
          <w:rFonts w:eastAsia="Calibri"/>
          <w:sz w:val="20"/>
          <w:szCs w:val="20"/>
        </w:rPr>
        <w:t>Journal of Arbitration Review</w:t>
      </w:r>
      <w:r w:rsidR="00FF173F" w:rsidRPr="004426DB">
        <w:rPr>
          <w:rStyle w:val="Hyperlink0"/>
          <w:rFonts w:eastAsia="Calibri"/>
          <w:sz w:val="20"/>
          <w:szCs w:val="20"/>
        </w:rPr>
        <w:t>,</w:t>
      </w:r>
      <w:r w:rsidR="00FF173F" w:rsidRPr="004426DB">
        <w:rPr>
          <w:rStyle w:val="Hyperlink1"/>
          <w:rFonts w:ascii="Times New Roman" w:hAnsi="Times New Roman"/>
          <w:sz w:val="20"/>
          <w:szCs w:val="20"/>
        </w:rPr>
        <w:t xml:space="preserve"> (</w:t>
      </w:r>
      <w:r w:rsidRPr="004426DB">
        <w:rPr>
          <w:rStyle w:val="Hyperlink1"/>
          <w:rFonts w:ascii="Times New Roman" w:hAnsi="Times New Roman"/>
          <w:sz w:val="20"/>
          <w:szCs w:val="20"/>
        </w:rPr>
        <w:t xml:space="preserve">2013), </w:t>
      </w:r>
      <w:r w:rsidR="00FF173F" w:rsidRPr="004426DB">
        <w:rPr>
          <w:rStyle w:val="Hyperlink1"/>
          <w:rFonts w:ascii="Times New Roman" w:hAnsi="Times New Roman"/>
          <w:sz w:val="20"/>
          <w:szCs w:val="20"/>
        </w:rPr>
        <w:t>section</w:t>
      </w:r>
      <w:r w:rsidRPr="004426DB">
        <w:rPr>
          <w:rStyle w:val="Hyperlink1"/>
          <w:rFonts w:ascii="Times New Roman" w:hAnsi="Times New Roman"/>
          <w:sz w:val="20"/>
          <w:szCs w:val="20"/>
        </w:rPr>
        <w:t xml:space="preserve"> 3: County Chapter.</w:t>
      </w:r>
    </w:p>
  </w:footnote>
  <w:footnote w:id="6">
    <w:p w14:paraId="20D0D597" w14:textId="229EBF75"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Kasimu, A.M &amp;Isah, A.D., “Causes of Delay in Nigerian Construction Industry” </w:t>
      </w:r>
      <w:r w:rsidR="00FF173F" w:rsidRPr="004426DB">
        <w:rPr>
          <w:rStyle w:val="Hyperlink0"/>
          <w:rFonts w:eastAsia="Calibri"/>
          <w:sz w:val="20"/>
          <w:szCs w:val="20"/>
        </w:rPr>
        <w:t>Interdisci</w:t>
      </w:r>
      <w:r w:rsidRPr="004426DB">
        <w:rPr>
          <w:rStyle w:val="Hyperlink0"/>
          <w:rFonts w:eastAsia="Calibri"/>
          <w:sz w:val="20"/>
          <w:szCs w:val="20"/>
        </w:rPr>
        <w:t>plinary Journal of Contemporary Research in Business</w:t>
      </w:r>
      <w:r w:rsidRPr="004426DB">
        <w:rPr>
          <w:rStyle w:val="Hyperlink1"/>
          <w:rFonts w:ascii="Times New Roman" w:hAnsi="Times New Roman"/>
          <w:sz w:val="20"/>
          <w:szCs w:val="20"/>
        </w:rPr>
        <w:t>, Vol.4. No.2. (2012),790</w:t>
      </w:r>
    </w:p>
  </w:footnote>
  <w:footnote w:id="7">
    <w:p w14:paraId="069ED21C"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Ogunsanmi, O.E. “The Effects of procurement Related Factors on Construction Project Performance in Nigeria”</w:t>
      </w:r>
      <w:r w:rsidRPr="004426DB">
        <w:rPr>
          <w:rStyle w:val="Hyperlink0"/>
          <w:rFonts w:eastAsia="Calibri"/>
          <w:sz w:val="20"/>
          <w:szCs w:val="20"/>
        </w:rPr>
        <w:t xml:space="preserve"> The Ethiopian Journal of Environmental Studies and Management,</w:t>
      </w:r>
      <w:r w:rsidRPr="004426DB">
        <w:rPr>
          <w:rStyle w:val="Hyperlink1"/>
          <w:rFonts w:ascii="Times New Roman" w:hAnsi="Times New Roman"/>
          <w:sz w:val="20"/>
          <w:szCs w:val="20"/>
        </w:rPr>
        <w:t xml:space="preserve"> Vol.6 No.2.</w:t>
      </w:r>
      <w:r w:rsidRPr="004426DB">
        <w:rPr>
          <w:rStyle w:val="Hyperlink0"/>
          <w:rFonts w:eastAsia="Calibri"/>
          <w:sz w:val="20"/>
          <w:szCs w:val="20"/>
        </w:rPr>
        <w:t xml:space="preserve"> (2013).</w:t>
      </w:r>
    </w:p>
  </w:footnote>
  <w:footnote w:id="8">
    <w:p w14:paraId="15EF1DE4" w14:textId="411AB48A" w:rsidR="00E10BBA" w:rsidRPr="004426DB" w:rsidRDefault="00E10BBA" w:rsidP="00E10BBA">
      <w:pPr>
        <w:autoSpaceDE w:val="0"/>
        <w:autoSpaceDN w:val="0"/>
        <w:adjustRightInd w:val="0"/>
        <w:jc w:val="both"/>
        <w:rPr>
          <w:sz w:val="20"/>
          <w:szCs w:val="20"/>
        </w:rPr>
      </w:pPr>
      <w:r w:rsidRPr="004426DB">
        <w:rPr>
          <w:rStyle w:val="FootnoteReference"/>
          <w:sz w:val="20"/>
          <w:szCs w:val="20"/>
        </w:rPr>
        <w:footnoteRef/>
      </w:r>
      <w:r w:rsidRPr="004426DB">
        <w:rPr>
          <w:bCs/>
          <w:sz w:val="20"/>
          <w:szCs w:val="20"/>
        </w:rPr>
        <w:t xml:space="preserve"> Nicholas Gould,</w:t>
      </w:r>
      <w:r w:rsidRPr="004426DB">
        <w:rPr>
          <w:sz w:val="20"/>
          <w:szCs w:val="20"/>
        </w:rPr>
        <w:t xml:space="preserve"> “</w:t>
      </w:r>
      <w:r w:rsidRPr="004426DB">
        <w:rPr>
          <w:bCs/>
          <w:i/>
          <w:sz w:val="20"/>
          <w:szCs w:val="20"/>
        </w:rPr>
        <w:t xml:space="preserve">Alternative Dispute Resolution in the UK Construction </w:t>
      </w:r>
      <w:r w:rsidR="00FF173F" w:rsidRPr="004426DB">
        <w:rPr>
          <w:bCs/>
          <w:i/>
          <w:sz w:val="20"/>
          <w:szCs w:val="20"/>
        </w:rPr>
        <w:t>Industry”,</w:t>
      </w:r>
      <w:r w:rsidR="00FF173F" w:rsidRPr="004426DB">
        <w:rPr>
          <w:sz w:val="20"/>
          <w:szCs w:val="20"/>
        </w:rPr>
        <w:t xml:space="preserve"> Gould</w:t>
      </w:r>
      <w:r w:rsidRPr="004426DB">
        <w:rPr>
          <w:sz w:val="20"/>
          <w:szCs w:val="20"/>
        </w:rPr>
        <w:t xml:space="preserve">, N Alternative dispute resolution in the UK construction industry. </w:t>
      </w:r>
      <w:r w:rsidRPr="004426DB">
        <w:rPr>
          <w:iCs/>
          <w:sz w:val="20"/>
          <w:szCs w:val="20"/>
        </w:rPr>
        <w:t>In:</w:t>
      </w:r>
      <w:r w:rsidRPr="004426DB">
        <w:rPr>
          <w:sz w:val="20"/>
          <w:szCs w:val="20"/>
        </w:rPr>
        <w:t xml:space="preserve"> Hughes, W (Ed.), </w:t>
      </w:r>
      <w:r w:rsidRPr="004426DB">
        <w:rPr>
          <w:iCs/>
          <w:sz w:val="20"/>
          <w:szCs w:val="20"/>
        </w:rPr>
        <w:t>14th Annual ARCOM Conference</w:t>
      </w:r>
      <w:r w:rsidRPr="004426DB">
        <w:rPr>
          <w:sz w:val="20"/>
          <w:szCs w:val="20"/>
        </w:rPr>
        <w:t>, 9-11 September 1998, University of Reading,  Association of Researchers in Construction Management, Vol. 2, (1998), 428-37.</w:t>
      </w:r>
    </w:p>
  </w:footnote>
  <w:footnote w:id="9">
    <w:p w14:paraId="115A83A1" w14:textId="3F78031B" w:rsidR="00E10BBA" w:rsidRPr="004426DB" w:rsidRDefault="00E10BBA" w:rsidP="00E10BBA">
      <w:pPr>
        <w:pStyle w:val="BodyA"/>
        <w:spacing w:after="0" w:line="240" w:lineRule="auto"/>
        <w:jc w:val="both"/>
        <w:rPr>
          <w:rFonts w:ascii="Times New Roman" w:hAnsi="Times New Roman" w:cs="Times New Roman"/>
          <w:color w:val="auto"/>
          <w:sz w:val="20"/>
          <w:szCs w:val="20"/>
        </w:rPr>
      </w:pPr>
      <w:r w:rsidRPr="004426DB">
        <w:rPr>
          <w:rStyle w:val="FootnoteReference"/>
          <w:rFonts w:ascii="Times New Roman" w:hAnsi="Times New Roman" w:cs="Times New Roman"/>
          <w:color w:val="auto"/>
          <w:sz w:val="20"/>
          <w:szCs w:val="20"/>
        </w:rPr>
        <w:footnoteRef/>
      </w:r>
      <w:r w:rsidRPr="004426DB">
        <w:rPr>
          <w:rFonts w:ascii="Times New Roman" w:hAnsi="Times New Roman" w:cs="Times New Roman"/>
          <w:color w:val="auto"/>
          <w:sz w:val="20"/>
          <w:szCs w:val="20"/>
        </w:rPr>
        <w:t xml:space="preserve"> Howard KLEIN, “</w:t>
      </w:r>
      <w:r w:rsidRPr="004426DB">
        <w:rPr>
          <w:rFonts w:ascii="Times New Roman" w:hAnsi="Times New Roman" w:cs="Times New Roman"/>
          <w:i/>
          <w:color w:val="auto"/>
          <w:sz w:val="20"/>
          <w:szCs w:val="20"/>
        </w:rPr>
        <w:t>Alternative Dispute Resolution Procedures used to Resolve Construction Disputes in the UK</w:t>
      </w:r>
      <w:r w:rsidRPr="004426DB">
        <w:rPr>
          <w:rFonts w:ascii="Times New Roman" w:hAnsi="Times New Roman" w:cs="Times New Roman"/>
          <w:color w:val="auto"/>
          <w:sz w:val="20"/>
          <w:szCs w:val="20"/>
        </w:rPr>
        <w:t>”</w:t>
      </w:r>
      <w:r w:rsidR="00FF173F" w:rsidRPr="004426DB">
        <w:rPr>
          <w:rFonts w:ascii="Times New Roman" w:hAnsi="Times New Roman" w:cs="Times New Roman"/>
          <w:color w:val="auto"/>
          <w:sz w:val="20"/>
          <w:szCs w:val="20"/>
        </w:rPr>
        <w:t>,</w:t>
      </w:r>
      <w:r w:rsidR="00FF173F" w:rsidRPr="004426DB">
        <w:rPr>
          <w:rFonts w:ascii="Times New Roman" w:hAnsi="Times New Roman" w:cs="Times New Roman"/>
          <w:iCs/>
          <w:color w:val="auto"/>
          <w:sz w:val="20"/>
          <w:szCs w:val="20"/>
          <w:shd w:val="clear" w:color="auto" w:fill="FFFFFF"/>
        </w:rPr>
        <w:t xml:space="preserve"> XXIII</w:t>
      </w:r>
      <w:r w:rsidRPr="004426DB">
        <w:rPr>
          <w:rFonts w:ascii="Times New Roman" w:hAnsi="Times New Roman" w:cs="Times New Roman"/>
          <w:iCs/>
          <w:color w:val="auto"/>
          <w:sz w:val="20"/>
          <w:szCs w:val="20"/>
          <w:shd w:val="clear" w:color="auto" w:fill="FFFFFF"/>
        </w:rPr>
        <w:t xml:space="preserve"> FIG Congress TS</w:t>
      </w:r>
      <w:r w:rsidRPr="004426DB">
        <w:rPr>
          <w:rFonts w:ascii="Times New Roman" w:hAnsi="Times New Roman" w:cs="Times New Roman"/>
          <w:color w:val="auto"/>
          <w:sz w:val="20"/>
          <w:szCs w:val="20"/>
          <w:shd w:val="clear" w:color="auto" w:fill="FFFFFF"/>
        </w:rPr>
        <w:t xml:space="preserve">. 2006. </w:t>
      </w:r>
    </w:p>
  </w:footnote>
  <w:footnote w:id="10">
    <w:p w14:paraId="58787C1F" w14:textId="77777777" w:rsidR="00E10BBA" w:rsidRPr="004426DB" w:rsidRDefault="00E10BBA" w:rsidP="00E10BBA">
      <w:pPr>
        <w:pStyle w:val="FootnoteText"/>
        <w:jc w:val="both"/>
        <w:rPr>
          <w:rFonts w:ascii="Times New Roman" w:hAnsi="Times New Roman"/>
        </w:rPr>
      </w:pPr>
      <w:r w:rsidRPr="004426DB">
        <w:rPr>
          <w:rStyle w:val="FootnoteReference"/>
          <w:rFonts w:ascii="Times New Roman" w:hAnsi="Times New Roman"/>
        </w:rPr>
        <w:footnoteRef/>
      </w:r>
      <w:r w:rsidRPr="004426DB">
        <w:rPr>
          <w:rFonts w:ascii="Times New Roman" w:hAnsi="Times New Roman"/>
        </w:rPr>
        <w:t xml:space="preserve"> Matthew Patrick Tucker, “</w:t>
      </w:r>
      <w:r w:rsidRPr="004426DB">
        <w:rPr>
          <w:rFonts w:ascii="Times New Roman" w:hAnsi="Times New Roman"/>
          <w:i/>
        </w:rPr>
        <w:t>An Overview of Alternate Dispute Resolution use in the Construction Industry”,</w:t>
      </w:r>
      <w:r w:rsidRPr="004426DB">
        <w:rPr>
          <w:rFonts w:ascii="Times New Roman" w:hAnsi="Times New Roman"/>
        </w:rPr>
        <w:t xml:space="preserve"> (Diss. University of Texas at Austin, 2008), 18.</w:t>
      </w:r>
    </w:p>
  </w:footnote>
  <w:footnote w:id="11">
    <w:p w14:paraId="213E99CA" w14:textId="77777777" w:rsidR="00E10BBA" w:rsidRPr="004426DB" w:rsidRDefault="00E10BBA" w:rsidP="00E10BBA">
      <w:pPr>
        <w:pStyle w:val="Heading1"/>
        <w:numPr>
          <w:ilvl w:val="0"/>
          <w:numId w:val="2"/>
        </w:numPr>
        <w:spacing w:after="0"/>
        <w:jc w:val="both"/>
        <w:rPr>
          <w:rFonts w:cs="Times New Roman"/>
          <w:sz w:val="20"/>
          <w:szCs w:val="20"/>
        </w:rPr>
      </w:pPr>
      <w:r w:rsidRPr="004426DB">
        <w:rPr>
          <w:rStyle w:val="FootnoteReference"/>
          <w:rFonts w:cs="Times New Roman"/>
          <w:b w:val="0"/>
          <w:bCs w:val="0"/>
          <w:sz w:val="20"/>
          <w:szCs w:val="20"/>
        </w:rPr>
        <w:footnoteRef/>
      </w:r>
      <w:r w:rsidRPr="004426DB">
        <w:rPr>
          <w:rFonts w:cs="Times New Roman"/>
          <w:b w:val="0"/>
          <w:bCs w:val="0"/>
          <w:caps w:val="0"/>
          <w:sz w:val="20"/>
          <w:szCs w:val="20"/>
        </w:rPr>
        <w:t xml:space="preserve"> Harmon Kathleen, "To </w:t>
      </w:r>
      <w:proofErr w:type="gramStart"/>
      <w:r w:rsidRPr="004426DB">
        <w:rPr>
          <w:rFonts w:cs="Times New Roman"/>
          <w:b w:val="0"/>
          <w:bCs w:val="0"/>
          <w:caps w:val="0"/>
          <w:sz w:val="20"/>
          <w:szCs w:val="20"/>
        </w:rPr>
        <w:t>Be</w:t>
      </w:r>
      <w:proofErr w:type="gramEnd"/>
      <w:r w:rsidRPr="004426DB">
        <w:rPr>
          <w:rFonts w:cs="Times New Roman"/>
          <w:b w:val="0"/>
          <w:bCs w:val="0"/>
          <w:caps w:val="0"/>
          <w:sz w:val="20"/>
          <w:szCs w:val="20"/>
        </w:rPr>
        <w:t xml:space="preserve"> or Not to Be—that is the Question: Is DRB Right for Your Project?" </w:t>
      </w:r>
      <w:r w:rsidRPr="004426DB">
        <w:rPr>
          <w:rFonts w:cs="Times New Roman"/>
          <w:b w:val="0"/>
          <w:bCs w:val="0"/>
          <w:i/>
          <w:iCs/>
          <w:caps w:val="0"/>
          <w:sz w:val="20"/>
          <w:szCs w:val="20"/>
        </w:rPr>
        <w:t>Journal of Legal Affairs and Dispute Resolution in Engineering and Construction</w:t>
      </w:r>
      <w:r w:rsidRPr="004426DB">
        <w:rPr>
          <w:rFonts w:cs="Times New Roman"/>
          <w:b w:val="0"/>
          <w:bCs w:val="0"/>
          <w:caps w:val="0"/>
          <w:sz w:val="20"/>
          <w:szCs w:val="20"/>
        </w:rPr>
        <w:t> 3.1 (2010): 10-16.</w:t>
      </w:r>
    </w:p>
  </w:footnote>
  <w:footnote w:id="12">
    <w:p w14:paraId="799E9CC4"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Nur Emma, M. et al., “A Revisit on the Current Practice of Dispute Resolution and ADR in Malaysia Construction Industry”, </w:t>
      </w:r>
      <w:r w:rsidRPr="004426DB">
        <w:rPr>
          <w:rStyle w:val="Hyperlink0"/>
          <w:rFonts w:eastAsia="Calibri"/>
          <w:sz w:val="20"/>
          <w:szCs w:val="20"/>
        </w:rPr>
        <w:t>Journal of Design and Built Environment,</w:t>
      </w:r>
      <w:r w:rsidRPr="004426DB">
        <w:rPr>
          <w:rStyle w:val="Hyperlink1"/>
          <w:rFonts w:ascii="Times New Roman" w:hAnsi="Times New Roman"/>
          <w:sz w:val="20"/>
          <w:szCs w:val="20"/>
        </w:rPr>
        <w:t xml:space="preserve"> vol.1 No.10 (2012), 1-113.</w:t>
      </w:r>
    </w:p>
  </w:footnote>
  <w:footnote w:id="13">
    <w:p w14:paraId="54F108DB"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He made the speech in 1987 when he forestalled that construction disputes were not given the adequate attention in courts because delay defeat equity in construction industry, cases of construction disputes require urgent attention given the nature of the project which eventually hampers the working progress of the industry. </w:t>
      </w:r>
    </w:p>
  </w:footnote>
  <w:footnote w:id="14">
    <w:p w14:paraId="3DEDAAED"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News Strait of …2012.as cited by Mohammad Danuri&amp; others”, A Revisit on the Current Practice of Dispute Resolution and ADR in the Malaysian Construction Industry, </w:t>
      </w:r>
      <w:r w:rsidRPr="004426DB">
        <w:rPr>
          <w:rStyle w:val="Hyperlink1"/>
          <w:rFonts w:ascii="Times New Roman" w:hAnsi="Times New Roman"/>
          <w:i/>
          <w:sz w:val="20"/>
          <w:szCs w:val="20"/>
        </w:rPr>
        <w:t>Journal of Design and Built Environment</w:t>
      </w:r>
      <w:r w:rsidRPr="004426DB">
        <w:rPr>
          <w:rStyle w:val="Hyperlink1"/>
          <w:rFonts w:ascii="Times New Roman" w:hAnsi="Times New Roman"/>
          <w:sz w:val="20"/>
          <w:szCs w:val="20"/>
        </w:rPr>
        <w:t xml:space="preserve">  10 (2012).</w:t>
      </w:r>
    </w:p>
  </w:footnote>
  <w:footnote w:id="15">
    <w:p w14:paraId="61C3191E" w14:textId="47568E0A"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As rightly pointed out by Lord Denning MR, “There must be a “cash flow” in the building trade. It is the very lifeblood of the enterprise”, in Modern Engineering  (Bri</w:t>
      </w:r>
      <w:r w:rsidR="009A40B9" w:rsidRPr="004426DB">
        <w:rPr>
          <w:rStyle w:val="Hyperlink1"/>
          <w:rFonts w:ascii="Times New Roman" w:hAnsi="Times New Roman"/>
          <w:sz w:val="20"/>
          <w:szCs w:val="20"/>
        </w:rPr>
        <w:t xml:space="preserve">stol) v Gilbert Ash (Northern) </w:t>
      </w:r>
      <w:r w:rsidRPr="004426DB">
        <w:rPr>
          <w:rStyle w:val="Hyperlink1"/>
          <w:rFonts w:ascii="Times New Roman" w:hAnsi="Times New Roman"/>
          <w:sz w:val="20"/>
          <w:szCs w:val="20"/>
        </w:rPr>
        <w:t>(1973), 71 LGR 162, CA at 167</w:t>
      </w:r>
    </w:p>
  </w:footnote>
  <w:footnote w:id="16">
    <w:p w14:paraId="14A777A2" w14:textId="753FE2D8" w:rsidR="00E10BBA" w:rsidRPr="004426DB" w:rsidRDefault="00E10BBA" w:rsidP="00E10BBA">
      <w:pPr>
        <w:pStyle w:val="FootnoteText"/>
        <w:jc w:val="both"/>
        <w:rPr>
          <w:rStyle w:val="Hyperlink1"/>
          <w:rFonts w:ascii="Times New Roman" w:hAnsi="Times New Roman"/>
          <w:sz w:val="20"/>
          <w:szCs w:val="20"/>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Sundra</w:t>
      </w:r>
      <w:r w:rsidR="00647ED4" w:rsidRPr="004426DB">
        <w:rPr>
          <w:rStyle w:val="Hyperlink1"/>
          <w:rFonts w:ascii="Times New Roman" w:hAnsi="Times New Roman"/>
          <w:sz w:val="20"/>
          <w:szCs w:val="20"/>
        </w:rPr>
        <w:t xml:space="preserve"> </w:t>
      </w:r>
      <w:r w:rsidRPr="004426DB">
        <w:rPr>
          <w:rStyle w:val="Hyperlink1"/>
          <w:rFonts w:ascii="Times New Roman" w:hAnsi="Times New Roman"/>
          <w:sz w:val="20"/>
          <w:szCs w:val="20"/>
        </w:rPr>
        <w:t xml:space="preserve">Rajoo,  KLRCA Adjudication Conference Discusses “Future  Landscape of Construction </w:t>
      </w:r>
    </w:p>
    <w:p w14:paraId="77A52C42" w14:textId="77777777" w:rsidR="00E10BBA" w:rsidRPr="004426DB" w:rsidRDefault="00E10BBA" w:rsidP="00E10BBA">
      <w:pPr>
        <w:pStyle w:val="FootnoteText"/>
        <w:jc w:val="both"/>
        <w:rPr>
          <w:rFonts w:ascii="Times New Roman" w:hAnsi="Times New Roman"/>
        </w:rPr>
      </w:pPr>
      <w:r w:rsidRPr="004426DB">
        <w:rPr>
          <w:rStyle w:val="Hyperlink1"/>
          <w:rFonts w:ascii="Times New Roman" w:hAnsi="Times New Roman"/>
          <w:sz w:val="20"/>
          <w:szCs w:val="20"/>
        </w:rPr>
        <w:t>Industry”. A Press Release of 24</w:t>
      </w:r>
      <w:r w:rsidRPr="004426DB">
        <w:rPr>
          <w:rStyle w:val="None"/>
          <w:rFonts w:ascii="Times New Roman" w:hAnsi="Times New Roman"/>
          <w:vertAlign w:val="superscript"/>
        </w:rPr>
        <w:t>TH</w:t>
      </w:r>
      <w:r w:rsidRPr="004426DB">
        <w:rPr>
          <w:rStyle w:val="Hyperlink1"/>
          <w:rFonts w:ascii="Times New Roman" w:hAnsi="Times New Roman"/>
          <w:sz w:val="20"/>
          <w:szCs w:val="20"/>
        </w:rPr>
        <w:t xml:space="preserve"> October, 2012.</w:t>
      </w:r>
    </w:p>
  </w:footnote>
  <w:footnote w:id="17">
    <w:p w14:paraId="169FD8D7"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Noushad Ali Naseem Ameer Ali, gives an overview of ADR in Malaysia including proposals for a </w:t>
      </w:r>
      <w:r w:rsidRPr="004426DB">
        <w:rPr>
          <w:rStyle w:val="Hyperlink1"/>
          <w:rFonts w:ascii="Times New Roman" w:hAnsi="Times New Roman"/>
          <w:sz w:val="20"/>
          <w:szCs w:val="20"/>
        </w:rPr>
        <w:br/>
        <w:t>construction Industry Payment &amp; Adjudication Act. (2013).</w:t>
      </w:r>
    </w:p>
  </w:footnote>
  <w:footnote w:id="18">
    <w:p w14:paraId="0D4E6323" w14:textId="77777777" w:rsidR="00E10BBA" w:rsidRPr="004426DB" w:rsidRDefault="00E10BBA" w:rsidP="00E10BBA">
      <w:pPr>
        <w:pStyle w:val="FootnoteText"/>
        <w:jc w:val="both"/>
        <w:rPr>
          <w:rStyle w:val="None"/>
          <w:rFonts w:ascii="Times New Roman" w:hAnsi="Times New Roman"/>
          <w:i/>
          <w:iCs/>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Wong Chen Hin</w:t>
      </w:r>
      <w:r w:rsidRPr="004426DB">
        <w:rPr>
          <w:rStyle w:val="Hyperlink0"/>
          <w:rFonts w:eastAsia="Calibri"/>
          <w:sz w:val="20"/>
          <w:szCs w:val="20"/>
        </w:rPr>
        <w:t xml:space="preserve"> “Adjudication: Evolution of New Form of Dispute Resolution in Construction </w:t>
      </w:r>
    </w:p>
    <w:p w14:paraId="133DDD94" w14:textId="77777777" w:rsidR="00E10BBA" w:rsidRPr="004426DB" w:rsidRDefault="00E10BBA" w:rsidP="00E10BBA">
      <w:pPr>
        <w:pStyle w:val="FootnoteText"/>
        <w:jc w:val="both"/>
        <w:rPr>
          <w:rFonts w:ascii="Times New Roman" w:hAnsi="Times New Roman"/>
        </w:rPr>
      </w:pPr>
      <w:r w:rsidRPr="004426DB">
        <w:rPr>
          <w:rStyle w:val="Hyperlink0"/>
          <w:rFonts w:eastAsia="Calibri"/>
          <w:sz w:val="20"/>
          <w:szCs w:val="20"/>
        </w:rPr>
        <w:t xml:space="preserve">Industry” </w:t>
      </w:r>
      <w:r w:rsidRPr="004426DB">
        <w:rPr>
          <w:rStyle w:val="Hyperlink1"/>
          <w:rFonts w:ascii="Times New Roman" w:hAnsi="Times New Roman"/>
          <w:sz w:val="20"/>
          <w:szCs w:val="20"/>
        </w:rPr>
        <w:t>(Master Degree, University of Tunku Abdul Rahman, 2011).</w:t>
      </w:r>
    </w:p>
  </w:footnote>
  <w:footnote w:id="19">
    <w:p w14:paraId="476A4285" w14:textId="77777777" w:rsidR="00E10BBA" w:rsidRPr="004426DB" w:rsidRDefault="00E10BBA" w:rsidP="00E10BBA">
      <w:pPr>
        <w:pStyle w:val="FootnoteText"/>
        <w:rPr>
          <w:rFonts w:ascii="Times New Roman" w:hAnsi="Times New Roman"/>
          <w:lang w:val="en-US"/>
        </w:rPr>
      </w:pPr>
      <w:r w:rsidRPr="004426DB">
        <w:rPr>
          <w:rStyle w:val="FootnoteReference"/>
          <w:rFonts w:ascii="Times New Roman" w:hAnsi="Times New Roman"/>
        </w:rPr>
        <w:footnoteRef/>
      </w:r>
      <w:r w:rsidRPr="004426DB">
        <w:rPr>
          <w:rFonts w:ascii="Times New Roman" w:hAnsi="Times New Roman"/>
        </w:rPr>
        <w:t xml:space="preserve"> </w:t>
      </w:r>
      <w:r w:rsidRPr="004426DB">
        <w:rPr>
          <w:rStyle w:val="None"/>
          <w:rFonts w:ascii="Times New Roman" w:hAnsi="Times New Roman"/>
        </w:rPr>
        <w:t>Mudajaya Corporation Ltd Berhad v Leighton Contractors (Malaysia) Sdn Bhd [2015] MLJU 293</w:t>
      </w:r>
    </w:p>
  </w:footnote>
  <w:footnote w:id="20">
    <w:p w14:paraId="5286B44B" w14:textId="2A6B664A"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Part 1 of the act covers all various issues relating to payment, see Noushad Ali Naseem Ameer </w:t>
      </w:r>
      <w:r w:rsidRPr="004426DB">
        <w:rPr>
          <w:rStyle w:val="Hyperlink1"/>
          <w:rFonts w:ascii="Times New Roman" w:hAnsi="Times New Roman"/>
          <w:sz w:val="20"/>
          <w:szCs w:val="20"/>
        </w:rPr>
        <w:br/>
        <w:t xml:space="preserve">Ali, pres. Of the institute of surveyors Malaysia and chai- construction industry working group on </w:t>
      </w:r>
      <w:r w:rsidRPr="004426DB">
        <w:rPr>
          <w:rStyle w:val="Hyperlink1"/>
          <w:rFonts w:ascii="Times New Roman" w:hAnsi="Times New Roman"/>
          <w:sz w:val="20"/>
          <w:szCs w:val="20"/>
        </w:rPr>
        <w:br/>
        <w:t>payment (wg</w:t>
      </w:r>
      <w:r w:rsidR="00647ED4" w:rsidRPr="004426DB">
        <w:rPr>
          <w:rStyle w:val="Hyperlink1"/>
          <w:rFonts w:ascii="Times New Roman" w:hAnsi="Times New Roman"/>
          <w:sz w:val="20"/>
          <w:szCs w:val="20"/>
        </w:rPr>
        <w:t>.</w:t>
      </w:r>
      <w:r w:rsidRPr="004426DB">
        <w:rPr>
          <w:rStyle w:val="Hyperlink1"/>
          <w:rFonts w:ascii="Times New Roman" w:hAnsi="Times New Roman"/>
          <w:sz w:val="20"/>
          <w:szCs w:val="20"/>
        </w:rPr>
        <w:t xml:space="preserve"> 10).</w:t>
      </w:r>
    </w:p>
  </w:footnote>
  <w:footnote w:id="21">
    <w:p w14:paraId="14BF8222"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None"/>
          <w:rFonts w:ascii="Times New Roman" w:hAnsi="Times New Roman"/>
        </w:rPr>
        <w:t xml:space="preserve"> See s.6 of the CIPA, 2012.</w:t>
      </w:r>
    </w:p>
  </w:footnote>
  <w:footnote w:id="22">
    <w:p w14:paraId="11F00083"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See s.8 of the CIPA, 2012.</w:t>
      </w:r>
    </w:p>
  </w:footnote>
  <w:footnote w:id="23">
    <w:p w14:paraId="3F5050DF" w14:textId="6EB82B8B" w:rsidR="00E10BBA" w:rsidRPr="004426DB" w:rsidRDefault="00E10BBA" w:rsidP="00E10BBA">
      <w:pPr>
        <w:pStyle w:val="FootnoteText"/>
        <w:rPr>
          <w:rFonts w:ascii="Times New Roman" w:hAnsi="Times New Roman"/>
          <w:lang w:val="en-US"/>
        </w:rPr>
      </w:pPr>
      <w:r w:rsidRPr="004426DB">
        <w:rPr>
          <w:rStyle w:val="FootnoteReference"/>
          <w:rFonts w:ascii="Times New Roman" w:hAnsi="Times New Roman"/>
        </w:rPr>
        <w:footnoteRef/>
      </w:r>
      <w:r w:rsidRPr="004426DB">
        <w:rPr>
          <w:rFonts w:ascii="Times New Roman" w:hAnsi="Times New Roman"/>
        </w:rPr>
        <w:t xml:space="preserve"> Subang Skypark </w:t>
      </w:r>
      <w:r w:rsidR="00647ED4" w:rsidRPr="004426DB">
        <w:rPr>
          <w:rFonts w:ascii="Times New Roman" w:hAnsi="Times New Roman"/>
        </w:rPr>
        <w:t>Sdn Bhd</w:t>
      </w:r>
      <w:r w:rsidRPr="004426DB">
        <w:rPr>
          <w:rFonts w:ascii="Times New Roman" w:hAnsi="Times New Roman"/>
        </w:rPr>
        <w:t xml:space="preserve"> v Accradius Sdn </w:t>
      </w:r>
      <w:proofErr w:type="gramStart"/>
      <w:r w:rsidRPr="004426DB">
        <w:rPr>
          <w:rFonts w:ascii="Times New Roman" w:hAnsi="Times New Roman"/>
        </w:rPr>
        <w:t>Bhd  [</w:t>
      </w:r>
      <w:proofErr w:type="gramEnd"/>
      <w:r w:rsidRPr="004426DB">
        <w:rPr>
          <w:rFonts w:ascii="Times New Roman" w:hAnsi="Times New Roman"/>
        </w:rPr>
        <w:t>2015] MLJU 286 (Unreported).</w:t>
      </w:r>
    </w:p>
  </w:footnote>
  <w:footnote w:id="24">
    <w:p w14:paraId="073B4618"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Rozina. id</w:t>
      </w:r>
    </w:p>
  </w:footnote>
  <w:footnote w:id="25">
    <w:p w14:paraId="07FCBA59"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Chua Shu Cing</w:t>
      </w:r>
      <w:r w:rsidRPr="004426DB">
        <w:rPr>
          <w:rStyle w:val="Hyperlink0"/>
          <w:rFonts w:eastAsia="Calibri"/>
          <w:sz w:val="20"/>
          <w:szCs w:val="20"/>
        </w:rPr>
        <w:t xml:space="preserve"> “A Study on the Issue of Construction Disputes in Malaysia &amp; Singapore” </w:t>
      </w:r>
      <w:r w:rsidRPr="004426DB">
        <w:rPr>
          <w:rStyle w:val="Hyperlink1"/>
          <w:rFonts w:ascii="Times New Roman" w:hAnsi="Times New Roman"/>
          <w:sz w:val="20"/>
          <w:szCs w:val="20"/>
        </w:rPr>
        <w:t>(Bachelor Degree, University of Tunku Abdul Rahman, 2012).</w:t>
      </w:r>
    </w:p>
  </w:footnote>
  <w:footnote w:id="26">
    <w:p w14:paraId="72947BE9" w14:textId="57123385" w:rsidR="00E10BBA" w:rsidRPr="004426DB" w:rsidRDefault="00E10BBA" w:rsidP="009F5856">
      <w:pPr>
        <w:rPr>
          <w:sz w:val="20"/>
          <w:szCs w:val="20"/>
        </w:rPr>
      </w:pPr>
      <w:r w:rsidRPr="004426DB">
        <w:rPr>
          <w:rStyle w:val="FootnoteReference"/>
          <w:sz w:val="20"/>
          <w:szCs w:val="20"/>
        </w:rPr>
        <w:footnoteRef/>
      </w:r>
      <w:r w:rsidRPr="004426DB">
        <w:rPr>
          <w:sz w:val="20"/>
          <w:szCs w:val="20"/>
        </w:rPr>
        <w:t xml:space="preserve"> </w:t>
      </w:r>
      <w:r w:rsidRPr="004426DB">
        <w:rPr>
          <w:rFonts w:eastAsia="Times New Roman"/>
          <w:sz w:val="20"/>
          <w:szCs w:val="20"/>
        </w:rPr>
        <w:t>Kennedy, P., Milligan, J., Cattanach, L., &amp; McCluskey, E, “The development of Statutory Adjudication in the UK and its relationship with construction workload</w:t>
      </w:r>
      <w:r w:rsidR="009F5856" w:rsidRPr="004426DB">
        <w:rPr>
          <w:rFonts w:eastAsia="Times New Roman"/>
          <w:sz w:val="20"/>
          <w:szCs w:val="20"/>
        </w:rPr>
        <w:t>:</w:t>
      </w:r>
      <w:r w:rsidRPr="004426DB">
        <w:rPr>
          <w:rFonts w:eastAsia="Times New Roman"/>
          <w:sz w:val="20"/>
          <w:szCs w:val="20"/>
        </w:rPr>
        <w:t xml:space="preserve"> In </w:t>
      </w:r>
      <w:r w:rsidRPr="004426DB">
        <w:rPr>
          <w:rFonts w:eastAsia="Times New Roman"/>
          <w:i/>
          <w:iCs/>
          <w:sz w:val="20"/>
          <w:szCs w:val="20"/>
        </w:rPr>
        <w:t>Proceedings of 2010 COBRA Conference, Paris, France</w:t>
      </w:r>
      <w:r w:rsidRPr="004426DB">
        <w:rPr>
          <w:rFonts w:eastAsia="Times New Roman"/>
          <w:sz w:val="20"/>
          <w:szCs w:val="20"/>
        </w:rPr>
        <w:t>, 1-14.</w:t>
      </w:r>
    </w:p>
  </w:footnote>
  <w:footnote w:id="27">
    <w:p w14:paraId="45628EFB"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See section 22(1) of the Act. </w:t>
      </w:r>
    </w:p>
  </w:footnote>
  <w:footnote w:id="28">
    <w:p w14:paraId="71141E67"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See section 22(1) of the Act.</w:t>
      </w:r>
    </w:p>
  </w:footnote>
  <w:footnote w:id="29">
    <w:p w14:paraId="2BDF52D9" w14:textId="77777777" w:rsidR="00E10BBA" w:rsidRPr="004426DB" w:rsidRDefault="00E10BBA" w:rsidP="00E10BBA">
      <w:pPr>
        <w:pStyle w:val="BodyA"/>
        <w:spacing w:after="0" w:line="240" w:lineRule="auto"/>
        <w:jc w:val="both"/>
        <w:rPr>
          <w:rFonts w:ascii="Times New Roman" w:hAnsi="Times New Roman" w:cs="Times New Roman"/>
          <w:color w:val="auto"/>
          <w:sz w:val="20"/>
          <w:szCs w:val="20"/>
        </w:rPr>
      </w:pPr>
      <w:r w:rsidRPr="004426DB">
        <w:rPr>
          <w:rStyle w:val="None"/>
          <w:rFonts w:ascii="Times New Roman" w:eastAsia="Times New Roman" w:hAnsi="Times New Roman" w:cs="Times New Roman"/>
          <w:color w:val="auto"/>
          <w:sz w:val="20"/>
          <w:szCs w:val="20"/>
          <w:vertAlign w:val="superscript"/>
        </w:rPr>
        <w:footnoteRef/>
      </w:r>
      <w:r w:rsidRPr="004426DB">
        <w:rPr>
          <w:rStyle w:val="None"/>
          <w:rFonts w:ascii="Times New Roman" w:hAnsi="Times New Roman" w:cs="Times New Roman"/>
          <w:color w:val="auto"/>
          <w:sz w:val="20"/>
          <w:szCs w:val="20"/>
          <w:lang w:val="fr-FR"/>
        </w:rPr>
        <w:t xml:space="preserve"> Claire King, </w:t>
      </w:r>
      <w:r w:rsidRPr="004426DB">
        <w:rPr>
          <w:rStyle w:val="None"/>
          <w:rFonts w:ascii="Times New Roman" w:hAnsi="Times New Roman" w:cs="Times New Roman"/>
          <w:color w:val="auto"/>
          <w:sz w:val="20"/>
          <w:szCs w:val="20"/>
        </w:rPr>
        <w:t xml:space="preserve">“RICS Legal Issues in Construction Dispute resolution update” 29 November,  </w:t>
      </w:r>
      <w:r w:rsidRPr="004426DB">
        <w:rPr>
          <w:rStyle w:val="None"/>
          <w:rFonts w:ascii="Times New Roman" w:hAnsi="Times New Roman" w:cs="Times New Roman"/>
          <w:color w:val="auto"/>
          <w:sz w:val="20"/>
          <w:szCs w:val="20"/>
        </w:rPr>
        <w:br/>
        <w:t>2011.</w:t>
      </w:r>
      <w:r w:rsidRPr="004426DB">
        <w:rPr>
          <w:rStyle w:val="None"/>
          <w:rFonts w:ascii="Times New Roman" w:hAnsi="Times New Roman" w:cs="Times New Roman"/>
          <w:i/>
          <w:iCs/>
          <w:color w:val="auto"/>
          <w:sz w:val="20"/>
          <w:szCs w:val="20"/>
        </w:rPr>
        <w:t xml:space="preserve">Dispute resolution update </w:t>
      </w:r>
      <w:hyperlink r:id="rId1" w:history="1">
        <w:r w:rsidRPr="004426DB">
          <w:rPr>
            <w:rStyle w:val="Hyperlink3"/>
            <w:rFonts w:eastAsia="Calibri"/>
            <w:color w:val="auto"/>
            <w:sz w:val="20"/>
            <w:szCs w:val="20"/>
          </w:rPr>
          <w:t>www.fenwickeliott.co.uk</w:t>
        </w:r>
      </w:hyperlink>
    </w:p>
  </w:footnote>
  <w:footnote w:id="30">
    <w:p w14:paraId="317A2B5F" w14:textId="76F08933"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Albert, Munichino</w:t>
      </w:r>
      <w:r w:rsidR="009F5856" w:rsidRPr="004426DB">
        <w:rPr>
          <w:rStyle w:val="Hyperlink1"/>
          <w:rFonts w:ascii="Times New Roman" w:hAnsi="Times New Roman"/>
          <w:sz w:val="20"/>
          <w:szCs w:val="20"/>
        </w:rPr>
        <w:t>, “</w:t>
      </w:r>
      <w:r w:rsidRPr="004426DB">
        <w:rPr>
          <w:rStyle w:val="Hyperlink1"/>
          <w:rFonts w:ascii="Times New Roman" w:hAnsi="Times New Roman"/>
          <w:sz w:val="20"/>
          <w:szCs w:val="20"/>
        </w:rPr>
        <w:t xml:space="preserve">Reform of the Domestic Arbitration”, Quarterly Newsletter of Building Dispute Tribunal (NZ) Ltd vol.16 No. 2. (2009):  </w:t>
      </w:r>
    </w:p>
  </w:footnote>
  <w:footnote w:id="31">
    <w:p w14:paraId="36DE9B80"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James, L. “The Construction and its Amendment Adjudication “Legal News and Guidance from Pinsent (September 2, 2013): Mason. </w:t>
      </w:r>
    </w:p>
  </w:footnote>
  <w:footnote w:id="32">
    <w:p w14:paraId="15005BFD"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 xml:space="preserve"> Jon, E. “Adjudication- its Impact on ADR and Litigation”, e- mail: Jonathan. Prudhoe @trett.com (Retrieved from net on 27</w:t>
      </w:r>
      <w:r w:rsidRPr="004426DB">
        <w:rPr>
          <w:rStyle w:val="None"/>
          <w:rFonts w:ascii="Times New Roman" w:hAnsi="Times New Roman"/>
          <w:vertAlign w:val="superscript"/>
        </w:rPr>
        <w:t>th</w:t>
      </w:r>
      <w:r w:rsidRPr="004426DB">
        <w:rPr>
          <w:rStyle w:val="Hyperlink1"/>
          <w:rFonts w:ascii="Times New Roman" w:hAnsi="Times New Roman"/>
          <w:sz w:val="20"/>
          <w:szCs w:val="20"/>
        </w:rPr>
        <w:t>, Dec., 2013).</w:t>
      </w:r>
    </w:p>
  </w:footnote>
  <w:footnote w:id="33">
    <w:p w14:paraId="49D5AE42" w14:textId="77777777" w:rsidR="00E10BBA" w:rsidRPr="004426DB" w:rsidRDefault="00E10BBA" w:rsidP="00E10BBA">
      <w:pPr>
        <w:pStyle w:val="FootnoteText"/>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Hyperlink1"/>
          <w:rFonts w:ascii="Times New Roman" w:hAnsi="Times New Roman"/>
          <w:sz w:val="20"/>
          <w:szCs w:val="20"/>
        </w:rPr>
        <w:t>Bowsher J in RG Carter V Edmund Nutall, 2002.as cited in the work of Jon, Prudhoe.</w:t>
      </w:r>
    </w:p>
  </w:footnote>
  <w:footnote w:id="34">
    <w:p w14:paraId="258B0068" w14:textId="0E675759" w:rsidR="00E10BBA" w:rsidRPr="004426DB" w:rsidRDefault="00E10BBA" w:rsidP="00E10BBA">
      <w:pPr>
        <w:pStyle w:val="BodyA"/>
        <w:spacing w:after="0" w:line="240" w:lineRule="auto"/>
        <w:jc w:val="both"/>
        <w:rPr>
          <w:rFonts w:ascii="Times New Roman" w:hAnsi="Times New Roman" w:cs="Times New Roman"/>
          <w:color w:val="auto"/>
          <w:sz w:val="20"/>
          <w:szCs w:val="20"/>
        </w:rPr>
      </w:pPr>
      <w:r w:rsidRPr="004426DB">
        <w:rPr>
          <w:rStyle w:val="None"/>
          <w:rFonts w:ascii="Times New Roman" w:eastAsia="Times New Roman" w:hAnsi="Times New Roman" w:cs="Times New Roman"/>
          <w:color w:val="auto"/>
          <w:sz w:val="20"/>
          <w:szCs w:val="20"/>
          <w:vertAlign w:val="superscript"/>
        </w:rPr>
        <w:footnoteRef/>
      </w:r>
      <w:r w:rsidRPr="004426DB">
        <w:rPr>
          <w:rStyle w:val="None"/>
          <w:rFonts w:ascii="Times New Roman" w:hAnsi="Times New Roman" w:cs="Times New Roman"/>
          <w:color w:val="auto"/>
          <w:sz w:val="20"/>
          <w:szCs w:val="20"/>
        </w:rPr>
        <w:t>Vivian, R</w:t>
      </w:r>
      <w:r w:rsidR="009F5856" w:rsidRPr="004426DB">
        <w:rPr>
          <w:rStyle w:val="None"/>
          <w:rFonts w:ascii="Times New Roman" w:hAnsi="Times New Roman" w:cs="Times New Roman"/>
          <w:color w:val="auto"/>
          <w:sz w:val="20"/>
          <w:szCs w:val="20"/>
        </w:rPr>
        <w:t xml:space="preserve">,  </w:t>
      </w:r>
      <w:r w:rsidRPr="004426DB">
        <w:rPr>
          <w:rStyle w:val="None"/>
          <w:rFonts w:ascii="Times New Roman" w:hAnsi="Times New Roman" w:cs="Times New Roman"/>
          <w:color w:val="auto"/>
          <w:sz w:val="20"/>
          <w:szCs w:val="20"/>
        </w:rPr>
        <w:t>Nicholas G</w:t>
      </w:r>
      <w:r w:rsidR="009F5856" w:rsidRPr="004426DB">
        <w:rPr>
          <w:rStyle w:val="None"/>
          <w:rFonts w:ascii="Times New Roman" w:hAnsi="Times New Roman" w:cs="Times New Roman"/>
          <w:color w:val="auto"/>
          <w:sz w:val="20"/>
          <w:szCs w:val="20"/>
        </w:rPr>
        <w:t xml:space="preserve">, </w:t>
      </w:r>
      <w:r w:rsidRPr="004426DB">
        <w:rPr>
          <w:rStyle w:val="None"/>
          <w:rFonts w:ascii="Times New Roman" w:hAnsi="Times New Roman" w:cs="Times New Roman"/>
          <w:color w:val="auto"/>
          <w:sz w:val="20"/>
          <w:szCs w:val="20"/>
        </w:rPr>
        <w:t xml:space="preserve"> Robert G.QC  and</w:t>
      </w:r>
      <w:r w:rsidR="009F5856" w:rsidRPr="004426DB">
        <w:rPr>
          <w:rStyle w:val="None"/>
          <w:rFonts w:ascii="Times New Roman" w:hAnsi="Times New Roman" w:cs="Times New Roman"/>
          <w:color w:val="auto"/>
          <w:sz w:val="20"/>
          <w:szCs w:val="20"/>
        </w:rPr>
        <w:t xml:space="preserve"> </w:t>
      </w:r>
      <w:r w:rsidRPr="004426DB">
        <w:rPr>
          <w:rStyle w:val="None"/>
          <w:rFonts w:ascii="Times New Roman" w:hAnsi="Times New Roman" w:cs="Times New Roman"/>
          <w:color w:val="auto"/>
          <w:sz w:val="20"/>
          <w:szCs w:val="20"/>
          <w:lang w:val="de-DE"/>
        </w:rPr>
        <w:t>John Riches,</w:t>
      </w:r>
      <w:r w:rsidRPr="004426DB">
        <w:rPr>
          <w:rStyle w:val="Hyperlink10"/>
          <w:rFonts w:ascii="Times New Roman" w:hAnsi="Times New Roman" w:cs="Times New Roman"/>
          <w:color w:val="auto"/>
          <w:sz w:val="20"/>
          <w:szCs w:val="20"/>
        </w:rPr>
        <w:t xml:space="preserve"> As quoted in  </w:t>
      </w:r>
      <w:r w:rsidR="009F5856" w:rsidRPr="004426DB">
        <w:rPr>
          <w:rStyle w:val="None"/>
          <w:rFonts w:ascii="Times New Roman" w:hAnsi="Times New Roman" w:cs="Times New Roman"/>
          <w:color w:val="auto"/>
          <w:sz w:val="20"/>
          <w:szCs w:val="20"/>
        </w:rPr>
        <w:t xml:space="preserve">Bar Council’s View  in </w:t>
      </w:r>
      <w:r w:rsidRPr="004426DB">
        <w:rPr>
          <w:rStyle w:val="None"/>
          <w:rFonts w:ascii="Times New Roman" w:hAnsi="Times New Roman" w:cs="Times New Roman"/>
          <w:color w:val="auto"/>
          <w:sz w:val="20"/>
          <w:szCs w:val="20"/>
        </w:rPr>
        <w:t xml:space="preserve"> “Adjudication Around the World Limited to Only 11 Jurisdictions” (2013).</w:t>
      </w:r>
    </w:p>
  </w:footnote>
  <w:footnote w:id="35">
    <w:p w14:paraId="5931D899" w14:textId="3767423B" w:rsidR="00DE2F61" w:rsidRPr="004426DB" w:rsidRDefault="00DE2F61" w:rsidP="00DE2F61">
      <w:pPr>
        <w:pStyle w:val="FootnoteText"/>
        <w:widowControl w:val="0"/>
        <w:jc w:val="both"/>
        <w:rPr>
          <w:rFonts w:ascii="Times New Roman" w:hAnsi="Times New Roman"/>
        </w:rPr>
      </w:pPr>
      <w:r w:rsidRPr="004426DB">
        <w:rPr>
          <w:rStyle w:val="None"/>
          <w:rFonts w:ascii="Times New Roman" w:eastAsia="Times New Roman" w:hAnsi="Times New Roman"/>
          <w:vertAlign w:val="superscript"/>
        </w:rPr>
        <w:footnoteRef/>
      </w:r>
      <w:r w:rsidRPr="004426DB">
        <w:rPr>
          <w:rStyle w:val="None"/>
          <w:rFonts w:ascii="Times New Roman" w:hAnsi="Times New Roman"/>
        </w:rPr>
        <w:t>Goerge</w:t>
      </w:r>
      <w:r w:rsidR="009F5856" w:rsidRPr="004426DB">
        <w:rPr>
          <w:rStyle w:val="None"/>
          <w:rFonts w:ascii="Times New Roman" w:hAnsi="Times New Roman"/>
        </w:rPr>
        <w:t xml:space="preserve"> </w:t>
      </w:r>
      <w:r w:rsidRPr="004426DB">
        <w:rPr>
          <w:rStyle w:val="None"/>
          <w:rFonts w:ascii="Times New Roman" w:hAnsi="Times New Roman"/>
        </w:rPr>
        <w:t>Argyrous, “Statistics for Research: With a Guide to SPSS”, SAGE:  3</w:t>
      </w:r>
      <w:r w:rsidRPr="004426DB">
        <w:rPr>
          <w:rStyle w:val="None"/>
          <w:rFonts w:ascii="Times New Roman" w:hAnsi="Times New Roman"/>
          <w:vertAlign w:val="superscript"/>
        </w:rPr>
        <w:t>rd</w:t>
      </w:r>
      <w:r w:rsidRPr="004426DB">
        <w:rPr>
          <w:rStyle w:val="None"/>
          <w:rFonts w:ascii="Times New Roman" w:hAnsi="Times New Roman"/>
        </w:rPr>
        <w:t xml:space="preserve"> edition, 2011, 1-608.</w:t>
      </w:r>
    </w:p>
  </w:footnote>
  <w:footnote w:id="36">
    <w:p w14:paraId="2DA240CF" w14:textId="77777777" w:rsidR="00DE2F61" w:rsidRPr="004426DB" w:rsidRDefault="00DE2F61" w:rsidP="00DE2F61">
      <w:pPr>
        <w:pStyle w:val="FootnoteText"/>
        <w:widowControl w:val="0"/>
        <w:jc w:val="both"/>
        <w:rPr>
          <w:rFonts w:ascii="Times New Roman" w:hAnsi="Times New Roman"/>
        </w:rPr>
      </w:pPr>
      <w:r w:rsidRPr="004426DB">
        <w:rPr>
          <w:rFonts w:ascii="Times New Roman" w:eastAsia="Times New Roman" w:hAnsi="Times New Roman"/>
          <w:vertAlign w:val="superscript"/>
        </w:rPr>
        <w:footnoteRef/>
      </w:r>
      <w:r w:rsidRPr="004426DB">
        <w:rPr>
          <w:rFonts w:ascii="Times New Roman" w:hAnsi="Times New Roman"/>
        </w:rPr>
        <w:t xml:space="preserve"> Creswell, John W, Planning, Conducting and Evaluating Quantitative and Qualitative Research, 2012, 4</w:t>
      </w:r>
      <w:r w:rsidRPr="004426DB">
        <w:rPr>
          <w:rFonts w:ascii="Times New Roman" w:hAnsi="Times New Roman"/>
          <w:vertAlign w:val="superscript"/>
        </w:rPr>
        <w:t>th</w:t>
      </w:r>
      <w:r w:rsidRPr="004426DB">
        <w:rPr>
          <w:rFonts w:ascii="Times New Roman" w:hAnsi="Times New Roman"/>
        </w:rPr>
        <w:t xml:space="preserve"> Edition.</w:t>
      </w:r>
    </w:p>
  </w:footnote>
  <w:footnote w:id="37">
    <w:p w14:paraId="1E81D186" w14:textId="77777777" w:rsidR="002917D4" w:rsidRPr="004426DB" w:rsidRDefault="002917D4" w:rsidP="002917D4">
      <w:pPr>
        <w:pStyle w:val="FootnoteText"/>
        <w:widowControl w:val="0"/>
        <w:jc w:val="both"/>
        <w:rPr>
          <w:rFonts w:ascii="Times New Roman" w:hAnsi="Times New Roman"/>
        </w:rPr>
      </w:pPr>
      <w:r w:rsidRPr="004426DB">
        <w:rPr>
          <w:rFonts w:ascii="Times New Roman" w:eastAsia="Courier New" w:hAnsi="Times New Roman"/>
          <w:vertAlign w:val="superscript"/>
        </w:rPr>
        <w:footnoteRef/>
      </w:r>
      <w:r w:rsidRPr="004426DB">
        <w:rPr>
          <w:rFonts w:ascii="Times New Roman" w:hAnsi="Times New Roman"/>
        </w:rPr>
        <w:t>Ayodele, E.A and Alabi O.M, “</w:t>
      </w:r>
      <w:r w:rsidRPr="004426DB">
        <w:rPr>
          <w:rFonts w:ascii="Times New Roman" w:hAnsi="Times New Roman"/>
          <w:i/>
          <w:iCs/>
        </w:rPr>
        <w:t>Abandonment of Construction Projects in Nigeria: Causes and Effects</w:t>
      </w:r>
      <w:r w:rsidRPr="004426DB">
        <w:rPr>
          <w:rFonts w:ascii="Times New Roman" w:hAnsi="Times New Roman"/>
        </w:rPr>
        <w:t xml:space="preserve">”, Journal of Emerging Trends in Economics and Management Sciences (JETEMS), vol.2, no.2, (2011), 142-145.       </w:t>
      </w:r>
    </w:p>
  </w:footnote>
  <w:footnote w:id="38">
    <w:p w14:paraId="79C8E458" w14:textId="08E795B7" w:rsidR="002917D4" w:rsidRPr="004426DB" w:rsidRDefault="002917D4" w:rsidP="002917D4">
      <w:pPr>
        <w:jc w:val="both"/>
        <w:rPr>
          <w:sz w:val="20"/>
          <w:szCs w:val="20"/>
        </w:rPr>
      </w:pPr>
      <w:r w:rsidRPr="004426DB">
        <w:rPr>
          <w:rFonts w:eastAsia="Times New Roman"/>
          <w:sz w:val="20"/>
          <w:szCs w:val="20"/>
          <w:vertAlign w:val="superscript"/>
        </w:rPr>
        <w:footnoteRef/>
      </w:r>
      <w:r w:rsidRPr="004426DB">
        <w:rPr>
          <w:sz w:val="20"/>
          <w:szCs w:val="20"/>
        </w:rPr>
        <w:t>Animash</w:t>
      </w:r>
      <w:r w:rsidR="009F5856" w:rsidRPr="004426DB">
        <w:rPr>
          <w:sz w:val="20"/>
          <w:szCs w:val="20"/>
        </w:rPr>
        <w:t>aun, Oyesola, and Kola O. Odeku,</w:t>
      </w:r>
      <w:r w:rsidRPr="004426DB">
        <w:rPr>
          <w:sz w:val="20"/>
          <w:szCs w:val="20"/>
        </w:rPr>
        <w:t xml:space="preserve"> "Industrial Conflict Resolution using Court-connected Alternative Dispute Resolution." </w:t>
      </w:r>
      <w:r w:rsidRPr="004426DB">
        <w:rPr>
          <w:i/>
          <w:iCs/>
          <w:sz w:val="20"/>
          <w:szCs w:val="20"/>
        </w:rPr>
        <w:t>Mediterranean Journal of Social Sciences</w:t>
      </w:r>
      <w:r w:rsidR="009F5856" w:rsidRPr="004426DB">
        <w:rPr>
          <w:sz w:val="20"/>
          <w:szCs w:val="20"/>
        </w:rPr>
        <w:t xml:space="preserve"> 5.16 (2014): 683; Othman</w:t>
      </w:r>
      <w:r w:rsidRPr="004426DB">
        <w:rPr>
          <w:sz w:val="20"/>
          <w:szCs w:val="20"/>
        </w:rPr>
        <w:t>, Wan Halim, "</w:t>
      </w:r>
      <w:r w:rsidR="009F5856" w:rsidRPr="004426DB">
        <w:rPr>
          <w:sz w:val="20"/>
          <w:szCs w:val="20"/>
        </w:rPr>
        <w:t>Community Mediation in Malaysia,</w:t>
      </w:r>
      <w:r w:rsidRPr="004426DB">
        <w:rPr>
          <w:sz w:val="20"/>
          <w:szCs w:val="20"/>
        </w:rPr>
        <w:t>" Constructive Conflict Management: Asia Pacific Cases, London: Sage Publication (1996): 29-42.</w:t>
      </w:r>
    </w:p>
  </w:footnote>
  <w:footnote w:id="39">
    <w:p w14:paraId="7ED38303" w14:textId="1503EDB9" w:rsidR="000C4DBF" w:rsidRPr="004426DB" w:rsidRDefault="000C4DBF" w:rsidP="000C4DBF">
      <w:pPr>
        <w:pStyle w:val="FootnoteText"/>
        <w:widowControl w:val="0"/>
        <w:jc w:val="both"/>
        <w:rPr>
          <w:rFonts w:ascii="Times New Roman" w:hAnsi="Times New Roman"/>
        </w:rPr>
      </w:pPr>
      <w:r w:rsidRPr="004426DB">
        <w:rPr>
          <w:rFonts w:ascii="Times New Roman" w:eastAsia="Times New Roman" w:hAnsi="Times New Roman"/>
          <w:vertAlign w:val="superscript"/>
        </w:rPr>
        <w:footnoteRef/>
      </w:r>
      <w:r w:rsidRPr="004426DB">
        <w:rPr>
          <w:rFonts w:ascii="Times New Roman" w:hAnsi="Times New Roman"/>
        </w:rPr>
        <w:t>Ukets E.E, “</w:t>
      </w:r>
      <w:r w:rsidRPr="004426DB">
        <w:rPr>
          <w:rFonts w:ascii="Times New Roman" w:hAnsi="Times New Roman"/>
          <w:i/>
          <w:iCs/>
        </w:rPr>
        <w:t>Root Causes of Project Abandonment in Tertiary Institutions in Nigeria</w:t>
      </w:r>
      <w:r w:rsidR="009F5856" w:rsidRPr="004426DB">
        <w:rPr>
          <w:rFonts w:ascii="Times New Roman" w:hAnsi="Times New Roman"/>
          <w:i/>
          <w:iCs/>
        </w:rPr>
        <w:t>,</w:t>
      </w:r>
      <w:r w:rsidRPr="004426DB">
        <w:rPr>
          <w:rFonts w:ascii="Times New Roman" w:hAnsi="Times New Roman"/>
        </w:rPr>
        <w:t>” International Business Research, Vol.6, No.11, (2013), 149-159.</w:t>
      </w:r>
    </w:p>
  </w:footnote>
  <w:footnote w:id="40">
    <w:p w14:paraId="41E12061" w14:textId="157DC1AA" w:rsidR="000C4DBF" w:rsidRPr="004426DB" w:rsidRDefault="000C4DBF" w:rsidP="000C4DBF">
      <w:pPr>
        <w:pStyle w:val="FootnoteText"/>
        <w:widowControl w:val="0"/>
        <w:jc w:val="both"/>
        <w:rPr>
          <w:rFonts w:ascii="Times New Roman" w:hAnsi="Times New Roman"/>
        </w:rPr>
      </w:pPr>
      <w:r w:rsidRPr="004426DB">
        <w:rPr>
          <w:rFonts w:ascii="Times New Roman" w:eastAsia="Times New Roman" w:hAnsi="Times New Roman"/>
          <w:vertAlign w:val="superscript"/>
        </w:rPr>
        <w:footnoteRef/>
      </w:r>
      <w:r w:rsidRPr="004426DB">
        <w:rPr>
          <w:rFonts w:ascii="Times New Roman" w:hAnsi="Times New Roman"/>
        </w:rPr>
        <w:t>Okechukwu</w:t>
      </w:r>
      <w:r w:rsidR="009F5856" w:rsidRPr="004426DB">
        <w:rPr>
          <w:rFonts w:ascii="Times New Roman" w:hAnsi="Times New Roman"/>
        </w:rPr>
        <w:t xml:space="preserve"> </w:t>
      </w:r>
      <w:r w:rsidRPr="004426DB">
        <w:rPr>
          <w:rFonts w:ascii="Times New Roman" w:hAnsi="Times New Roman"/>
        </w:rPr>
        <w:t xml:space="preserve">Oko, “Seeking justice in Transnational Societies: An Analysis of the Problems and Failures of the Judiciary in Nigeria”, </w:t>
      </w:r>
      <w:r w:rsidRPr="004426DB">
        <w:rPr>
          <w:rFonts w:ascii="Times New Roman" w:hAnsi="Times New Roman"/>
          <w:i/>
          <w:iCs/>
        </w:rPr>
        <w:t>Brook Journal of International Law,</w:t>
      </w:r>
      <w:r w:rsidRPr="004426DB">
        <w:rPr>
          <w:rFonts w:ascii="Times New Roman" w:hAnsi="Times New Roman"/>
        </w:rPr>
        <w:t xml:space="preserve"> vol.31, no.1, (2005), 9-82.</w:t>
      </w:r>
    </w:p>
  </w:footnote>
  <w:footnote w:id="41">
    <w:p w14:paraId="413EADAC" w14:textId="43C625DC" w:rsidR="000A06AF" w:rsidRPr="004426DB" w:rsidRDefault="000A06AF" w:rsidP="000A06AF">
      <w:pPr>
        <w:pStyle w:val="FootnoteText"/>
        <w:widowControl w:val="0"/>
        <w:jc w:val="both"/>
        <w:rPr>
          <w:rFonts w:ascii="Times New Roman" w:hAnsi="Times New Roman"/>
        </w:rPr>
      </w:pPr>
      <w:r w:rsidRPr="004426DB">
        <w:rPr>
          <w:rFonts w:ascii="Times New Roman" w:eastAsia="Times New Roman" w:hAnsi="Times New Roman"/>
          <w:vertAlign w:val="superscript"/>
        </w:rPr>
        <w:footnoteRef/>
      </w:r>
      <w:r w:rsidRPr="004426DB">
        <w:rPr>
          <w:rFonts w:ascii="Times New Roman" w:hAnsi="Times New Roman"/>
        </w:rPr>
        <w:t xml:space="preserve">Abubakar M. Sani, </w:t>
      </w:r>
      <w:r w:rsidRPr="004426DB">
        <w:rPr>
          <w:rFonts w:ascii="Times New Roman" w:hAnsi="Times New Roman"/>
          <w:i/>
          <w:iCs/>
        </w:rPr>
        <w:t xml:space="preserve">“Modern Trends in Commercial Dispute Resolution through Arbitration in Nigeria: Prospects and </w:t>
      </w:r>
      <w:r w:rsidR="009F5856" w:rsidRPr="004426DB">
        <w:rPr>
          <w:rFonts w:ascii="Times New Roman" w:hAnsi="Times New Roman"/>
          <w:i/>
          <w:iCs/>
        </w:rPr>
        <w:t>Constraints”, Journal</w:t>
      </w:r>
      <w:r w:rsidRPr="004426DB">
        <w:rPr>
          <w:rFonts w:ascii="Times New Roman" w:hAnsi="Times New Roman"/>
          <w:i/>
          <w:iCs/>
        </w:rPr>
        <w:t xml:space="preserve"> of Marketing and Consumer Research, An International Peer-reviewed Journal,</w:t>
      </w:r>
      <w:r w:rsidRPr="004426DB">
        <w:rPr>
          <w:rFonts w:ascii="Times New Roman" w:hAnsi="Times New Roman"/>
        </w:rPr>
        <w:t xml:space="preserve"> Vol.8, (2015), 14-12.    </w:t>
      </w:r>
    </w:p>
  </w:footnote>
  <w:footnote w:id="42">
    <w:p w14:paraId="4EEFDE10" w14:textId="56F52448" w:rsidR="000C4DBF" w:rsidRPr="004426DB" w:rsidRDefault="000C4DBF" w:rsidP="000C4DBF">
      <w:pPr>
        <w:jc w:val="both"/>
        <w:rPr>
          <w:sz w:val="20"/>
          <w:szCs w:val="20"/>
        </w:rPr>
      </w:pPr>
      <w:r w:rsidRPr="004426DB">
        <w:rPr>
          <w:rFonts w:eastAsia="Times New Roman"/>
          <w:sz w:val="20"/>
          <w:szCs w:val="20"/>
          <w:vertAlign w:val="superscript"/>
        </w:rPr>
        <w:footnoteRef/>
      </w:r>
      <w:r w:rsidRPr="004426DB">
        <w:rPr>
          <w:sz w:val="20"/>
          <w:szCs w:val="20"/>
        </w:rPr>
        <w:t>Abolore, Alabi</w:t>
      </w:r>
      <w:r w:rsidR="009F5856" w:rsidRPr="004426DB">
        <w:rPr>
          <w:sz w:val="20"/>
          <w:szCs w:val="20"/>
        </w:rPr>
        <w:t xml:space="preserve"> </w:t>
      </w:r>
      <w:r w:rsidRPr="004426DB">
        <w:rPr>
          <w:sz w:val="20"/>
          <w:szCs w:val="20"/>
        </w:rPr>
        <w:t>Afees. "Comparative study of environmental sustainability in building const</w:t>
      </w:r>
      <w:r w:rsidR="009F5856" w:rsidRPr="004426DB">
        <w:rPr>
          <w:sz w:val="20"/>
          <w:szCs w:val="20"/>
        </w:rPr>
        <w:t>ruction in Nigeria and Malaysia,</w:t>
      </w:r>
      <w:r w:rsidRPr="004426DB">
        <w:rPr>
          <w:sz w:val="20"/>
          <w:szCs w:val="20"/>
        </w:rPr>
        <w:t xml:space="preserve">" </w:t>
      </w:r>
      <w:r w:rsidRPr="004426DB">
        <w:rPr>
          <w:i/>
          <w:iCs/>
          <w:sz w:val="20"/>
          <w:szCs w:val="20"/>
        </w:rPr>
        <w:t>Journal of Emerging Trends in Economics and Management Sciences</w:t>
      </w:r>
      <w:r w:rsidR="009F5856" w:rsidRPr="004426DB">
        <w:rPr>
          <w:sz w:val="20"/>
          <w:szCs w:val="20"/>
        </w:rPr>
        <w:t xml:space="preserve"> 3.6 (2012): 951-961; </w:t>
      </w:r>
      <w:r w:rsidRPr="004426DB">
        <w:rPr>
          <w:sz w:val="20"/>
          <w:szCs w:val="20"/>
        </w:rPr>
        <w:t xml:space="preserve">Akpan, E. O. P., B. Amade, S. E. Okangba, and C. O. Ekweozor. "Constructability practice and project delivery processes in the Nigerian construction industry." </w:t>
      </w:r>
      <w:r w:rsidRPr="004426DB">
        <w:rPr>
          <w:i/>
          <w:iCs/>
          <w:sz w:val="20"/>
          <w:szCs w:val="20"/>
        </w:rPr>
        <w:t>Journal of Building Performance</w:t>
      </w:r>
      <w:r w:rsidRPr="004426DB">
        <w:rPr>
          <w:sz w:val="20"/>
          <w:szCs w:val="20"/>
        </w:rPr>
        <w:t xml:space="preserve"> </w:t>
      </w:r>
      <w:r w:rsidR="009F5856" w:rsidRPr="004426DB">
        <w:rPr>
          <w:sz w:val="20"/>
          <w:szCs w:val="20"/>
        </w:rPr>
        <w:t>5, no. 1 (2014), 11-21;</w:t>
      </w:r>
      <w:r w:rsidRPr="004426DB">
        <w:rPr>
          <w:sz w:val="20"/>
          <w:szCs w:val="20"/>
        </w:rPr>
        <w:t xml:space="preserve"> Windapo, Abimbola, and Olusegun Martins. "An investigation into Nigerian property construction companies perception of critical risk." </w:t>
      </w:r>
      <w:r w:rsidRPr="004426DB">
        <w:rPr>
          <w:i/>
          <w:iCs/>
          <w:sz w:val="20"/>
          <w:szCs w:val="20"/>
        </w:rPr>
        <w:t>Insurance Markets and Companies: Analyses and Actuarial Computations</w:t>
      </w:r>
      <w:r w:rsidR="009F5856" w:rsidRPr="004426DB">
        <w:rPr>
          <w:sz w:val="20"/>
          <w:szCs w:val="20"/>
        </w:rPr>
        <w:t xml:space="preserve"> 1.1 (2010): 78-83; </w:t>
      </w:r>
      <w:r w:rsidRPr="004426DB">
        <w:rPr>
          <w:sz w:val="20"/>
          <w:szCs w:val="20"/>
        </w:rPr>
        <w:t>Jimoh, R. A. "Improving site management practices in the Nigerian construction industry: The builders</w:t>
      </w:r>
      <w:r w:rsidRPr="004426DB">
        <w:rPr>
          <w:sz w:val="20"/>
          <w:szCs w:val="20"/>
          <w:lang w:val="fr-FR"/>
        </w:rPr>
        <w:t xml:space="preserve">’ </w:t>
      </w:r>
      <w:r w:rsidRPr="004426DB">
        <w:rPr>
          <w:sz w:val="20"/>
          <w:szCs w:val="20"/>
        </w:rPr>
        <w:t xml:space="preserve">perspective." </w:t>
      </w:r>
      <w:r w:rsidRPr="004426DB">
        <w:rPr>
          <w:i/>
          <w:iCs/>
          <w:sz w:val="20"/>
          <w:szCs w:val="20"/>
        </w:rPr>
        <w:t>Ethiopian Journal of Environmental Studies and Management</w:t>
      </w:r>
      <w:r w:rsidRPr="004426DB">
        <w:rPr>
          <w:sz w:val="20"/>
          <w:szCs w:val="20"/>
        </w:rPr>
        <w:t xml:space="preserve"> 5.4 (2012): 366-372.</w:t>
      </w:r>
    </w:p>
  </w:footnote>
  <w:footnote w:id="43">
    <w:p w14:paraId="306F56E6" w14:textId="77777777" w:rsidR="00693813" w:rsidRPr="004426DB" w:rsidRDefault="00693813" w:rsidP="00693813">
      <w:pPr>
        <w:jc w:val="both"/>
        <w:rPr>
          <w:sz w:val="20"/>
          <w:szCs w:val="20"/>
        </w:rPr>
      </w:pPr>
      <w:r w:rsidRPr="004426DB">
        <w:rPr>
          <w:rFonts w:eastAsia="Times New Roman"/>
          <w:sz w:val="20"/>
          <w:szCs w:val="20"/>
          <w:vertAlign w:val="superscript"/>
        </w:rPr>
        <w:footnoteRef/>
      </w:r>
      <w:r w:rsidRPr="004426DB">
        <w:rPr>
          <w:sz w:val="20"/>
          <w:szCs w:val="20"/>
        </w:rPr>
        <w:t xml:space="preserve"> This opinion was expressed by Architect Abdur-Raheem Abdul- Baqi, the Director of Land and Building, Ilorin, Kwara State in the North-Central Zone in the interview conducted on him by the researcher on 17</w:t>
      </w:r>
      <w:r w:rsidRPr="004426DB">
        <w:rPr>
          <w:sz w:val="20"/>
          <w:szCs w:val="20"/>
          <w:vertAlign w:val="superscript"/>
        </w:rPr>
        <w:t>th</w:t>
      </w:r>
      <w:r w:rsidRPr="004426DB">
        <w:rPr>
          <w:sz w:val="20"/>
          <w:szCs w:val="20"/>
        </w:rPr>
        <w:t xml:space="preserve"> June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DE8C7" w14:textId="77777777" w:rsidR="00B27DCA" w:rsidRDefault="00B27DC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6C1D9F"/>
    <w:multiLevelType w:val="hybridMultilevel"/>
    <w:tmpl w:val="3DCAC6A2"/>
    <w:styleLink w:val="ImportedStyle1"/>
    <w:lvl w:ilvl="0" w:tplc="E87EA9C4">
      <w:start w:val="1"/>
      <w:numFmt w:val="decimal"/>
      <w:lvlText w:val="%1."/>
      <w:lvlJc w:val="left"/>
      <w:pPr>
        <w:tabs>
          <w:tab w:val="left" w:pos="1104"/>
        </w:tabs>
        <w:ind w:left="1077" w:hanging="30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B6250DA">
      <w:start w:val="1"/>
      <w:numFmt w:val="lowerLetter"/>
      <w:lvlText w:val="%2."/>
      <w:lvlJc w:val="left"/>
      <w:pPr>
        <w:tabs>
          <w:tab w:val="left" w:pos="1104"/>
        </w:tabs>
        <w:ind w:left="5088"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44C3EA">
      <w:start w:val="1"/>
      <w:numFmt w:val="lowerRoman"/>
      <w:lvlText w:val="%3."/>
      <w:lvlJc w:val="left"/>
      <w:pPr>
        <w:tabs>
          <w:tab w:val="left" w:pos="1104"/>
        </w:tabs>
        <w:ind w:left="5813" w:hanging="2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69A44A4">
      <w:start w:val="1"/>
      <w:numFmt w:val="decimal"/>
      <w:lvlText w:val="%4."/>
      <w:lvlJc w:val="left"/>
      <w:pPr>
        <w:tabs>
          <w:tab w:val="left" w:pos="1104"/>
        </w:tabs>
        <w:ind w:left="6528"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BEF81E">
      <w:start w:val="1"/>
      <w:numFmt w:val="lowerLetter"/>
      <w:lvlText w:val="%5."/>
      <w:lvlJc w:val="left"/>
      <w:pPr>
        <w:tabs>
          <w:tab w:val="left" w:pos="1104"/>
        </w:tabs>
        <w:ind w:left="7248"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E24BA56">
      <w:start w:val="1"/>
      <w:numFmt w:val="lowerRoman"/>
      <w:lvlText w:val="%6."/>
      <w:lvlJc w:val="left"/>
      <w:pPr>
        <w:tabs>
          <w:tab w:val="left" w:pos="1104"/>
        </w:tabs>
        <w:ind w:left="7973" w:hanging="2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F9EFF02">
      <w:start w:val="1"/>
      <w:numFmt w:val="decimal"/>
      <w:lvlText w:val="%7."/>
      <w:lvlJc w:val="left"/>
      <w:pPr>
        <w:tabs>
          <w:tab w:val="left" w:pos="1104"/>
        </w:tabs>
        <w:ind w:left="8688"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F8B412">
      <w:start w:val="1"/>
      <w:numFmt w:val="lowerLetter"/>
      <w:lvlText w:val="%8."/>
      <w:lvlJc w:val="left"/>
      <w:pPr>
        <w:tabs>
          <w:tab w:val="left" w:pos="1104"/>
        </w:tabs>
        <w:ind w:left="9408"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6C1244">
      <w:start w:val="1"/>
      <w:numFmt w:val="lowerRoman"/>
      <w:lvlText w:val="%9."/>
      <w:lvlJc w:val="left"/>
      <w:pPr>
        <w:tabs>
          <w:tab w:val="left" w:pos="1104"/>
        </w:tabs>
        <w:ind w:left="10133" w:hanging="2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7E793866"/>
    <w:multiLevelType w:val="hybridMultilevel"/>
    <w:tmpl w:val="3DCAC6A2"/>
    <w:numStyleLink w:val="ImportedStyle1"/>
  </w:abstractNum>
  <w:abstractNum w:abstractNumId="2">
    <w:nsid w:val="7EED0FE0"/>
    <w:multiLevelType w:val="multilevel"/>
    <w:tmpl w:val="93C68E54"/>
    <w:lvl w:ilvl="0">
      <w:start w:val="1"/>
      <w:numFmt w:val="decimal"/>
      <w:pStyle w:val="Heading1"/>
      <w:suff w:val="nothing"/>
      <w:lvlText w:val="%1"/>
      <w:lvlJc w:val="center"/>
      <w:pPr>
        <w:ind w:left="0" w:firstLine="0"/>
      </w:pPr>
      <w:rPr>
        <w:rFonts w:ascii="Times New Roman" w:hAnsi="Times New Roman" w:hint="default"/>
        <w:b/>
        <w:bCs w:val="0"/>
        <w:i w:val="0"/>
        <w:iCs w:val="0"/>
        <w:caps w:val="0"/>
        <w:strike w:val="0"/>
        <w:dstrike w:val="0"/>
        <w:vanish/>
        <w:color w:val="auto"/>
        <w:spacing w:val="0"/>
        <w:kern w:val="0"/>
        <w:position w:val="0"/>
        <w:sz w:val="28"/>
        <w:u w:val="none"/>
        <w:vertAlign w:val="baseline"/>
        <w:em w:val="none"/>
      </w:rPr>
    </w:lvl>
    <w:lvl w:ilvl="1">
      <w:start w:val="1"/>
      <w:numFmt w:val="decimal"/>
      <w:suff w:val="space"/>
      <w:lvlText w:val="%1.%2"/>
      <w:lvlJc w:val="left"/>
      <w:pPr>
        <w:ind w:left="0" w:firstLine="0"/>
      </w:pPr>
      <w:rPr>
        <w:rFonts w:ascii="Times New Roman" w:hAnsi="Times New Roman" w:hint="default"/>
        <w:b/>
        <w:color w:val="auto"/>
        <w:sz w:val="24"/>
        <w:u w:val="none"/>
      </w:rPr>
    </w:lvl>
    <w:lvl w:ilvl="2">
      <w:start w:val="1"/>
      <w:numFmt w:val="decimal"/>
      <w:suff w:val="space"/>
      <w:lvlText w:val="%1.%2.%3"/>
      <w:lvlJc w:val="left"/>
      <w:pPr>
        <w:ind w:left="568" w:firstLine="0"/>
      </w:pPr>
      <w:rPr>
        <w:rFonts w:hint="default"/>
        <w:b/>
        <w:i w:val="0"/>
        <w:color w:val="auto"/>
        <w:sz w:val="24"/>
        <w:u w:val="none"/>
      </w:rPr>
    </w:lvl>
    <w:lvl w:ilvl="3">
      <w:start w:val="1"/>
      <w:numFmt w:val="decimal"/>
      <w:suff w:val="space"/>
      <w:lvlText w:val="%1.%2.%3.%4"/>
      <w:lvlJc w:val="left"/>
      <w:pPr>
        <w:ind w:left="0" w:firstLine="0"/>
      </w:pPr>
      <w:rPr>
        <w:rFonts w:ascii="Times New Roman" w:hAnsi="Times New Roman" w:hint="default"/>
        <w:b/>
        <w:i/>
        <w:color w:val="auto"/>
        <w:sz w:val="24"/>
        <w:u w:val="none"/>
      </w:rPr>
    </w:lvl>
    <w:lvl w:ilvl="4">
      <w:start w:val="1"/>
      <w:numFmt w:val="decimal"/>
      <w:pStyle w:val="Heading5"/>
      <w:suff w:val="space"/>
      <w:lvlText w:val="%1.%2.%3.%4.%5"/>
      <w:lvlJc w:val="left"/>
      <w:pPr>
        <w:ind w:left="0" w:firstLine="0"/>
      </w:pPr>
      <w:rPr>
        <w:rFonts w:ascii="Times New Roman" w:hAnsi="Times New Roman" w:hint="default"/>
        <w:i/>
        <w:color w:val="auto"/>
        <w:sz w:val="24"/>
        <w:u w:val="single"/>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ascii="Times New Roman" w:eastAsia="Times New Roman" w:hAnsi="Times New Roman" w:cs="Times New Roman"/>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lvl w:ilvl="0" w:tplc="45D0CC12">
        <w:start w:val="1"/>
        <w:numFmt w:val="decimal"/>
        <w:lvlText w:val="%1."/>
        <w:lvlJc w:val="left"/>
        <w:pPr>
          <w:tabs>
            <w:tab w:val="left" w:pos="1104"/>
          </w:tabs>
          <w:ind w:left="660" w:hanging="30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5B9E2B56">
        <w:start w:val="1"/>
        <w:numFmt w:val="lowerLetter"/>
        <w:lvlText w:val="%2."/>
        <w:lvlJc w:val="left"/>
        <w:pPr>
          <w:tabs>
            <w:tab w:val="left" w:pos="1104"/>
          </w:tabs>
          <w:ind w:left="1380" w:hanging="30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D188FBD0">
        <w:start w:val="1"/>
        <w:numFmt w:val="decimal"/>
        <w:lvlText w:val="%2.%3."/>
        <w:lvlJc w:val="left"/>
        <w:pPr>
          <w:tabs>
            <w:tab w:val="left" w:pos="566"/>
          </w:tabs>
          <w:ind w:left="445" w:hanging="445"/>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091E01F6">
        <w:start w:val="1"/>
        <w:numFmt w:val="decimal"/>
        <w:lvlText w:val="%2.%3.%4."/>
        <w:lvlJc w:val="left"/>
        <w:pPr>
          <w:tabs>
            <w:tab w:val="left" w:pos="1104"/>
          </w:tabs>
          <w:ind w:left="770" w:hanging="77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7366A6A2">
        <w:start w:val="1"/>
        <w:numFmt w:val="decimal"/>
        <w:lvlText w:val="%2.%3.%4.%5."/>
        <w:lvlJc w:val="left"/>
        <w:pPr>
          <w:tabs>
            <w:tab w:val="left" w:pos="1104"/>
          </w:tabs>
          <w:ind w:left="1155" w:hanging="1155"/>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302A0980">
        <w:start w:val="1"/>
        <w:numFmt w:val="decimal"/>
        <w:lvlText w:val="%2.%3.%4.%5.%6."/>
        <w:lvlJc w:val="left"/>
        <w:pPr>
          <w:tabs>
            <w:tab w:val="left" w:pos="1104"/>
          </w:tabs>
          <w:ind w:left="1155" w:hanging="1155"/>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D3D2D8C4">
        <w:start w:val="1"/>
        <w:numFmt w:val="decimal"/>
        <w:lvlText w:val="%2.%3.%4.%5.%6.%7."/>
        <w:lvlJc w:val="left"/>
        <w:pPr>
          <w:tabs>
            <w:tab w:val="left" w:pos="1104"/>
          </w:tabs>
          <w:ind w:left="1540" w:hanging="154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50B81CC4">
        <w:start w:val="1"/>
        <w:numFmt w:val="decimal"/>
        <w:lvlText w:val="%2.%3.%4.%5.%6.%7.%8."/>
        <w:lvlJc w:val="left"/>
        <w:pPr>
          <w:tabs>
            <w:tab w:val="left" w:pos="1104"/>
          </w:tabs>
          <w:ind w:left="1540" w:hanging="1540"/>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F8D4993E">
        <w:start w:val="1"/>
        <w:numFmt w:val="decimal"/>
        <w:lvlText w:val="%2.%3.%4.%5.%6.%7.%8.%9."/>
        <w:lvlJc w:val="left"/>
        <w:pPr>
          <w:tabs>
            <w:tab w:val="left" w:pos="1104"/>
          </w:tabs>
          <w:ind w:left="1925" w:hanging="1925"/>
        </w:pPr>
        <w:rPr>
          <w:rFonts w:hAnsi="Arial Unicode MS"/>
          <w:b/>
          <w:bC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DCA"/>
    <w:rsid w:val="000A06AF"/>
    <w:rsid w:val="000C4DBF"/>
    <w:rsid w:val="002022E9"/>
    <w:rsid w:val="00260D2D"/>
    <w:rsid w:val="002917D4"/>
    <w:rsid w:val="002B55D4"/>
    <w:rsid w:val="0035247C"/>
    <w:rsid w:val="00384BDD"/>
    <w:rsid w:val="003870F0"/>
    <w:rsid w:val="004426DB"/>
    <w:rsid w:val="004E7831"/>
    <w:rsid w:val="00507936"/>
    <w:rsid w:val="00647ED4"/>
    <w:rsid w:val="00693813"/>
    <w:rsid w:val="007E5ECB"/>
    <w:rsid w:val="008A3B2C"/>
    <w:rsid w:val="00922C50"/>
    <w:rsid w:val="00953BEB"/>
    <w:rsid w:val="009A40B9"/>
    <w:rsid w:val="009F5856"/>
    <w:rsid w:val="00A34397"/>
    <w:rsid w:val="00AA19FB"/>
    <w:rsid w:val="00B27DCA"/>
    <w:rsid w:val="00BD762B"/>
    <w:rsid w:val="00C11112"/>
    <w:rsid w:val="00CC392C"/>
    <w:rsid w:val="00D41810"/>
    <w:rsid w:val="00DC197A"/>
    <w:rsid w:val="00DE2F61"/>
    <w:rsid w:val="00E10BBA"/>
    <w:rsid w:val="00EF10DB"/>
    <w:rsid w:val="00FB6075"/>
    <w:rsid w:val="00FF173F"/>
    <w:rsid w:val="00FF53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D6C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uiPriority w:val="9"/>
    <w:qFormat/>
    <w:rsid w:val="00E10BBA"/>
    <w:pPr>
      <w:keepNext/>
      <w:keepLines/>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after="960"/>
      <w:jc w:val="center"/>
      <w:outlineLvl w:val="0"/>
    </w:pPr>
    <w:rPr>
      <w:rFonts w:eastAsiaTheme="majorEastAsia" w:cstheme="majorBidi"/>
      <w:b/>
      <w:bCs/>
      <w:caps/>
      <w:sz w:val="28"/>
      <w:szCs w:val="28"/>
      <w:bdr w:val="none" w:sz="0" w:space="0" w:color="auto"/>
    </w:rPr>
  </w:style>
  <w:style w:type="paragraph" w:styleId="Heading3">
    <w:name w:val="heading 3"/>
    <w:basedOn w:val="Normal"/>
    <w:next w:val="Normal"/>
    <w:link w:val="Heading3Char"/>
    <w:autoRedefine/>
    <w:uiPriority w:val="9"/>
    <w:unhideWhenUsed/>
    <w:qFormat/>
    <w:rsid w:val="00E10B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240"/>
      <w:jc w:val="both"/>
      <w:outlineLvl w:val="2"/>
    </w:pPr>
    <w:rPr>
      <w:rFonts w:eastAsia="Microsoft JhengHei Light"/>
      <w:color w:val="333333"/>
      <w:u w:color="333333"/>
      <w:bdr w:val="none" w:sz="0" w:space="0" w:color="auto" w:frame="1"/>
      <w:shd w:val="clear" w:color="auto" w:fill="FFFFFF"/>
      <w:lang w:val="fr-FR"/>
    </w:rPr>
  </w:style>
  <w:style w:type="paragraph" w:styleId="Heading5">
    <w:name w:val="heading 5"/>
    <w:basedOn w:val="Normal"/>
    <w:next w:val="Normal"/>
    <w:link w:val="Heading5Char"/>
    <w:uiPriority w:val="9"/>
    <w:unhideWhenUsed/>
    <w:qFormat/>
    <w:rsid w:val="00E10BBA"/>
    <w:pPr>
      <w:keepNext/>
      <w:keepLines/>
      <w:numPr>
        <w:ilvl w:val="4"/>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jc w:val="both"/>
      <w:outlineLvl w:val="4"/>
    </w:pPr>
    <w:rPr>
      <w:rFonts w:eastAsiaTheme="majorEastAsia" w:cstheme="majorBidi"/>
      <w:i/>
      <w:szCs w:val="22"/>
      <w:u w:val="single"/>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PreliminaryHeadings">
    <w:name w:val="Preliminary Headings"/>
    <w:next w:val="Body"/>
    <w:pPr>
      <w:spacing w:line="960" w:lineRule="auto"/>
      <w:jc w:val="center"/>
      <w:outlineLvl w:val="0"/>
    </w:pPr>
    <w:rPr>
      <w:rFonts w:cs="Arial Unicode MS"/>
      <w:b/>
      <w:bCs/>
      <w:caps/>
      <w:color w:val="000000"/>
      <w:sz w:val="28"/>
      <w:szCs w:val="28"/>
      <w:u w:color="000000"/>
    </w:rPr>
  </w:style>
  <w:style w:type="paragraph" w:customStyle="1" w:styleId="Body">
    <w:name w:val="Body"/>
    <w:rPr>
      <w:rFonts w:ascii="Helvetica" w:hAnsi="Helvetica" w:cs="Arial Unicode MS"/>
      <w:color w:val="000000"/>
      <w:sz w:val="22"/>
      <w:szCs w:val="22"/>
    </w:rPr>
  </w:style>
  <w:style w:type="paragraph" w:customStyle="1" w:styleId="BodyA">
    <w:name w:val="Body A"/>
    <w:pPr>
      <w:spacing w:after="160" w:line="259" w:lineRule="auto"/>
    </w:pPr>
    <w:rPr>
      <w:rFonts w:ascii="Calibri" w:eastAsia="Calibri" w:hAnsi="Calibri" w:cs="Calibri"/>
      <w:color w:val="000000"/>
      <w:sz w:val="22"/>
      <w:szCs w:val="22"/>
      <w:u w:color="000000"/>
    </w:rPr>
  </w:style>
  <w:style w:type="character" w:customStyle="1" w:styleId="Heading1Char">
    <w:name w:val="Heading 1 Char"/>
    <w:basedOn w:val="DefaultParagraphFont"/>
    <w:link w:val="Heading1"/>
    <w:uiPriority w:val="9"/>
    <w:rsid w:val="00E10BBA"/>
    <w:rPr>
      <w:rFonts w:eastAsiaTheme="majorEastAsia" w:cstheme="majorBidi"/>
      <w:b/>
      <w:bCs/>
      <w:caps/>
      <w:sz w:val="28"/>
      <w:szCs w:val="28"/>
      <w:bdr w:val="none" w:sz="0" w:space="0" w:color="auto"/>
    </w:rPr>
  </w:style>
  <w:style w:type="character" w:customStyle="1" w:styleId="Heading3Char">
    <w:name w:val="Heading 3 Char"/>
    <w:basedOn w:val="DefaultParagraphFont"/>
    <w:link w:val="Heading3"/>
    <w:uiPriority w:val="9"/>
    <w:rsid w:val="00E10BBA"/>
    <w:rPr>
      <w:rFonts w:eastAsia="Microsoft JhengHei Light"/>
      <w:color w:val="333333"/>
      <w:sz w:val="24"/>
      <w:szCs w:val="24"/>
      <w:u w:color="333333"/>
      <w:bdr w:val="none" w:sz="0" w:space="0" w:color="auto" w:frame="1"/>
      <w:lang w:val="fr-FR"/>
    </w:rPr>
  </w:style>
  <w:style w:type="character" w:customStyle="1" w:styleId="Heading5Char">
    <w:name w:val="Heading 5 Char"/>
    <w:basedOn w:val="DefaultParagraphFont"/>
    <w:link w:val="Heading5"/>
    <w:uiPriority w:val="9"/>
    <w:rsid w:val="00E10BBA"/>
    <w:rPr>
      <w:rFonts w:eastAsiaTheme="majorEastAsia" w:cstheme="majorBidi"/>
      <w:i/>
      <w:sz w:val="24"/>
      <w:szCs w:val="22"/>
      <w:u w:val="single"/>
      <w:bdr w:val="none" w:sz="0" w:space="0" w:color="auto"/>
    </w:rPr>
  </w:style>
  <w:style w:type="paragraph" w:styleId="FootnoteText">
    <w:name w:val="footnote text"/>
    <w:basedOn w:val="Normal"/>
    <w:link w:val="FootnoteTextChar"/>
    <w:unhideWhenUsed/>
    <w:rsid w:val="00E10BB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0"/>
      <w:szCs w:val="20"/>
      <w:bdr w:val="none" w:sz="0" w:space="0" w:color="auto"/>
      <w:lang w:val="en-GB"/>
    </w:rPr>
  </w:style>
  <w:style w:type="character" w:customStyle="1" w:styleId="FootnoteTextChar">
    <w:name w:val="Footnote Text Char"/>
    <w:basedOn w:val="DefaultParagraphFont"/>
    <w:link w:val="FootnoteText"/>
    <w:rsid w:val="00E10BBA"/>
    <w:rPr>
      <w:rFonts w:ascii="Calibri" w:eastAsia="Calibri" w:hAnsi="Calibri"/>
      <w:bdr w:val="none" w:sz="0" w:space="0" w:color="auto"/>
      <w:lang w:val="en-GB"/>
    </w:rPr>
  </w:style>
  <w:style w:type="character" w:styleId="FootnoteReference">
    <w:name w:val="footnote reference"/>
    <w:uiPriority w:val="99"/>
    <w:unhideWhenUsed/>
    <w:rsid w:val="00E10BBA"/>
    <w:rPr>
      <w:vertAlign w:val="superscript"/>
    </w:rPr>
  </w:style>
  <w:style w:type="paragraph" w:styleId="Quote">
    <w:name w:val="Quote"/>
    <w:basedOn w:val="Normal"/>
    <w:next w:val="Normal"/>
    <w:link w:val="QuoteChar"/>
    <w:uiPriority w:val="29"/>
    <w:qFormat/>
    <w:rsid w:val="00E10BBA"/>
    <w:pPr>
      <w:pBdr>
        <w:top w:val="none" w:sz="0" w:space="0" w:color="auto"/>
        <w:left w:val="none" w:sz="0" w:space="0" w:color="auto"/>
        <w:bottom w:val="none" w:sz="0" w:space="0" w:color="auto"/>
        <w:right w:val="none" w:sz="0" w:space="0" w:color="auto"/>
        <w:between w:val="none" w:sz="0" w:space="0" w:color="auto"/>
        <w:bar w:val="none" w:sz="0" w:color="auto"/>
      </w:pBdr>
      <w:spacing w:after="240"/>
      <w:ind w:left="680" w:right="680"/>
      <w:jc w:val="both"/>
    </w:pPr>
    <w:rPr>
      <w:rFonts w:eastAsiaTheme="minorHAnsi" w:cstheme="minorBidi"/>
      <w:iCs/>
      <w:color w:val="000000" w:themeColor="text1"/>
      <w:szCs w:val="22"/>
      <w:bdr w:val="none" w:sz="0" w:space="0" w:color="auto"/>
    </w:rPr>
  </w:style>
  <w:style w:type="character" w:customStyle="1" w:styleId="QuoteChar">
    <w:name w:val="Quote Char"/>
    <w:basedOn w:val="DefaultParagraphFont"/>
    <w:link w:val="Quote"/>
    <w:uiPriority w:val="29"/>
    <w:rsid w:val="00E10BBA"/>
    <w:rPr>
      <w:rFonts w:eastAsiaTheme="minorHAnsi" w:cstheme="minorBidi"/>
      <w:iCs/>
      <w:color w:val="000000" w:themeColor="text1"/>
      <w:sz w:val="24"/>
      <w:szCs w:val="22"/>
      <w:bdr w:val="none" w:sz="0" w:space="0" w:color="auto"/>
    </w:rPr>
  </w:style>
  <w:style w:type="character" w:customStyle="1" w:styleId="None">
    <w:name w:val="None"/>
    <w:rsid w:val="00E10BBA"/>
  </w:style>
  <w:style w:type="character" w:customStyle="1" w:styleId="Hyperlink0">
    <w:name w:val="Hyperlink.0"/>
    <w:basedOn w:val="None"/>
    <w:rsid w:val="00E10BBA"/>
    <w:rPr>
      <w:rFonts w:ascii="Times New Roman" w:eastAsia="Times New Roman" w:hAnsi="Times New Roman" w:cs="Times New Roman"/>
      <w:i/>
      <w:iCs/>
      <w:sz w:val="18"/>
      <w:szCs w:val="18"/>
    </w:rPr>
  </w:style>
  <w:style w:type="character" w:customStyle="1" w:styleId="Hyperlink1">
    <w:name w:val="Hyperlink.1"/>
    <w:basedOn w:val="None"/>
    <w:rsid w:val="00E10BBA"/>
    <w:rPr>
      <w:sz w:val="18"/>
      <w:szCs w:val="18"/>
    </w:rPr>
  </w:style>
  <w:style w:type="character" w:customStyle="1" w:styleId="Hyperlink10">
    <w:name w:val="Hyperlink.1.0"/>
    <w:rsid w:val="00E10BBA"/>
    <w:rPr>
      <w:sz w:val="18"/>
      <w:szCs w:val="18"/>
      <w:lang w:val="en-US"/>
    </w:rPr>
  </w:style>
  <w:style w:type="character" w:customStyle="1" w:styleId="Hyperlink3">
    <w:name w:val="Hyperlink.3"/>
    <w:basedOn w:val="None"/>
    <w:rsid w:val="00E10BBA"/>
    <w:rPr>
      <w:rFonts w:ascii="Times New Roman" w:eastAsia="Times New Roman" w:hAnsi="Times New Roman" w:cs="Times New Roman"/>
      <w:i/>
      <w:iCs/>
      <w:color w:val="0563C1"/>
      <w:sz w:val="18"/>
      <w:szCs w:val="18"/>
      <w:u w:val="single" w:color="0563C1"/>
      <w:lang w:val="de-DE"/>
    </w:rPr>
  </w:style>
  <w:style w:type="numbering" w:customStyle="1" w:styleId="ImportedStyle1">
    <w:name w:val="Imported Style 1"/>
    <w:rsid w:val="000A06AF"/>
    <w:pPr>
      <w:numPr>
        <w:numId w:val="3"/>
      </w:numPr>
    </w:pPr>
  </w:style>
  <w:style w:type="paragraph" w:styleId="NoSpacing">
    <w:name w:val="No Spacing"/>
    <w:uiPriority w:val="1"/>
    <w:qFormat/>
    <w:rsid w:val="000A06AF"/>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cstheme="minorBidi"/>
      <w:sz w:val="24"/>
      <w:szCs w:val="22"/>
      <w:bdr w:val="none" w:sz="0" w:space="0" w:color="auto"/>
    </w:rPr>
  </w:style>
  <w:style w:type="table" w:styleId="TableGrid">
    <w:name w:val="Table Grid"/>
    <w:basedOn w:val="TableNormal"/>
    <w:uiPriority w:val="39"/>
    <w:rsid w:val="000C4D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fenwickeliott.co.uk"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23A53-0B34-430B-A1A3-F7A2C6B1C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4721</Words>
  <Characters>26913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Owner</cp:lastModifiedBy>
  <cp:revision>4</cp:revision>
  <dcterms:created xsi:type="dcterms:W3CDTF">2017-04-28T14:23:00Z</dcterms:created>
  <dcterms:modified xsi:type="dcterms:W3CDTF">2017-04-30T00:42:00Z</dcterms:modified>
</cp:coreProperties>
</file>