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39D7" w:rsidRPr="003F22BD" w:rsidRDefault="005539D7" w:rsidP="005539D7">
      <w:pPr>
        <w:spacing w:after="120" w:line="360" w:lineRule="auto"/>
        <w:jc w:val="center"/>
        <w:rPr>
          <w:rFonts w:asciiTheme="majorBidi" w:hAnsiTheme="majorBidi" w:cstheme="majorBidi"/>
          <w:b/>
          <w:bCs/>
          <w:sz w:val="24"/>
          <w:szCs w:val="24"/>
        </w:rPr>
      </w:pPr>
      <w:bookmarkStart w:id="0" w:name="_GoBack"/>
      <w:bookmarkEnd w:id="0"/>
      <w:r w:rsidRPr="003F22BD">
        <w:rPr>
          <w:rFonts w:asciiTheme="majorBidi" w:hAnsiTheme="majorBidi" w:cstheme="majorBidi"/>
          <w:b/>
          <w:bCs/>
          <w:sz w:val="24"/>
          <w:szCs w:val="24"/>
        </w:rPr>
        <w:t>SALES FORCE REMUNERATION SCHEMES AND SME OPERATIONAL PERFORMANCE: A CASE STUDY OF GIBSON NIGERIA ENTERPRISES</w:t>
      </w:r>
    </w:p>
    <w:p w:rsidR="005539D7" w:rsidRPr="003F22BD" w:rsidRDefault="005539D7" w:rsidP="005539D7">
      <w:pPr>
        <w:spacing w:after="0" w:line="240" w:lineRule="auto"/>
        <w:jc w:val="center"/>
        <w:rPr>
          <w:rFonts w:asciiTheme="majorBidi" w:hAnsiTheme="majorBidi" w:cstheme="majorBidi"/>
          <w:sz w:val="24"/>
          <w:szCs w:val="24"/>
        </w:rPr>
      </w:pPr>
      <w:r w:rsidRPr="003F22BD">
        <w:rPr>
          <w:rFonts w:asciiTheme="majorBidi" w:hAnsiTheme="majorBidi" w:cstheme="majorBidi"/>
          <w:sz w:val="24"/>
          <w:szCs w:val="24"/>
        </w:rPr>
        <w:t>BAMIGBADE, Dayo</w:t>
      </w:r>
    </w:p>
    <w:p w:rsidR="008317D1" w:rsidRPr="003F22BD" w:rsidRDefault="005539D7" w:rsidP="008317D1">
      <w:pPr>
        <w:spacing w:after="0" w:line="240" w:lineRule="auto"/>
        <w:jc w:val="center"/>
        <w:rPr>
          <w:rFonts w:asciiTheme="majorBidi" w:hAnsiTheme="majorBidi" w:cstheme="majorBidi"/>
          <w:sz w:val="24"/>
          <w:szCs w:val="24"/>
        </w:rPr>
      </w:pPr>
      <w:r w:rsidRPr="003F22BD">
        <w:rPr>
          <w:rFonts w:asciiTheme="majorBidi" w:hAnsiTheme="majorBidi" w:cstheme="majorBidi"/>
          <w:sz w:val="24"/>
          <w:szCs w:val="24"/>
        </w:rPr>
        <w:t>Department of Accounting, Faculty of Management Sciences</w:t>
      </w:r>
      <w:r w:rsidR="008317D1" w:rsidRPr="003F22BD">
        <w:rPr>
          <w:rFonts w:asciiTheme="majorBidi" w:hAnsiTheme="majorBidi" w:cstheme="majorBidi"/>
          <w:sz w:val="24"/>
          <w:szCs w:val="24"/>
        </w:rPr>
        <w:t xml:space="preserve">, </w:t>
      </w:r>
      <w:r w:rsidRPr="003F22BD">
        <w:rPr>
          <w:rFonts w:asciiTheme="majorBidi" w:hAnsiTheme="majorBidi" w:cstheme="majorBidi"/>
          <w:sz w:val="24"/>
          <w:szCs w:val="24"/>
        </w:rPr>
        <w:t>University of Ilorin, Nigeria</w:t>
      </w:r>
    </w:p>
    <w:p w:rsidR="005539D7" w:rsidRPr="003F22BD" w:rsidRDefault="007810AF" w:rsidP="008317D1">
      <w:pPr>
        <w:spacing w:after="0" w:line="240" w:lineRule="auto"/>
        <w:jc w:val="center"/>
        <w:rPr>
          <w:rFonts w:asciiTheme="majorBidi" w:hAnsiTheme="majorBidi" w:cstheme="majorBidi"/>
          <w:sz w:val="24"/>
          <w:szCs w:val="24"/>
        </w:rPr>
      </w:pPr>
      <w:hyperlink r:id="rId7" w:history="1">
        <w:r w:rsidR="005539D7" w:rsidRPr="003F22BD">
          <w:rPr>
            <w:rStyle w:val="Hyperlink"/>
            <w:rFonts w:asciiTheme="majorBidi" w:hAnsiTheme="majorBidi" w:cstheme="majorBidi"/>
            <w:color w:val="auto"/>
            <w:sz w:val="24"/>
            <w:szCs w:val="24"/>
          </w:rPr>
          <w:t>dayobamigbade@gmail.com</w:t>
        </w:r>
      </w:hyperlink>
    </w:p>
    <w:p w:rsidR="005539D7" w:rsidRPr="003F22BD" w:rsidRDefault="005539D7" w:rsidP="005539D7">
      <w:pPr>
        <w:spacing w:before="360" w:after="0" w:line="240" w:lineRule="auto"/>
        <w:jc w:val="center"/>
        <w:rPr>
          <w:rFonts w:asciiTheme="majorBidi" w:hAnsiTheme="majorBidi" w:cstheme="majorBidi"/>
          <w:sz w:val="24"/>
          <w:szCs w:val="24"/>
        </w:rPr>
      </w:pPr>
      <w:r w:rsidRPr="003F22BD">
        <w:rPr>
          <w:rFonts w:asciiTheme="majorBidi" w:hAnsiTheme="majorBidi" w:cstheme="majorBidi"/>
          <w:sz w:val="24"/>
          <w:szCs w:val="24"/>
        </w:rPr>
        <w:t>JIMOH, Abdulrazaq Taiye</w:t>
      </w:r>
    </w:p>
    <w:p w:rsidR="005539D7" w:rsidRPr="003F22BD" w:rsidRDefault="005539D7" w:rsidP="005539D7">
      <w:pPr>
        <w:spacing w:after="0" w:line="240" w:lineRule="auto"/>
        <w:jc w:val="center"/>
        <w:rPr>
          <w:rFonts w:asciiTheme="majorBidi" w:hAnsiTheme="majorBidi" w:cstheme="majorBidi"/>
          <w:sz w:val="24"/>
          <w:szCs w:val="24"/>
        </w:rPr>
      </w:pPr>
      <w:r w:rsidRPr="003F22BD">
        <w:rPr>
          <w:rFonts w:asciiTheme="majorBidi" w:hAnsiTheme="majorBidi" w:cstheme="majorBidi"/>
          <w:sz w:val="24"/>
          <w:szCs w:val="24"/>
        </w:rPr>
        <w:t>Department of Finance, Faculty of Management Sciences, University of Ilorin, Nigeria</w:t>
      </w:r>
    </w:p>
    <w:p w:rsidR="005539D7" w:rsidRPr="003F22BD" w:rsidRDefault="005539D7" w:rsidP="005539D7">
      <w:pPr>
        <w:spacing w:before="360" w:after="0" w:line="240" w:lineRule="auto"/>
        <w:jc w:val="center"/>
        <w:rPr>
          <w:rFonts w:asciiTheme="majorBidi" w:hAnsiTheme="majorBidi" w:cstheme="majorBidi"/>
          <w:sz w:val="24"/>
          <w:szCs w:val="24"/>
        </w:rPr>
      </w:pPr>
      <w:r w:rsidRPr="003F22BD">
        <w:rPr>
          <w:rFonts w:asciiTheme="majorBidi" w:hAnsiTheme="majorBidi" w:cstheme="majorBidi"/>
          <w:sz w:val="24"/>
          <w:szCs w:val="24"/>
        </w:rPr>
        <w:t>AND</w:t>
      </w:r>
    </w:p>
    <w:p w:rsidR="005539D7" w:rsidRPr="003F22BD" w:rsidRDefault="005539D7" w:rsidP="005539D7">
      <w:pPr>
        <w:spacing w:before="360" w:after="0" w:line="240" w:lineRule="auto"/>
        <w:jc w:val="center"/>
        <w:rPr>
          <w:rFonts w:asciiTheme="majorBidi" w:hAnsiTheme="majorBidi" w:cstheme="majorBidi"/>
          <w:sz w:val="24"/>
          <w:szCs w:val="24"/>
        </w:rPr>
      </w:pPr>
      <w:r w:rsidRPr="003F22BD">
        <w:rPr>
          <w:rFonts w:asciiTheme="majorBidi" w:hAnsiTheme="majorBidi" w:cstheme="majorBidi"/>
          <w:sz w:val="24"/>
          <w:szCs w:val="24"/>
        </w:rPr>
        <w:t>SAKARIYAHU, Ola Rilwan</w:t>
      </w:r>
    </w:p>
    <w:p w:rsidR="005539D7" w:rsidRPr="003F22BD" w:rsidRDefault="005539D7" w:rsidP="005539D7">
      <w:pPr>
        <w:spacing w:after="0" w:line="240" w:lineRule="auto"/>
        <w:jc w:val="center"/>
        <w:rPr>
          <w:rFonts w:asciiTheme="majorBidi" w:hAnsiTheme="majorBidi" w:cstheme="majorBidi"/>
          <w:sz w:val="24"/>
          <w:szCs w:val="24"/>
        </w:rPr>
      </w:pPr>
      <w:r w:rsidRPr="003F22BD">
        <w:rPr>
          <w:rFonts w:asciiTheme="majorBidi" w:hAnsiTheme="majorBidi" w:cstheme="majorBidi"/>
          <w:sz w:val="24"/>
          <w:szCs w:val="24"/>
        </w:rPr>
        <w:t>Department of Finance, Faculty of Management Sciences, University of Ilorin, Nigeria</w:t>
      </w:r>
    </w:p>
    <w:p w:rsidR="005539D7" w:rsidRPr="003F22BD" w:rsidRDefault="005539D7" w:rsidP="005539D7">
      <w:pPr>
        <w:spacing w:after="0" w:line="240" w:lineRule="auto"/>
        <w:jc w:val="center"/>
        <w:rPr>
          <w:rFonts w:asciiTheme="majorBidi" w:hAnsiTheme="majorBidi" w:cstheme="majorBidi"/>
          <w:sz w:val="24"/>
          <w:szCs w:val="24"/>
        </w:rPr>
      </w:pPr>
    </w:p>
    <w:p w:rsidR="005539D7" w:rsidRPr="003F22BD" w:rsidRDefault="005539D7" w:rsidP="005539D7">
      <w:pPr>
        <w:spacing w:after="0" w:line="240" w:lineRule="auto"/>
        <w:rPr>
          <w:rFonts w:asciiTheme="majorBidi" w:hAnsiTheme="majorBidi" w:cstheme="majorBidi"/>
          <w:b/>
          <w:bCs/>
          <w:sz w:val="24"/>
          <w:szCs w:val="24"/>
        </w:rPr>
      </w:pPr>
      <w:r w:rsidRPr="003F22BD">
        <w:rPr>
          <w:rFonts w:asciiTheme="majorBidi" w:hAnsiTheme="majorBidi" w:cstheme="majorBidi"/>
          <w:b/>
          <w:bCs/>
          <w:sz w:val="24"/>
          <w:szCs w:val="24"/>
        </w:rPr>
        <w:t>Abstract</w:t>
      </w:r>
    </w:p>
    <w:p w:rsidR="005539D7" w:rsidRPr="003F22BD" w:rsidRDefault="005539D7" w:rsidP="005539D7">
      <w:pPr>
        <w:spacing w:before="240" w:after="0" w:line="240" w:lineRule="auto"/>
        <w:rPr>
          <w:rFonts w:asciiTheme="majorBidi" w:hAnsiTheme="majorBidi" w:cstheme="majorBidi"/>
          <w:i/>
          <w:iCs/>
          <w:sz w:val="24"/>
          <w:szCs w:val="24"/>
        </w:rPr>
      </w:pPr>
      <w:r w:rsidRPr="003F22BD">
        <w:rPr>
          <w:rFonts w:asciiTheme="majorBidi" w:hAnsiTheme="majorBidi" w:cstheme="majorBidi"/>
          <w:i/>
          <w:iCs/>
          <w:sz w:val="24"/>
          <w:szCs w:val="24"/>
        </w:rPr>
        <w:t>The role of the sales force in achieving a desirable sales volume is a key factor in attaining planned activity levels and by implication, expected operational performance of an entity. This study examined the effect of the use of fixed (salary) and variable (commission) remuneration schemes for the sales force of a Small and Medium Scale Enterprise (SME) on the profitability of the entity. A significant difference was found at 5% level of significance between the operational performance of the enterprise when fixed remuneration scheme (FRS) was deployed and when a variable remuneration scheme (VRS) was used by the enterprise; with the VRS generating higher performance level. It is thus recommended that SMEs should consider the VRS for their sales force especially when a fixed remuneration for the sales force will constitute a huge portion of fixed costs of operation for the enterprise.</w:t>
      </w:r>
    </w:p>
    <w:p w:rsidR="005539D7" w:rsidRPr="003F22BD" w:rsidRDefault="005539D7" w:rsidP="005539D7">
      <w:pPr>
        <w:spacing w:before="240" w:after="0" w:line="360" w:lineRule="auto"/>
        <w:rPr>
          <w:rFonts w:asciiTheme="majorBidi" w:hAnsiTheme="majorBidi" w:cstheme="majorBidi"/>
          <w:sz w:val="24"/>
          <w:szCs w:val="24"/>
        </w:rPr>
      </w:pPr>
      <w:r w:rsidRPr="003F22BD">
        <w:rPr>
          <w:rFonts w:asciiTheme="majorBidi" w:hAnsiTheme="majorBidi" w:cstheme="majorBidi"/>
          <w:b/>
          <w:sz w:val="24"/>
          <w:szCs w:val="24"/>
        </w:rPr>
        <w:t>Key words</w:t>
      </w:r>
      <w:r w:rsidRPr="003F22BD">
        <w:rPr>
          <w:rFonts w:asciiTheme="majorBidi" w:hAnsiTheme="majorBidi" w:cstheme="majorBidi"/>
          <w:sz w:val="24"/>
          <w:szCs w:val="24"/>
        </w:rPr>
        <w:t>: Remuneration Schemes, Sales Force, Small and Medium Scale Enterprises, Sales Volume, Operational Performance</w:t>
      </w:r>
    </w:p>
    <w:p w:rsidR="003F22BD" w:rsidRPr="003F22BD" w:rsidRDefault="003F22BD" w:rsidP="005539D7">
      <w:pPr>
        <w:spacing w:before="360" w:after="0" w:line="360" w:lineRule="auto"/>
        <w:rPr>
          <w:rFonts w:asciiTheme="majorBidi" w:hAnsiTheme="majorBidi" w:cstheme="majorBidi"/>
          <w:b/>
          <w:bCs/>
          <w:sz w:val="24"/>
          <w:szCs w:val="24"/>
        </w:rPr>
        <w:sectPr w:rsidR="003F22BD" w:rsidRPr="003F22BD" w:rsidSect="003F22BD">
          <w:headerReference w:type="default" r:id="rId8"/>
          <w:footerReference w:type="default" r:id="rId9"/>
          <w:pgSz w:w="12240" w:h="15840" w:code="1"/>
          <w:pgMar w:top="864" w:right="1296" w:bottom="864" w:left="1296" w:header="288" w:footer="288" w:gutter="0"/>
          <w:pgNumType w:start="110"/>
          <w:cols w:space="720"/>
          <w:docGrid w:linePitch="360"/>
        </w:sectPr>
      </w:pPr>
    </w:p>
    <w:p w:rsidR="005539D7" w:rsidRPr="003F22BD" w:rsidRDefault="005539D7" w:rsidP="005539D7">
      <w:pPr>
        <w:spacing w:before="360" w:after="0" w:line="360" w:lineRule="auto"/>
        <w:rPr>
          <w:rFonts w:asciiTheme="majorBidi" w:hAnsiTheme="majorBidi" w:cstheme="majorBidi"/>
          <w:b/>
          <w:bCs/>
          <w:sz w:val="24"/>
          <w:szCs w:val="24"/>
        </w:rPr>
      </w:pPr>
      <w:r w:rsidRPr="003F22BD">
        <w:rPr>
          <w:rFonts w:asciiTheme="majorBidi" w:hAnsiTheme="majorBidi" w:cstheme="majorBidi"/>
          <w:b/>
          <w:bCs/>
          <w:sz w:val="24"/>
          <w:szCs w:val="24"/>
        </w:rPr>
        <w:lastRenderedPageBreak/>
        <w:t>1. Introduction</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 xml:space="preserve">A keen observation of the annual reports and accounts of many business entities whether small or big, private or public, sole proprietorship, partnership or corporation, suggests that turnover is the largest single amount on the face of the income statement of profitable entities. Apart from depicting the monetary value of the extent to which the entity pursued its primary objective of going into business during a reporting period, it also serves as an index through which the entity </w:t>
      </w:r>
      <w:r w:rsidRPr="003F22BD">
        <w:rPr>
          <w:rFonts w:asciiTheme="majorBidi" w:hAnsiTheme="majorBidi" w:cstheme="majorBidi"/>
          <w:sz w:val="24"/>
          <w:szCs w:val="24"/>
        </w:rPr>
        <w:lastRenderedPageBreak/>
        <w:t>could measure the size of market share it holds, relative to those of competitors. It is the first item to appear on the income statement, from which additions and subtractions are made to arrive at the results of operations (profit or loss) of the entity in a reporting period.</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 xml:space="preserve">From a simplistic quantitative point of view, the turnover figure on the face of the final account is a product of the number of units sold (sales volume) and the price charged per unit. In regulated markets where there are established price regimes, sales </w:t>
      </w:r>
      <w:r w:rsidRPr="003F22BD">
        <w:rPr>
          <w:rFonts w:asciiTheme="majorBidi" w:hAnsiTheme="majorBidi" w:cstheme="majorBidi"/>
          <w:sz w:val="24"/>
          <w:szCs w:val="24"/>
        </w:rPr>
        <w:lastRenderedPageBreak/>
        <w:t>volume remains the differentiating factor among competitors. However, under an arrangement where a seller obtains the right to be the sole seller of a product (that is, competition is eliminated) within a sales territory (market segment) but without the power to fix prices, such a seller will have to capitalize on maximizing the sales quantity of units that promise a positive contribution margin. In such situations, the sales force will become a key factor for the business to attain satisfactory profit level.</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 xml:space="preserve">In recent years, the significance of establishing and the development of Small and Medium Scale Enterprises (SMEs) industry in Nigeria are receiving great attention. Reasons suggested for this include the inability of government to employ the teaming </w:t>
      </w:r>
      <w:r w:rsidR="008317D1" w:rsidRPr="003F22BD">
        <w:rPr>
          <w:rFonts w:asciiTheme="majorBidi" w:hAnsiTheme="majorBidi" w:cstheme="majorBidi"/>
          <w:sz w:val="24"/>
          <w:szCs w:val="24"/>
        </w:rPr>
        <w:t xml:space="preserve">potential </w:t>
      </w:r>
      <w:r w:rsidRPr="003F22BD">
        <w:rPr>
          <w:rFonts w:asciiTheme="majorBidi" w:hAnsiTheme="majorBidi" w:cstheme="majorBidi"/>
          <w:sz w:val="24"/>
          <w:szCs w:val="24"/>
        </w:rPr>
        <w:t xml:space="preserve">workforce, the insecurity of white-collar jobs, the need to reduce the high rate of unemployment and the need to diversify the economy from its over reliance on oil revenue (Kadiri, 2012). Given the fact that the SMEs model is working in other economies through its formidable contribution to those nations’ (Malaysia, Japan, South Korea, Zambia and India among others) GDP (Osotimehin, Jegede, Akinlabi and Olajide, 2012) and the level of publicity given to the development of the industry in Nigeria, the number of those keying into it is increasing and the spread of the participation in the various sectors (like the textile, </w:t>
      </w:r>
      <w:r w:rsidRPr="003F22BD">
        <w:rPr>
          <w:rFonts w:asciiTheme="majorBidi" w:hAnsiTheme="majorBidi" w:cstheme="majorBidi"/>
          <w:sz w:val="24"/>
          <w:szCs w:val="24"/>
        </w:rPr>
        <w:lastRenderedPageBreak/>
        <w:t>construction, marketing, manufacturing sectors) is commendable.</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However, the SMEs are facing a number of challenges that cause many of the businesses to collapse shortly after start-up. These include shortage of finance (Oniovosa, 2013), epileptic power supply and rising costs of inputs (George &amp; Oseni, 2012), and diseconomies of scales which makes it difficult to compete with bigger establishments. In some quarters, it is also posited that many small scale businesses do not keep business records and therefore do not even know whether their businesses are growing or not (Olutokun, James &amp; Olore, 2012).</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 xml:space="preserve">Based on the prospects of and the challenges being faced by the SMEs, an appreciable number of studies have been conducted in Nigeria, offering suggestions on how sustainable growth of this sub-sector of the Nigerian economy could be assured. Of these, recent studies include the Kadiri (2012) study that examined the role of finance in enhancing the employment generation potential of SMEs; the Ihua (2009) study that compared SMEs key failure-factors between the United Kingdom and Nigeria; and the Ogbadu (2012) appraisal of the practical application of marketing research by SMEs in Nigeria, among others. However, due consideration is yet to be given to the role of sales force in ensuring the short run profitability of SMEs in Nigeria and </w:t>
      </w:r>
      <w:r w:rsidRPr="003F22BD">
        <w:rPr>
          <w:rFonts w:asciiTheme="majorBidi" w:hAnsiTheme="majorBidi" w:cstheme="majorBidi"/>
          <w:sz w:val="24"/>
          <w:szCs w:val="24"/>
        </w:rPr>
        <w:lastRenderedPageBreak/>
        <w:t>consequently, the long term survival of such enterprises.</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 xml:space="preserve">It is important to note that SMEs by their demographic characteristics constitute heterogeneous population. It is the opinion of the authors that a </w:t>
      </w:r>
      <w:r w:rsidRPr="003F22BD">
        <w:rPr>
          <w:rFonts w:asciiTheme="majorBidi" w:hAnsiTheme="majorBidi" w:cstheme="majorBidi"/>
          <w:i/>
          <w:sz w:val="24"/>
          <w:szCs w:val="24"/>
        </w:rPr>
        <w:t>one-cap-fits-all</w:t>
      </w:r>
      <w:r w:rsidRPr="003F22BD">
        <w:rPr>
          <w:rFonts w:asciiTheme="majorBidi" w:hAnsiTheme="majorBidi" w:cstheme="majorBidi"/>
          <w:sz w:val="24"/>
          <w:szCs w:val="24"/>
        </w:rPr>
        <w:t xml:space="preserve"> approach used in previous studies is not appropriate for accounting for the peculiarities of SMEs in the different sectors of the Nigerian economy. Thus, this paper focuses on how a single factor (sales force remuneration scheme) can impact on the profitability of SMEs using a case study approach. Consequently, the findings of this study are expected to be of significance to SMEs that find themselves in similar situations or line of business like that of the enterprise used for this study. To ensure an appreciable understanding of the circumstances of the enterprise used for the case study, the authors tried to report important facts about the enterprise as much as possible. The research design, data analysis and communication of findings were also reported.</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 xml:space="preserve">This study aimed to measure the impact of two different remuneration schemes on the performance of the sales force used by the case organisation. The next section reviews relevant literature, followed be a description of the nature of the operations of the case study. The anonymity of the case organisation is upheld by this study because the management (owner) of the organisation granted the use of the organisation for the </w:t>
      </w:r>
      <w:r w:rsidRPr="003F22BD">
        <w:rPr>
          <w:rFonts w:asciiTheme="majorBidi" w:hAnsiTheme="majorBidi" w:cstheme="majorBidi"/>
          <w:sz w:val="24"/>
          <w:szCs w:val="24"/>
        </w:rPr>
        <w:lastRenderedPageBreak/>
        <w:t>purpose of this study on the condition that the identity of the organisation should not be disclosed in the report of the study. As a result, this study adopts the name ‘Gibson Nigeria Enterprises’. The fourth section presents the methodology adopted. It presents the research design used and the procedure for data analysis. The penultimate section presents the result of data analysis while the last section reports the findings of this study and suggests areas of further studies.</w:t>
      </w:r>
    </w:p>
    <w:p w:rsidR="005539D7" w:rsidRPr="003F22BD" w:rsidRDefault="005539D7" w:rsidP="005539D7">
      <w:pPr>
        <w:spacing w:after="0" w:line="360" w:lineRule="auto"/>
        <w:rPr>
          <w:rFonts w:asciiTheme="majorBidi" w:hAnsiTheme="majorBidi" w:cstheme="majorBidi"/>
          <w:b/>
          <w:sz w:val="24"/>
          <w:szCs w:val="24"/>
        </w:rPr>
      </w:pPr>
      <w:r w:rsidRPr="003F22BD">
        <w:rPr>
          <w:rFonts w:asciiTheme="majorBidi" w:hAnsiTheme="majorBidi" w:cstheme="majorBidi"/>
          <w:b/>
          <w:sz w:val="24"/>
          <w:szCs w:val="24"/>
        </w:rPr>
        <w:t>2. Literature Review</w:t>
      </w:r>
    </w:p>
    <w:p w:rsidR="005539D7" w:rsidRPr="003F22BD" w:rsidRDefault="005539D7" w:rsidP="005539D7">
      <w:pPr>
        <w:spacing w:after="0" w:line="360" w:lineRule="auto"/>
        <w:ind w:firstLine="720"/>
        <w:rPr>
          <w:rFonts w:ascii="Times New Roman" w:hAnsi="Times New Roman"/>
          <w:sz w:val="24"/>
          <w:szCs w:val="24"/>
        </w:rPr>
      </w:pPr>
      <w:r w:rsidRPr="003F22BD">
        <w:rPr>
          <w:rFonts w:asciiTheme="majorBidi" w:hAnsiTheme="majorBidi" w:cstheme="majorBidi"/>
          <w:sz w:val="24"/>
          <w:szCs w:val="24"/>
        </w:rPr>
        <w:t xml:space="preserve">Remuneration is any payment in money or in kind, or both in money and in kind, made or owing to any person in return for that person working for any other person (South African Department of Labour, 2004). It is also referred to as earnings, pay or compensation as Herman and Abraham (1998) defined earnings as remuneration (pay, wages) of a worker or group of workers for services performed during a specific period of time. According to the International Labour Organisation (n.d.), earnings are defined as the remuneration in cash and in kind paid to employees, as a rule and at regular intervals, for time worked or work done, together with the remuneration for time which was not worked. As the consideration furnished for employee input to an organization, remuneration plays an important role in employee motivation and consequently, the performance of organizations as the human element of enterprise is argued to be a vital </w:t>
      </w:r>
      <w:r w:rsidRPr="003F22BD">
        <w:rPr>
          <w:rFonts w:asciiTheme="majorBidi" w:hAnsiTheme="majorBidi" w:cstheme="majorBidi"/>
          <w:sz w:val="24"/>
          <w:szCs w:val="24"/>
        </w:rPr>
        <w:lastRenderedPageBreak/>
        <w:t>resource</w:t>
      </w:r>
      <w:r w:rsidR="008317D1" w:rsidRPr="003F22BD">
        <w:rPr>
          <w:rFonts w:asciiTheme="majorBidi" w:hAnsiTheme="majorBidi" w:cstheme="majorBidi"/>
          <w:sz w:val="24"/>
          <w:szCs w:val="24"/>
        </w:rPr>
        <w:t xml:space="preserve"> for strategy execution (Lee &amp;</w:t>
      </w:r>
      <w:r w:rsidRPr="003F22BD">
        <w:rPr>
          <w:rFonts w:asciiTheme="majorBidi" w:hAnsiTheme="majorBidi" w:cstheme="majorBidi"/>
          <w:sz w:val="24"/>
          <w:szCs w:val="24"/>
        </w:rPr>
        <w:t xml:space="preserve"> Miller, 1999).</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The Basic Conditions of Employment Act (2002) identify salary only, straight commission and combination sales commission plans as three types of commission plans for sales employees (also called sales force and sales persons). Coughlan and Kissan (2011) opined that salary plays a special role; though it is typically adjusted on annual basis in response to some aggregate measures of market pay norms and salesperson achievement, it is a compensation component offered to the sales person without immediate dependence on any sales or profitability outcome. The Basic Conditions of Employment Act (2002) suggested that in a straight commission, sales volume is the only determinant of total remuneration while the combination sales commission offers a base-level salary and an incremental based on sales volume. This study operationalizes the use of salary for remuneration as a fixed remuneration scheme, and straight commission and combination sales commission as variable remuneration schemes.</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An organization’s commitment to its employees well-being can aid in the profitable execution on its</w:t>
      </w:r>
      <w:r w:rsidR="008317D1" w:rsidRPr="003F22BD">
        <w:rPr>
          <w:rFonts w:asciiTheme="majorBidi" w:hAnsiTheme="majorBidi" w:cstheme="majorBidi"/>
          <w:sz w:val="24"/>
          <w:szCs w:val="24"/>
        </w:rPr>
        <w:t xml:space="preserve"> positioning strategies (Lee &amp;</w:t>
      </w:r>
      <w:r w:rsidRPr="003F22BD">
        <w:rPr>
          <w:rFonts w:asciiTheme="majorBidi" w:hAnsiTheme="majorBidi" w:cstheme="majorBidi"/>
          <w:sz w:val="24"/>
          <w:szCs w:val="24"/>
        </w:rPr>
        <w:t xml:space="preserve"> Miller, 1999). According to Bellavary and Allen (1995), research has provided supporting evidence that var</w:t>
      </w:r>
      <w:r w:rsidR="008317D1" w:rsidRPr="003F22BD">
        <w:rPr>
          <w:rFonts w:asciiTheme="majorBidi" w:hAnsiTheme="majorBidi" w:cstheme="majorBidi"/>
          <w:sz w:val="24"/>
          <w:szCs w:val="24"/>
        </w:rPr>
        <w:t>iable pay succeeds at motivating</w:t>
      </w:r>
      <w:r w:rsidRPr="003F22BD">
        <w:rPr>
          <w:rFonts w:asciiTheme="majorBidi" w:hAnsiTheme="majorBidi" w:cstheme="majorBidi"/>
          <w:sz w:val="24"/>
          <w:szCs w:val="24"/>
        </w:rPr>
        <w:t xml:space="preserve"> people. Companies are </w:t>
      </w:r>
      <w:r w:rsidRPr="003F22BD">
        <w:rPr>
          <w:rFonts w:asciiTheme="majorBidi" w:hAnsiTheme="majorBidi" w:cstheme="majorBidi"/>
          <w:sz w:val="24"/>
          <w:szCs w:val="24"/>
        </w:rPr>
        <w:lastRenderedPageBreak/>
        <w:t>increasingly awarding a greater share of total rewards to variable pay to increase focus on critical goals, and to reduce the vulnerability of companies to high fixed reward costs (Hay Group, 2010).</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 xml:space="preserve">Bellavary and Allen (1995) assessed the uses and effectiveness of variable pay as a viable alternative to traditional merit pay systems in increasing employee performance. Forty seven (47) completed copies of questionnaire were administered in Southern California area. Based on the analysis, the study found that variable pay is perceived to be superior to traditional merit pay system in improving employee performance. Pouliakas and Theodoropoulos (2011) estimated the effect of variable pay schemes on workplace absenteeism using two cross sections of British establishments. Data was obtained from the 1998 – 2004 cross-sections of the Workplace Employment Relations Survey (WERS). Private sector establishments that explicitly link pay with individual performance were found to have significantly lower absence rates. This effect was reported to be stronger for establishments that offer variable pay schemes to a greater share of their non managerial workforce. The findings of the studies provides a evidence for the link between the type of remuneration scheme an organisation adopts and input of employees to the operational performance of the organisation. This study examines the effect of the pay scheme adopted by an organisation </w:t>
      </w:r>
      <w:r w:rsidRPr="003F22BD">
        <w:rPr>
          <w:rFonts w:asciiTheme="majorBidi" w:hAnsiTheme="majorBidi" w:cstheme="majorBidi"/>
          <w:sz w:val="24"/>
          <w:szCs w:val="24"/>
        </w:rPr>
        <w:lastRenderedPageBreak/>
        <w:t>on the profitability of the entity using a case study approach.</w:t>
      </w:r>
    </w:p>
    <w:p w:rsidR="005539D7" w:rsidRPr="003F22BD" w:rsidRDefault="005539D7" w:rsidP="005539D7">
      <w:pPr>
        <w:spacing w:after="0" w:line="360" w:lineRule="auto"/>
        <w:rPr>
          <w:rFonts w:asciiTheme="majorBidi" w:hAnsiTheme="majorBidi" w:cstheme="majorBidi"/>
          <w:b/>
          <w:bCs/>
          <w:sz w:val="24"/>
          <w:szCs w:val="24"/>
        </w:rPr>
      </w:pPr>
      <w:r w:rsidRPr="003F22BD">
        <w:rPr>
          <w:rFonts w:asciiTheme="majorBidi" w:hAnsiTheme="majorBidi" w:cstheme="majorBidi"/>
          <w:b/>
          <w:bCs/>
          <w:sz w:val="24"/>
          <w:szCs w:val="24"/>
        </w:rPr>
        <w:t>3. The Case Organisation</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 xml:space="preserve">Gibson Nigeria Enterprises has been in business for more than twenty years in Oyo State, Nigeria. The enterprise operates as a sole proprietorship with the fusion of ownership and management of the entity. It is a wholesale distributor of the products of one of the major beverage bottling companies in Nigeria (henceforth referred to as ‘the manufacturer’). </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 xml:space="preserve">In 1998, the manufacturer went into an arrangement with Gibson granting the latter a sole-distributor right to sell the manufacturer’s products within a particular sales territory. This established a regulated monopoly for GIBSON with control over quantity it could sell to a retailer but no control over price within the territory ceded to it. This is because the manufacturer operated a regulated price regime for all its products nationwide. In return, Gibson is compensated using a graduating rebate (sales commission) regime based on the quantity of the manufacturer’s product that it could sell within a particular month (for example, 5% rebate if units sold is less than 3,000 but 6% if between 3,000 and 4,000). This makes it important to maximize the quantity of the units sold in a month to maximize returns to Gibson. As a result, a key success factor in the business is the extent to which the sales </w:t>
      </w:r>
      <w:r w:rsidRPr="003F22BD">
        <w:rPr>
          <w:rFonts w:asciiTheme="majorBidi" w:hAnsiTheme="majorBidi" w:cstheme="majorBidi"/>
          <w:sz w:val="24"/>
          <w:szCs w:val="24"/>
        </w:rPr>
        <w:lastRenderedPageBreak/>
        <w:t>force (employees) could drive sales volume high.</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 xml:space="preserve">A typical statement of financial position of the business presents delivery van as the only non-current asset held by the entity. The current assets consist of inventories, trade receivables and cash and bank balances while current liabilities majorly consists of revolving credit facilities provided by the manufacturer, deposits by customers and accruals in expenses. An important feature that catches one’s attention is the magnitude of the drawings that is deducted from the addition of capital to profits. This suggests that the proprietor probably operates to ensure capital maintenance. This could be one of the strengths of Gibson that has made it survive for more than twenty years. As for the income statement, ‘turnover less cost of sales’ is, in most cases, reported to be zero because Gibson sells at the cost of taking delivery for the products from the manufacturer. However, the gross profit is taken to be the rebate (commission on sales) received from the manufacturer. Expenses typically consists of cost of fuelling and servicing of delivery van, breakages loss, and rent of premises while staff salary has constituted at least sixty-two percent of the total costs incurred in any year over the past twenty years. The number of employees it ever had on its payroll never exceeded ten since commencement of business. It can be deduced that employee cost could have a </w:t>
      </w:r>
      <w:r w:rsidRPr="003F22BD">
        <w:rPr>
          <w:rFonts w:asciiTheme="majorBidi" w:hAnsiTheme="majorBidi" w:cstheme="majorBidi"/>
          <w:sz w:val="24"/>
          <w:szCs w:val="24"/>
        </w:rPr>
        <w:lastRenderedPageBreak/>
        <w:t>significant influence on the performance of Gibson. However, the staff salaries are fixed by contract. Hence, when no sales are made, it will be incurred and remained unchanged irrespective of the level of sales attained. This calls for a closer consideration of the remuneration scheme adopted by Gibson. This suggests that apart from the inadequacy of finance that is claimed to be the problem of SMEs in Nigeria, the use of sub-optimal remuneration scheme for employees can be a cause of business failure in SMEs.</w:t>
      </w:r>
    </w:p>
    <w:p w:rsidR="005539D7" w:rsidRPr="003F22BD" w:rsidRDefault="005539D7" w:rsidP="005539D7">
      <w:pPr>
        <w:spacing w:after="0" w:line="360" w:lineRule="auto"/>
        <w:rPr>
          <w:rFonts w:asciiTheme="majorBidi" w:hAnsiTheme="majorBidi" w:cstheme="majorBidi"/>
          <w:b/>
          <w:bCs/>
          <w:sz w:val="24"/>
          <w:szCs w:val="24"/>
        </w:rPr>
      </w:pPr>
      <w:r w:rsidRPr="003F22BD">
        <w:rPr>
          <w:rFonts w:asciiTheme="majorBidi" w:hAnsiTheme="majorBidi" w:cstheme="majorBidi"/>
          <w:b/>
          <w:bCs/>
          <w:sz w:val="24"/>
          <w:szCs w:val="24"/>
        </w:rPr>
        <w:t>4. Methodology</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The case-study research design was adopted for this study. The dependent variable of this study is the performance of Gibson while the independent variable is the remuneration scheme used in paying the sales force. Thus, this study seeks to assess if there is significant difference between the performances of Gibson when the Fixed Remuneration Scheme (FRS) is adopted and when the Variable Remuneration Scheme (VRS) is adopted. The performance of GIBSON was measured through the number of units sold.</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 xml:space="preserve">Data were collected under the two schemes used for remunerating the employees for fifty-two weeks each, running from the first week of January, 2012 to the last week of December, 2013. This was to even out possible seasonal variations that could be buried in the data. The FRS was in place before the first week of January, 2013. Thus, </w:t>
      </w:r>
      <w:r w:rsidRPr="003F22BD">
        <w:rPr>
          <w:rFonts w:asciiTheme="majorBidi" w:hAnsiTheme="majorBidi" w:cstheme="majorBidi"/>
          <w:sz w:val="24"/>
          <w:szCs w:val="24"/>
        </w:rPr>
        <w:lastRenderedPageBreak/>
        <w:t>historical data relating to the performance of Gibson (units sold) for the first fifty-two weeks (January, 2012 to December, 2012) were extracted from the books of account of the enterprise.</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 xml:space="preserve">The proprietor of Gibson was not willing to introduce the VRS. The reason given was that it will make the sales force take home an outrageous pay in months that promise high sales levels. This reluctance on the part of the proprietor drew the attention of the research to the fact that ‘pay increase’ could interfere with the variable of interest (remuneration scheme) of the study. This meant that it was possible for the sales force to be responding to the pay increase that would result from the introduction of VRS instead of the scheme itself. In order to ensure that the amount paid to the sales force under the two schemes does not affect the results, a paired-sample t-test was conducted using SPSS Version 21.0 to ensure that there was no significant difference in the remuneration paid to the employees under the two schemes. With the assurance given to the proprietor that there would be no significant difference in the remuneration paid under the two schemes, the VRS was introduced in the first week of January, 2013 and was used till the last week of December, 2013. The sales forces were not informed that their performances were meant for research purpose in order to avoid bias. To assess if there was any significant difference in the performance of the sales force under </w:t>
      </w:r>
      <w:r w:rsidRPr="003F22BD">
        <w:rPr>
          <w:rFonts w:asciiTheme="majorBidi" w:hAnsiTheme="majorBidi" w:cstheme="majorBidi"/>
          <w:sz w:val="24"/>
          <w:szCs w:val="24"/>
        </w:rPr>
        <w:lastRenderedPageBreak/>
        <w:t xml:space="preserve">the two schemes, another paired-sample t-test was conducted to compare the performance of </w:t>
      </w:r>
      <w:r w:rsidRPr="003F22BD">
        <w:rPr>
          <w:rFonts w:asciiTheme="majorBidi" w:hAnsiTheme="majorBidi" w:cstheme="majorBidi"/>
          <w:sz w:val="24"/>
          <w:szCs w:val="24"/>
        </w:rPr>
        <w:lastRenderedPageBreak/>
        <w:t>Gibson under the two schemes. The next section presents the results of data analysis.</w:t>
      </w:r>
    </w:p>
    <w:p w:rsidR="003F22BD" w:rsidRPr="003F22BD" w:rsidRDefault="003F22BD" w:rsidP="005539D7">
      <w:pPr>
        <w:spacing w:after="0" w:line="360" w:lineRule="auto"/>
        <w:rPr>
          <w:rFonts w:asciiTheme="majorBidi" w:hAnsiTheme="majorBidi" w:cstheme="majorBidi"/>
          <w:b/>
          <w:bCs/>
          <w:sz w:val="24"/>
          <w:szCs w:val="24"/>
        </w:rPr>
        <w:sectPr w:rsidR="003F22BD" w:rsidRPr="003F22BD" w:rsidSect="003F22BD">
          <w:type w:val="continuous"/>
          <w:pgSz w:w="12240" w:h="15840" w:code="1"/>
          <w:pgMar w:top="864" w:right="1296" w:bottom="864" w:left="1296" w:header="288" w:footer="288" w:gutter="0"/>
          <w:cols w:num="2" w:space="720"/>
          <w:docGrid w:linePitch="360"/>
        </w:sectPr>
      </w:pPr>
    </w:p>
    <w:p w:rsidR="005539D7" w:rsidRPr="003F22BD" w:rsidRDefault="005539D7" w:rsidP="005539D7">
      <w:pPr>
        <w:spacing w:after="0" w:line="360" w:lineRule="auto"/>
        <w:rPr>
          <w:rFonts w:asciiTheme="majorBidi" w:hAnsiTheme="majorBidi" w:cstheme="majorBidi"/>
          <w:b/>
          <w:bCs/>
          <w:sz w:val="24"/>
          <w:szCs w:val="24"/>
        </w:rPr>
      </w:pPr>
      <w:r w:rsidRPr="003F22BD">
        <w:rPr>
          <w:rFonts w:asciiTheme="majorBidi" w:hAnsiTheme="majorBidi" w:cstheme="majorBidi"/>
          <w:b/>
          <w:bCs/>
          <w:sz w:val="24"/>
          <w:szCs w:val="24"/>
        </w:rPr>
        <w:lastRenderedPageBreak/>
        <w:t>5. Data Analysis and Findings</w:t>
      </w:r>
    </w:p>
    <w:tbl>
      <w:tblPr>
        <w:tblW w:w="90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57"/>
        <w:gridCol w:w="3375"/>
        <w:gridCol w:w="1061"/>
        <w:gridCol w:w="1000"/>
        <w:gridCol w:w="1410"/>
        <w:gridCol w:w="1456"/>
      </w:tblGrid>
      <w:tr w:rsidR="003F22BD" w:rsidRPr="003F22BD" w:rsidTr="00061DF6">
        <w:trPr>
          <w:cantSplit/>
        </w:trPr>
        <w:tc>
          <w:tcPr>
            <w:tcW w:w="9059" w:type="dxa"/>
            <w:gridSpan w:val="6"/>
            <w:tcBorders>
              <w:top w:val="nil"/>
              <w:left w:val="nil"/>
              <w:bottom w:val="single" w:sz="4" w:space="0" w:color="auto"/>
              <w:right w:val="nil"/>
            </w:tcBorders>
            <w:shd w:val="clear" w:color="auto" w:fill="FFFFFF"/>
          </w:tcPr>
          <w:p w:rsidR="005539D7" w:rsidRPr="003F22BD" w:rsidRDefault="005539D7" w:rsidP="00061DF6">
            <w:pPr>
              <w:autoSpaceDE w:val="0"/>
              <w:autoSpaceDN w:val="0"/>
              <w:adjustRightInd w:val="0"/>
              <w:spacing w:after="0" w:line="240" w:lineRule="auto"/>
              <w:ind w:left="62" w:right="62"/>
              <w:rPr>
                <w:rFonts w:asciiTheme="majorBidi" w:hAnsiTheme="majorBidi" w:cstheme="majorBidi"/>
                <w:sz w:val="24"/>
                <w:szCs w:val="24"/>
              </w:rPr>
            </w:pPr>
            <w:r w:rsidRPr="003F22BD">
              <w:rPr>
                <w:rFonts w:asciiTheme="majorBidi" w:hAnsiTheme="majorBidi" w:cstheme="majorBidi"/>
                <w:b/>
                <w:bCs/>
                <w:sz w:val="24"/>
                <w:szCs w:val="24"/>
              </w:rPr>
              <w:t>TABLE 1: Descriptive Statistics</w:t>
            </w:r>
          </w:p>
        </w:tc>
      </w:tr>
      <w:tr w:rsidR="003F22BD" w:rsidRPr="003F22BD" w:rsidTr="00061DF6">
        <w:trPr>
          <w:cantSplit/>
        </w:trPr>
        <w:tc>
          <w:tcPr>
            <w:tcW w:w="4132" w:type="dxa"/>
            <w:gridSpan w:val="2"/>
            <w:tcBorders>
              <w:top w:val="single" w:sz="4" w:space="0" w:color="auto"/>
              <w:left w:val="single" w:sz="4" w:space="0" w:color="auto"/>
              <w:bottom w:val="single" w:sz="4" w:space="0" w:color="auto"/>
              <w:right w:val="single" w:sz="4" w:space="0" w:color="auto"/>
            </w:tcBorders>
            <w:shd w:val="clear" w:color="auto" w:fill="FFFFFF"/>
          </w:tcPr>
          <w:p w:rsidR="005539D7" w:rsidRPr="003F22BD" w:rsidRDefault="005539D7" w:rsidP="00061DF6">
            <w:pPr>
              <w:autoSpaceDE w:val="0"/>
              <w:autoSpaceDN w:val="0"/>
              <w:adjustRightInd w:val="0"/>
              <w:spacing w:after="0" w:line="240" w:lineRule="auto"/>
              <w:rPr>
                <w:rFonts w:asciiTheme="majorBidi" w:hAnsiTheme="majorBidi" w:cstheme="majorBidi"/>
                <w:sz w:val="24"/>
                <w:szCs w:val="24"/>
              </w:rPr>
            </w:pPr>
          </w:p>
        </w:tc>
        <w:tc>
          <w:tcPr>
            <w:tcW w:w="1061" w:type="dxa"/>
            <w:tcBorders>
              <w:top w:val="single" w:sz="4" w:space="0" w:color="auto"/>
              <w:left w:val="single" w:sz="4" w:space="0" w:color="auto"/>
              <w:bottom w:val="single" w:sz="4" w:space="0" w:color="auto"/>
              <w:right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center"/>
              <w:rPr>
                <w:rFonts w:asciiTheme="majorBidi" w:hAnsiTheme="majorBidi" w:cstheme="majorBidi"/>
                <w:sz w:val="24"/>
                <w:szCs w:val="24"/>
              </w:rPr>
            </w:pPr>
            <w:r w:rsidRPr="003F22BD">
              <w:rPr>
                <w:rFonts w:asciiTheme="majorBidi" w:hAnsiTheme="majorBidi" w:cstheme="majorBidi"/>
                <w:sz w:val="24"/>
                <w:szCs w:val="24"/>
              </w:rPr>
              <w:t>Mean</w:t>
            </w:r>
          </w:p>
        </w:tc>
        <w:tc>
          <w:tcPr>
            <w:tcW w:w="1000" w:type="dxa"/>
            <w:tcBorders>
              <w:top w:val="single" w:sz="4" w:space="0" w:color="auto"/>
              <w:left w:val="single" w:sz="4" w:space="0" w:color="auto"/>
              <w:bottom w:val="single" w:sz="4" w:space="0" w:color="auto"/>
              <w:right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center"/>
              <w:rPr>
                <w:rFonts w:asciiTheme="majorBidi" w:hAnsiTheme="majorBidi" w:cstheme="majorBidi"/>
                <w:sz w:val="24"/>
                <w:szCs w:val="24"/>
              </w:rPr>
            </w:pPr>
            <w:r w:rsidRPr="003F22BD">
              <w:rPr>
                <w:rFonts w:asciiTheme="majorBidi" w:hAnsiTheme="majorBidi" w:cstheme="majorBidi"/>
                <w:sz w:val="24"/>
                <w:szCs w:val="24"/>
              </w:rPr>
              <w:t>N</w:t>
            </w:r>
          </w:p>
        </w:tc>
        <w:tc>
          <w:tcPr>
            <w:tcW w:w="1410" w:type="dxa"/>
            <w:tcBorders>
              <w:top w:val="single" w:sz="4" w:space="0" w:color="auto"/>
              <w:left w:val="single" w:sz="4" w:space="0" w:color="auto"/>
              <w:bottom w:val="single" w:sz="4" w:space="0" w:color="auto"/>
              <w:right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center"/>
              <w:rPr>
                <w:rFonts w:asciiTheme="majorBidi" w:hAnsiTheme="majorBidi" w:cstheme="majorBidi"/>
                <w:sz w:val="24"/>
                <w:szCs w:val="24"/>
              </w:rPr>
            </w:pPr>
            <w:r w:rsidRPr="003F22BD">
              <w:rPr>
                <w:rFonts w:asciiTheme="majorBidi" w:hAnsiTheme="majorBidi" w:cstheme="majorBidi"/>
                <w:sz w:val="24"/>
                <w:szCs w:val="24"/>
              </w:rPr>
              <w:t>Std. Deviation</w:t>
            </w:r>
          </w:p>
        </w:tc>
        <w:tc>
          <w:tcPr>
            <w:tcW w:w="1456" w:type="dxa"/>
            <w:tcBorders>
              <w:top w:val="single" w:sz="4" w:space="0" w:color="auto"/>
              <w:left w:val="single" w:sz="4" w:space="0" w:color="auto"/>
              <w:bottom w:val="single" w:sz="4" w:space="0" w:color="auto"/>
              <w:right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center"/>
              <w:rPr>
                <w:rFonts w:asciiTheme="majorBidi" w:hAnsiTheme="majorBidi" w:cstheme="majorBidi"/>
                <w:sz w:val="24"/>
                <w:szCs w:val="24"/>
              </w:rPr>
            </w:pPr>
            <w:r w:rsidRPr="003F22BD">
              <w:rPr>
                <w:rFonts w:asciiTheme="majorBidi" w:hAnsiTheme="majorBidi" w:cstheme="majorBidi"/>
                <w:sz w:val="24"/>
                <w:szCs w:val="24"/>
              </w:rPr>
              <w:t>Std. Error Mean</w:t>
            </w:r>
          </w:p>
        </w:tc>
      </w:tr>
      <w:tr w:rsidR="003F22BD" w:rsidRPr="003F22BD" w:rsidTr="00061DF6">
        <w:trPr>
          <w:cantSplit/>
        </w:trPr>
        <w:tc>
          <w:tcPr>
            <w:tcW w:w="757" w:type="dxa"/>
            <w:vMerge w:val="restart"/>
            <w:tcBorders>
              <w:top w:val="single" w:sz="4" w:space="0" w:color="auto"/>
            </w:tcBorders>
            <w:shd w:val="clear" w:color="auto" w:fill="FFFFFF"/>
            <w:vAlign w:val="center"/>
          </w:tcPr>
          <w:p w:rsidR="005539D7" w:rsidRPr="003F22BD" w:rsidRDefault="005539D7" w:rsidP="00061DF6">
            <w:pPr>
              <w:autoSpaceDE w:val="0"/>
              <w:autoSpaceDN w:val="0"/>
              <w:adjustRightInd w:val="0"/>
              <w:spacing w:after="0" w:line="320" w:lineRule="atLeast"/>
              <w:ind w:left="60" w:right="60"/>
              <w:rPr>
                <w:rFonts w:asciiTheme="majorBidi" w:hAnsiTheme="majorBidi" w:cstheme="majorBidi"/>
                <w:sz w:val="24"/>
                <w:szCs w:val="24"/>
              </w:rPr>
            </w:pPr>
            <w:r w:rsidRPr="003F22BD">
              <w:rPr>
                <w:rFonts w:asciiTheme="majorBidi" w:hAnsiTheme="majorBidi" w:cstheme="majorBidi"/>
                <w:sz w:val="24"/>
                <w:szCs w:val="24"/>
              </w:rPr>
              <w:t>Pair 1</w:t>
            </w:r>
          </w:p>
        </w:tc>
        <w:tc>
          <w:tcPr>
            <w:tcW w:w="3375" w:type="dxa"/>
            <w:tcBorders>
              <w:top w:val="single" w:sz="4" w:space="0" w:color="auto"/>
            </w:tcBorders>
            <w:shd w:val="clear" w:color="auto" w:fill="FFFFFF"/>
            <w:vAlign w:val="center"/>
          </w:tcPr>
          <w:p w:rsidR="005539D7" w:rsidRPr="003F22BD" w:rsidRDefault="005539D7" w:rsidP="00061DF6">
            <w:pPr>
              <w:autoSpaceDE w:val="0"/>
              <w:autoSpaceDN w:val="0"/>
              <w:adjustRightInd w:val="0"/>
              <w:spacing w:after="0" w:line="320" w:lineRule="atLeast"/>
              <w:ind w:left="60" w:right="60"/>
              <w:rPr>
                <w:rFonts w:asciiTheme="majorBidi" w:hAnsiTheme="majorBidi" w:cstheme="majorBidi"/>
                <w:sz w:val="24"/>
                <w:szCs w:val="24"/>
              </w:rPr>
            </w:pPr>
            <w:r w:rsidRPr="003F22BD">
              <w:rPr>
                <w:rFonts w:asciiTheme="majorBidi" w:hAnsiTheme="majorBidi" w:cstheme="majorBidi"/>
                <w:sz w:val="24"/>
                <w:szCs w:val="24"/>
              </w:rPr>
              <w:t>SFVRS</w:t>
            </w:r>
          </w:p>
        </w:tc>
        <w:tc>
          <w:tcPr>
            <w:tcW w:w="1061" w:type="dxa"/>
            <w:tcBorders>
              <w:top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914.27</w:t>
            </w:r>
          </w:p>
        </w:tc>
        <w:tc>
          <w:tcPr>
            <w:tcW w:w="1000" w:type="dxa"/>
            <w:tcBorders>
              <w:top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52</w:t>
            </w:r>
          </w:p>
        </w:tc>
        <w:tc>
          <w:tcPr>
            <w:tcW w:w="1410" w:type="dxa"/>
            <w:tcBorders>
              <w:top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319.080</w:t>
            </w:r>
          </w:p>
        </w:tc>
        <w:tc>
          <w:tcPr>
            <w:tcW w:w="1456" w:type="dxa"/>
            <w:tcBorders>
              <w:top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44.248</w:t>
            </w:r>
          </w:p>
        </w:tc>
      </w:tr>
      <w:tr w:rsidR="003F22BD" w:rsidRPr="003F22BD" w:rsidTr="00061DF6">
        <w:trPr>
          <w:cantSplit/>
        </w:trPr>
        <w:tc>
          <w:tcPr>
            <w:tcW w:w="757" w:type="dxa"/>
            <w:vMerge/>
            <w:shd w:val="clear" w:color="auto" w:fill="FFFFFF"/>
            <w:vAlign w:val="center"/>
          </w:tcPr>
          <w:p w:rsidR="005539D7" w:rsidRPr="003F22BD" w:rsidRDefault="005539D7" w:rsidP="00061DF6">
            <w:pPr>
              <w:autoSpaceDE w:val="0"/>
              <w:autoSpaceDN w:val="0"/>
              <w:adjustRightInd w:val="0"/>
              <w:spacing w:after="0" w:line="240" w:lineRule="auto"/>
              <w:rPr>
                <w:rFonts w:asciiTheme="majorBidi" w:hAnsiTheme="majorBidi" w:cstheme="majorBidi"/>
                <w:sz w:val="24"/>
                <w:szCs w:val="24"/>
              </w:rPr>
            </w:pPr>
          </w:p>
        </w:tc>
        <w:tc>
          <w:tcPr>
            <w:tcW w:w="3375" w:type="dxa"/>
            <w:shd w:val="clear" w:color="auto" w:fill="FFFFFF"/>
            <w:vAlign w:val="center"/>
          </w:tcPr>
          <w:p w:rsidR="005539D7" w:rsidRPr="003F22BD" w:rsidRDefault="005539D7" w:rsidP="00061DF6">
            <w:pPr>
              <w:autoSpaceDE w:val="0"/>
              <w:autoSpaceDN w:val="0"/>
              <w:adjustRightInd w:val="0"/>
              <w:spacing w:after="0" w:line="320" w:lineRule="atLeast"/>
              <w:ind w:left="60" w:right="60"/>
              <w:rPr>
                <w:rFonts w:asciiTheme="majorBidi" w:hAnsiTheme="majorBidi" w:cstheme="majorBidi"/>
                <w:sz w:val="24"/>
                <w:szCs w:val="24"/>
              </w:rPr>
            </w:pPr>
            <w:r w:rsidRPr="003F22BD">
              <w:rPr>
                <w:rFonts w:asciiTheme="majorBidi" w:hAnsiTheme="majorBidi" w:cstheme="majorBidi"/>
                <w:sz w:val="24"/>
                <w:szCs w:val="24"/>
              </w:rPr>
              <w:t>SVVRS</w:t>
            </w:r>
          </w:p>
        </w:tc>
        <w:tc>
          <w:tcPr>
            <w:tcW w:w="1061"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1001.46</w:t>
            </w:r>
          </w:p>
        </w:tc>
        <w:tc>
          <w:tcPr>
            <w:tcW w:w="1000"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52</w:t>
            </w:r>
          </w:p>
        </w:tc>
        <w:tc>
          <w:tcPr>
            <w:tcW w:w="1410"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326.330</w:t>
            </w:r>
          </w:p>
        </w:tc>
        <w:tc>
          <w:tcPr>
            <w:tcW w:w="1456"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45.254</w:t>
            </w:r>
          </w:p>
        </w:tc>
      </w:tr>
      <w:tr w:rsidR="003F22BD" w:rsidRPr="003F22BD" w:rsidTr="00061DF6">
        <w:trPr>
          <w:cantSplit/>
        </w:trPr>
        <w:tc>
          <w:tcPr>
            <w:tcW w:w="757" w:type="dxa"/>
            <w:vMerge w:val="restart"/>
            <w:shd w:val="clear" w:color="auto" w:fill="FFFFFF"/>
            <w:vAlign w:val="center"/>
          </w:tcPr>
          <w:p w:rsidR="005539D7" w:rsidRPr="003F22BD" w:rsidRDefault="005539D7" w:rsidP="00061DF6">
            <w:pPr>
              <w:autoSpaceDE w:val="0"/>
              <w:autoSpaceDN w:val="0"/>
              <w:adjustRightInd w:val="0"/>
              <w:spacing w:after="0" w:line="320" w:lineRule="atLeast"/>
              <w:ind w:left="60" w:right="60"/>
              <w:rPr>
                <w:rFonts w:asciiTheme="majorBidi" w:hAnsiTheme="majorBidi" w:cstheme="majorBidi"/>
                <w:sz w:val="24"/>
                <w:szCs w:val="24"/>
              </w:rPr>
            </w:pPr>
            <w:r w:rsidRPr="003F22BD">
              <w:rPr>
                <w:rFonts w:asciiTheme="majorBidi" w:hAnsiTheme="majorBidi" w:cstheme="majorBidi"/>
                <w:sz w:val="24"/>
                <w:szCs w:val="24"/>
              </w:rPr>
              <w:t>Pair 2</w:t>
            </w:r>
          </w:p>
        </w:tc>
        <w:tc>
          <w:tcPr>
            <w:tcW w:w="3375" w:type="dxa"/>
            <w:shd w:val="clear" w:color="auto" w:fill="FFFFFF"/>
            <w:vAlign w:val="center"/>
          </w:tcPr>
          <w:p w:rsidR="005539D7" w:rsidRPr="003F22BD" w:rsidRDefault="005539D7" w:rsidP="00061DF6">
            <w:pPr>
              <w:autoSpaceDE w:val="0"/>
              <w:autoSpaceDN w:val="0"/>
              <w:adjustRightInd w:val="0"/>
              <w:spacing w:after="0" w:line="320" w:lineRule="atLeast"/>
              <w:ind w:left="60" w:right="60"/>
              <w:rPr>
                <w:rFonts w:asciiTheme="majorBidi" w:hAnsiTheme="majorBidi" w:cstheme="majorBidi"/>
                <w:sz w:val="24"/>
                <w:szCs w:val="24"/>
              </w:rPr>
            </w:pPr>
            <w:r w:rsidRPr="003F22BD">
              <w:rPr>
                <w:rFonts w:asciiTheme="majorBidi" w:hAnsiTheme="majorBidi" w:cstheme="majorBidi"/>
                <w:sz w:val="24"/>
                <w:szCs w:val="24"/>
              </w:rPr>
              <w:t>RFRS</w:t>
            </w:r>
          </w:p>
        </w:tc>
        <w:tc>
          <w:tcPr>
            <w:tcW w:w="1061"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22742.79</w:t>
            </w:r>
          </w:p>
        </w:tc>
        <w:tc>
          <w:tcPr>
            <w:tcW w:w="1000"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52</w:t>
            </w:r>
          </w:p>
        </w:tc>
        <w:tc>
          <w:tcPr>
            <w:tcW w:w="1410"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2407.532</w:t>
            </w:r>
          </w:p>
        </w:tc>
        <w:tc>
          <w:tcPr>
            <w:tcW w:w="1456"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333.865</w:t>
            </w:r>
          </w:p>
        </w:tc>
      </w:tr>
      <w:tr w:rsidR="003F22BD" w:rsidRPr="003F22BD" w:rsidTr="00061DF6">
        <w:trPr>
          <w:cantSplit/>
        </w:trPr>
        <w:tc>
          <w:tcPr>
            <w:tcW w:w="757" w:type="dxa"/>
            <w:vMerge/>
            <w:shd w:val="clear" w:color="auto" w:fill="FFFFFF"/>
            <w:vAlign w:val="center"/>
          </w:tcPr>
          <w:p w:rsidR="005539D7" w:rsidRPr="003F22BD" w:rsidRDefault="005539D7" w:rsidP="00061DF6">
            <w:pPr>
              <w:autoSpaceDE w:val="0"/>
              <w:autoSpaceDN w:val="0"/>
              <w:adjustRightInd w:val="0"/>
              <w:spacing w:after="0" w:line="240" w:lineRule="auto"/>
              <w:rPr>
                <w:rFonts w:asciiTheme="majorBidi" w:hAnsiTheme="majorBidi" w:cstheme="majorBidi"/>
                <w:sz w:val="24"/>
                <w:szCs w:val="24"/>
              </w:rPr>
            </w:pPr>
          </w:p>
        </w:tc>
        <w:tc>
          <w:tcPr>
            <w:tcW w:w="3375" w:type="dxa"/>
            <w:shd w:val="clear" w:color="auto" w:fill="FFFFFF"/>
            <w:vAlign w:val="center"/>
          </w:tcPr>
          <w:p w:rsidR="005539D7" w:rsidRPr="003F22BD" w:rsidRDefault="005539D7" w:rsidP="00061DF6">
            <w:pPr>
              <w:autoSpaceDE w:val="0"/>
              <w:autoSpaceDN w:val="0"/>
              <w:adjustRightInd w:val="0"/>
              <w:spacing w:after="0" w:line="320" w:lineRule="atLeast"/>
              <w:ind w:left="60" w:right="60"/>
              <w:rPr>
                <w:rFonts w:asciiTheme="majorBidi" w:hAnsiTheme="majorBidi" w:cstheme="majorBidi"/>
                <w:sz w:val="24"/>
                <w:szCs w:val="24"/>
              </w:rPr>
            </w:pPr>
            <w:r w:rsidRPr="003F22BD">
              <w:rPr>
                <w:rFonts w:asciiTheme="majorBidi" w:hAnsiTheme="majorBidi" w:cstheme="majorBidi"/>
                <w:sz w:val="24"/>
                <w:szCs w:val="24"/>
              </w:rPr>
              <w:t>RVRS</w:t>
            </w:r>
          </w:p>
        </w:tc>
        <w:tc>
          <w:tcPr>
            <w:tcW w:w="1061"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23042.35</w:t>
            </w:r>
          </w:p>
        </w:tc>
        <w:tc>
          <w:tcPr>
            <w:tcW w:w="1000"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52</w:t>
            </w:r>
          </w:p>
        </w:tc>
        <w:tc>
          <w:tcPr>
            <w:tcW w:w="1410"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2493.109</w:t>
            </w:r>
          </w:p>
        </w:tc>
        <w:tc>
          <w:tcPr>
            <w:tcW w:w="1456"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345.732</w:t>
            </w:r>
          </w:p>
        </w:tc>
      </w:tr>
      <w:tr w:rsidR="003F22BD" w:rsidRPr="003F22BD" w:rsidTr="00061DF6">
        <w:trPr>
          <w:cantSplit/>
        </w:trPr>
        <w:tc>
          <w:tcPr>
            <w:tcW w:w="9059" w:type="dxa"/>
            <w:gridSpan w:val="6"/>
            <w:shd w:val="clear" w:color="auto" w:fill="FFFFFF"/>
            <w:vAlign w:val="center"/>
          </w:tcPr>
          <w:p w:rsidR="005539D7" w:rsidRPr="003F22BD" w:rsidRDefault="005539D7" w:rsidP="00061DF6">
            <w:pPr>
              <w:autoSpaceDE w:val="0"/>
              <w:autoSpaceDN w:val="0"/>
              <w:adjustRightInd w:val="0"/>
              <w:spacing w:after="0" w:line="320" w:lineRule="atLeast"/>
              <w:ind w:left="60" w:right="60"/>
              <w:rPr>
                <w:rFonts w:asciiTheme="majorBidi" w:hAnsiTheme="majorBidi" w:cstheme="majorBidi"/>
                <w:sz w:val="24"/>
                <w:szCs w:val="24"/>
              </w:rPr>
            </w:pPr>
            <w:r w:rsidRPr="003F22BD">
              <w:rPr>
                <w:rFonts w:asciiTheme="majorBidi" w:hAnsiTheme="majorBidi" w:cstheme="majorBidi"/>
                <w:sz w:val="24"/>
                <w:szCs w:val="24"/>
              </w:rPr>
              <w:t>NOTE:SVFRS = Sales Volume (Fixed Remuneration Scheme);SVVRS = Sales Volume (Variable Remuneration Scheme); RFRS = Remuneration (Fixed Remuneration Scheme); RVRS = Remuneration Variable Remuneration Scheme</w:t>
            </w:r>
          </w:p>
        </w:tc>
      </w:tr>
    </w:tbl>
    <w:p w:rsidR="005539D7" w:rsidRPr="003F22BD" w:rsidRDefault="005539D7" w:rsidP="005539D7">
      <w:pPr>
        <w:spacing w:after="0" w:line="480" w:lineRule="auto"/>
        <w:rPr>
          <w:rFonts w:asciiTheme="majorBidi" w:hAnsiTheme="majorBidi" w:cstheme="majorBidi"/>
          <w:sz w:val="24"/>
          <w:szCs w:val="24"/>
        </w:rPr>
      </w:pPr>
      <w:r w:rsidRPr="003F22BD">
        <w:rPr>
          <w:rFonts w:asciiTheme="majorBidi" w:hAnsiTheme="majorBidi" w:cstheme="majorBidi"/>
          <w:b/>
          <w:bCs/>
          <w:sz w:val="24"/>
          <w:szCs w:val="24"/>
        </w:rPr>
        <w:t>Source:</w:t>
      </w:r>
      <w:r w:rsidRPr="003F22BD">
        <w:rPr>
          <w:rFonts w:asciiTheme="majorBidi" w:hAnsiTheme="majorBidi" w:cstheme="majorBidi"/>
          <w:sz w:val="24"/>
          <w:szCs w:val="24"/>
        </w:rPr>
        <w:t xml:space="preserve"> Authors’ Computation, 2014</w:t>
      </w:r>
    </w:p>
    <w:p w:rsidR="003F22BD" w:rsidRPr="003F22BD" w:rsidRDefault="003F22BD" w:rsidP="00843570">
      <w:pPr>
        <w:spacing w:after="0" w:line="360" w:lineRule="auto"/>
        <w:ind w:firstLine="720"/>
        <w:rPr>
          <w:rFonts w:asciiTheme="majorBidi" w:hAnsiTheme="majorBidi" w:cstheme="majorBidi"/>
          <w:sz w:val="24"/>
          <w:szCs w:val="24"/>
        </w:rPr>
        <w:sectPr w:rsidR="003F22BD" w:rsidRPr="003F22BD" w:rsidSect="003F22BD">
          <w:type w:val="continuous"/>
          <w:pgSz w:w="12240" w:h="15840" w:code="1"/>
          <w:pgMar w:top="864" w:right="1296" w:bottom="864" w:left="1296" w:header="288" w:footer="288" w:gutter="0"/>
          <w:cols w:space="720"/>
          <w:docGrid w:linePitch="360"/>
        </w:sectPr>
      </w:pPr>
    </w:p>
    <w:p w:rsidR="00843570" w:rsidRPr="003F22BD" w:rsidRDefault="00843570" w:rsidP="00843570">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lastRenderedPageBreak/>
        <w:t xml:space="preserve">Table 1 presents a descriptive statistics of the remuneration paid under each of the schemes and the sales volume achieved per week. It shows that the mean remuneration under the FRS and the VRS were </w:t>
      </w:r>
      <w:r w:rsidRPr="003F22BD">
        <w:rPr>
          <w:rFonts w:asciiTheme="majorBidi" w:hAnsiTheme="majorBidi" w:cstheme="majorBidi"/>
          <w:dstrike/>
          <w:sz w:val="24"/>
          <w:szCs w:val="24"/>
        </w:rPr>
        <w:t>N</w:t>
      </w:r>
      <w:r w:rsidRPr="003F22BD">
        <w:rPr>
          <w:rFonts w:asciiTheme="majorBidi" w:hAnsiTheme="majorBidi" w:cstheme="majorBidi"/>
          <w:sz w:val="24"/>
          <w:szCs w:val="24"/>
        </w:rPr>
        <w:t xml:space="preserve">22,742.79 and </w:t>
      </w:r>
      <w:r w:rsidRPr="003F22BD">
        <w:rPr>
          <w:rFonts w:asciiTheme="majorBidi" w:hAnsiTheme="majorBidi" w:cstheme="majorBidi"/>
          <w:dstrike/>
          <w:sz w:val="24"/>
          <w:szCs w:val="24"/>
        </w:rPr>
        <w:t>N</w:t>
      </w:r>
      <w:r w:rsidRPr="003F22BD">
        <w:rPr>
          <w:rFonts w:asciiTheme="majorBidi" w:hAnsiTheme="majorBidi" w:cstheme="majorBidi"/>
          <w:sz w:val="24"/>
          <w:szCs w:val="24"/>
        </w:rPr>
        <w:t xml:space="preserve">23,042.35 respectively. The standards deviation of the weekly remuneration were </w:t>
      </w:r>
      <w:r w:rsidRPr="003F22BD">
        <w:rPr>
          <w:rFonts w:asciiTheme="majorBidi" w:hAnsiTheme="majorBidi" w:cstheme="majorBidi"/>
          <w:dstrike/>
          <w:sz w:val="24"/>
          <w:szCs w:val="24"/>
        </w:rPr>
        <w:t>N</w:t>
      </w:r>
      <w:r w:rsidR="003F22BD">
        <w:rPr>
          <w:rFonts w:asciiTheme="majorBidi" w:hAnsiTheme="majorBidi" w:cstheme="majorBidi"/>
          <w:sz w:val="24"/>
          <w:szCs w:val="24"/>
        </w:rPr>
        <w:t xml:space="preserve">2,207.53 and </w:t>
      </w:r>
      <w:r w:rsidRPr="003F22BD">
        <w:rPr>
          <w:rFonts w:asciiTheme="majorBidi" w:hAnsiTheme="majorBidi" w:cstheme="majorBidi"/>
          <w:dstrike/>
          <w:sz w:val="24"/>
          <w:szCs w:val="24"/>
        </w:rPr>
        <w:t>N</w:t>
      </w:r>
      <w:r w:rsidRPr="003F22BD">
        <w:rPr>
          <w:rFonts w:asciiTheme="majorBidi" w:hAnsiTheme="majorBidi" w:cstheme="majorBidi"/>
          <w:sz w:val="24"/>
          <w:szCs w:val="24"/>
        </w:rPr>
        <w:t>2,495.11 respectively.</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lastRenderedPageBreak/>
        <w:t>Pair 2 in Table 2 presents the result of the paired sample t-test conducted to test that there was no significant difference in the remuneration of the sales force under the two remuneration schemes. At 5% levels of significance (α) in Table 2, the t-statistic revealed that there was no significant difference between the remuneration paid under the FRS and the VRS (t=-1.493, p&gt;α).</w:t>
      </w:r>
    </w:p>
    <w:p w:rsidR="003F22BD" w:rsidRPr="003F22BD" w:rsidRDefault="003F22BD" w:rsidP="00843570">
      <w:pPr>
        <w:autoSpaceDE w:val="0"/>
        <w:autoSpaceDN w:val="0"/>
        <w:adjustRightInd w:val="0"/>
        <w:spacing w:after="0" w:line="320" w:lineRule="atLeast"/>
        <w:ind w:left="60" w:right="60"/>
        <w:rPr>
          <w:rFonts w:asciiTheme="majorBidi" w:hAnsiTheme="majorBidi" w:cstheme="majorBidi"/>
          <w:sz w:val="24"/>
          <w:szCs w:val="24"/>
        </w:rPr>
        <w:sectPr w:rsidR="003F22BD" w:rsidRPr="003F22BD" w:rsidSect="003F22BD">
          <w:type w:val="continuous"/>
          <w:pgSz w:w="12240" w:h="15840" w:code="1"/>
          <w:pgMar w:top="864" w:right="1296" w:bottom="864" w:left="1296" w:header="288" w:footer="288" w:gutter="0"/>
          <w:cols w:num="2" w:space="720"/>
          <w:docGrid w:linePitch="360"/>
        </w:sectPr>
      </w:pPr>
    </w:p>
    <w:tbl>
      <w:tblPr>
        <w:tblW w:w="98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57"/>
        <w:gridCol w:w="1990"/>
        <w:gridCol w:w="1030"/>
        <w:gridCol w:w="1091"/>
        <w:gridCol w:w="993"/>
        <w:gridCol w:w="1052"/>
        <w:gridCol w:w="922"/>
        <w:gridCol w:w="799"/>
        <w:gridCol w:w="432"/>
        <w:gridCol w:w="798"/>
      </w:tblGrid>
      <w:tr w:rsidR="003F22BD" w:rsidRPr="003F22BD" w:rsidTr="00061DF6">
        <w:trPr>
          <w:cantSplit/>
          <w:jc w:val="center"/>
        </w:trPr>
        <w:tc>
          <w:tcPr>
            <w:tcW w:w="9864" w:type="dxa"/>
            <w:gridSpan w:val="10"/>
            <w:tcBorders>
              <w:top w:val="nil"/>
              <w:left w:val="nil"/>
              <w:bottom w:val="single" w:sz="4" w:space="0" w:color="auto"/>
              <w:right w:val="nil"/>
            </w:tcBorders>
            <w:shd w:val="clear" w:color="auto" w:fill="FFFFFF"/>
          </w:tcPr>
          <w:p w:rsidR="005539D7" w:rsidRPr="003F22BD" w:rsidRDefault="005539D7" w:rsidP="00843570">
            <w:pPr>
              <w:autoSpaceDE w:val="0"/>
              <w:autoSpaceDN w:val="0"/>
              <w:adjustRightInd w:val="0"/>
              <w:spacing w:after="0" w:line="320" w:lineRule="atLeast"/>
              <w:ind w:left="60" w:right="60"/>
              <w:rPr>
                <w:rFonts w:asciiTheme="majorBidi" w:hAnsiTheme="majorBidi" w:cstheme="majorBidi"/>
                <w:sz w:val="24"/>
                <w:szCs w:val="24"/>
              </w:rPr>
            </w:pPr>
            <w:r w:rsidRPr="003F22BD">
              <w:rPr>
                <w:rFonts w:asciiTheme="majorBidi" w:hAnsiTheme="majorBidi" w:cstheme="majorBidi"/>
                <w:sz w:val="24"/>
                <w:szCs w:val="24"/>
              </w:rPr>
              <w:lastRenderedPageBreak/>
              <w:br w:type="page"/>
            </w:r>
            <w:r w:rsidRPr="003F22BD">
              <w:rPr>
                <w:rFonts w:asciiTheme="majorBidi" w:hAnsiTheme="majorBidi" w:cstheme="majorBidi"/>
                <w:b/>
                <w:bCs/>
                <w:sz w:val="24"/>
                <w:szCs w:val="24"/>
              </w:rPr>
              <w:t>TABLE 2: Result of Test of Significant Difference</w:t>
            </w:r>
          </w:p>
        </w:tc>
      </w:tr>
      <w:tr w:rsidR="003F22BD" w:rsidRPr="003F22BD" w:rsidTr="00061DF6">
        <w:trPr>
          <w:cantSplit/>
          <w:jc w:val="center"/>
        </w:trPr>
        <w:tc>
          <w:tcPr>
            <w:tcW w:w="2747" w:type="dxa"/>
            <w:gridSpan w:val="2"/>
            <w:vMerge w:val="restart"/>
            <w:tcBorders>
              <w:top w:val="single" w:sz="4" w:space="0" w:color="auto"/>
            </w:tcBorders>
            <w:shd w:val="clear" w:color="auto" w:fill="FFFFFF"/>
          </w:tcPr>
          <w:p w:rsidR="005539D7" w:rsidRPr="003F22BD" w:rsidRDefault="005539D7" w:rsidP="00061DF6">
            <w:pPr>
              <w:autoSpaceDE w:val="0"/>
              <w:autoSpaceDN w:val="0"/>
              <w:adjustRightInd w:val="0"/>
              <w:spacing w:after="0" w:line="240" w:lineRule="auto"/>
              <w:ind w:left="273" w:hanging="273"/>
              <w:rPr>
                <w:rFonts w:asciiTheme="majorBidi" w:hAnsiTheme="majorBidi" w:cstheme="majorBidi"/>
                <w:sz w:val="24"/>
                <w:szCs w:val="24"/>
              </w:rPr>
            </w:pPr>
          </w:p>
        </w:tc>
        <w:tc>
          <w:tcPr>
            <w:tcW w:w="5088" w:type="dxa"/>
            <w:gridSpan w:val="5"/>
            <w:tcBorders>
              <w:top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center"/>
              <w:rPr>
                <w:rFonts w:asciiTheme="majorBidi" w:hAnsiTheme="majorBidi" w:cstheme="majorBidi"/>
                <w:sz w:val="24"/>
                <w:szCs w:val="24"/>
              </w:rPr>
            </w:pPr>
            <w:r w:rsidRPr="003F22BD">
              <w:rPr>
                <w:rFonts w:asciiTheme="majorBidi" w:hAnsiTheme="majorBidi" w:cstheme="majorBidi"/>
                <w:sz w:val="24"/>
                <w:szCs w:val="24"/>
              </w:rPr>
              <w:t>Paired Differences</w:t>
            </w:r>
          </w:p>
        </w:tc>
        <w:tc>
          <w:tcPr>
            <w:tcW w:w="799" w:type="dxa"/>
            <w:vMerge w:val="restart"/>
            <w:tcBorders>
              <w:top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center"/>
              <w:rPr>
                <w:rFonts w:asciiTheme="majorBidi" w:hAnsiTheme="majorBidi" w:cstheme="majorBidi"/>
                <w:sz w:val="24"/>
                <w:szCs w:val="24"/>
              </w:rPr>
            </w:pPr>
            <w:r w:rsidRPr="003F22BD">
              <w:rPr>
                <w:rFonts w:asciiTheme="majorBidi" w:hAnsiTheme="majorBidi" w:cstheme="majorBidi"/>
                <w:sz w:val="24"/>
                <w:szCs w:val="24"/>
              </w:rPr>
              <w:t>t</w:t>
            </w:r>
          </w:p>
        </w:tc>
        <w:tc>
          <w:tcPr>
            <w:tcW w:w="432" w:type="dxa"/>
            <w:vMerge w:val="restart"/>
            <w:tcBorders>
              <w:top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center"/>
              <w:rPr>
                <w:rFonts w:asciiTheme="majorBidi" w:hAnsiTheme="majorBidi" w:cstheme="majorBidi"/>
                <w:sz w:val="24"/>
                <w:szCs w:val="24"/>
              </w:rPr>
            </w:pPr>
            <w:r w:rsidRPr="003F22BD">
              <w:rPr>
                <w:rFonts w:asciiTheme="majorBidi" w:hAnsiTheme="majorBidi" w:cstheme="majorBidi"/>
                <w:sz w:val="24"/>
                <w:szCs w:val="24"/>
              </w:rPr>
              <w:t>Df</w:t>
            </w:r>
          </w:p>
        </w:tc>
        <w:tc>
          <w:tcPr>
            <w:tcW w:w="798" w:type="dxa"/>
            <w:vMerge w:val="restart"/>
            <w:tcBorders>
              <w:top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center"/>
              <w:rPr>
                <w:rFonts w:asciiTheme="majorBidi" w:hAnsiTheme="majorBidi" w:cstheme="majorBidi"/>
                <w:sz w:val="24"/>
                <w:szCs w:val="24"/>
              </w:rPr>
            </w:pPr>
            <w:r w:rsidRPr="003F22BD">
              <w:rPr>
                <w:rFonts w:asciiTheme="majorBidi" w:hAnsiTheme="majorBidi" w:cstheme="majorBidi"/>
                <w:sz w:val="24"/>
                <w:szCs w:val="24"/>
              </w:rPr>
              <w:t>Sig. (2-tailed)</w:t>
            </w:r>
          </w:p>
        </w:tc>
      </w:tr>
      <w:tr w:rsidR="003F22BD" w:rsidRPr="003F22BD" w:rsidTr="00061DF6">
        <w:trPr>
          <w:cantSplit/>
          <w:jc w:val="center"/>
        </w:trPr>
        <w:tc>
          <w:tcPr>
            <w:tcW w:w="2747" w:type="dxa"/>
            <w:gridSpan w:val="2"/>
            <w:vMerge/>
            <w:shd w:val="clear" w:color="auto" w:fill="FFFFFF"/>
          </w:tcPr>
          <w:p w:rsidR="005539D7" w:rsidRPr="003F22BD" w:rsidRDefault="005539D7" w:rsidP="00061DF6">
            <w:pPr>
              <w:autoSpaceDE w:val="0"/>
              <w:autoSpaceDN w:val="0"/>
              <w:adjustRightInd w:val="0"/>
              <w:spacing w:after="0" w:line="240" w:lineRule="auto"/>
              <w:rPr>
                <w:rFonts w:asciiTheme="majorBidi" w:hAnsiTheme="majorBidi" w:cstheme="majorBidi"/>
                <w:sz w:val="24"/>
                <w:szCs w:val="24"/>
              </w:rPr>
            </w:pPr>
          </w:p>
        </w:tc>
        <w:tc>
          <w:tcPr>
            <w:tcW w:w="1030" w:type="dxa"/>
            <w:vMerge w:val="restart"/>
            <w:shd w:val="clear" w:color="auto" w:fill="FFFFFF"/>
          </w:tcPr>
          <w:p w:rsidR="005539D7" w:rsidRPr="003F22BD" w:rsidRDefault="005539D7" w:rsidP="00061DF6">
            <w:pPr>
              <w:autoSpaceDE w:val="0"/>
              <w:autoSpaceDN w:val="0"/>
              <w:adjustRightInd w:val="0"/>
              <w:spacing w:after="0" w:line="320" w:lineRule="atLeast"/>
              <w:ind w:left="60" w:right="60"/>
              <w:jc w:val="center"/>
              <w:rPr>
                <w:rFonts w:asciiTheme="majorBidi" w:hAnsiTheme="majorBidi" w:cstheme="majorBidi"/>
                <w:sz w:val="24"/>
                <w:szCs w:val="24"/>
              </w:rPr>
            </w:pPr>
            <w:r w:rsidRPr="003F22BD">
              <w:rPr>
                <w:rFonts w:asciiTheme="majorBidi" w:hAnsiTheme="majorBidi" w:cstheme="majorBidi"/>
                <w:sz w:val="24"/>
                <w:szCs w:val="24"/>
              </w:rPr>
              <w:t>Mean</w:t>
            </w:r>
          </w:p>
        </w:tc>
        <w:tc>
          <w:tcPr>
            <w:tcW w:w="1091" w:type="dxa"/>
            <w:vMerge w:val="restart"/>
            <w:shd w:val="clear" w:color="auto" w:fill="FFFFFF"/>
          </w:tcPr>
          <w:p w:rsidR="005539D7" w:rsidRPr="003F22BD" w:rsidRDefault="005539D7" w:rsidP="00061DF6">
            <w:pPr>
              <w:autoSpaceDE w:val="0"/>
              <w:autoSpaceDN w:val="0"/>
              <w:adjustRightInd w:val="0"/>
              <w:spacing w:after="0" w:line="320" w:lineRule="atLeast"/>
              <w:ind w:left="60" w:right="60"/>
              <w:jc w:val="center"/>
              <w:rPr>
                <w:rFonts w:asciiTheme="majorBidi" w:hAnsiTheme="majorBidi" w:cstheme="majorBidi"/>
                <w:sz w:val="24"/>
                <w:szCs w:val="24"/>
              </w:rPr>
            </w:pPr>
            <w:r w:rsidRPr="003F22BD">
              <w:rPr>
                <w:rFonts w:asciiTheme="majorBidi" w:hAnsiTheme="majorBidi" w:cstheme="majorBidi"/>
                <w:sz w:val="24"/>
                <w:szCs w:val="24"/>
              </w:rPr>
              <w:t>Std. Deviation</w:t>
            </w:r>
          </w:p>
        </w:tc>
        <w:tc>
          <w:tcPr>
            <w:tcW w:w="993" w:type="dxa"/>
            <w:vMerge w:val="restart"/>
            <w:shd w:val="clear" w:color="auto" w:fill="FFFFFF"/>
          </w:tcPr>
          <w:p w:rsidR="005539D7" w:rsidRPr="003F22BD" w:rsidRDefault="005539D7" w:rsidP="00061DF6">
            <w:pPr>
              <w:autoSpaceDE w:val="0"/>
              <w:autoSpaceDN w:val="0"/>
              <w:adjustRightInd w:val="0"/>
              <w:spacing w:after="0" w:line="320" w:lineRule="atLeast"/>
              <w:ind w:left="60" w:right="60"/>
              <w:jc w:val="center"/>
              <w:rPr>
                <w:rFonts w:asciiTheme="majorBidi" w:hAnsiTheme="majorBidi" w:cstheme="majorBidi"/>
                <w:sz w:val="24"/>
                <w:szCs w:val="24"/>
              </w:rPr>
            </w:pPr>
            <w:r w:rsidRPr="003F22BD">
              <w:rPr>
                <w:rFonts w:asciiTheme="majorBidi" w:hAnsiTheme="majorBidi" w:cstheme="majorBidi"/>
                <w:sz w:val="24"/>
                <w:szCs w:val="24"/>
              </w:rPr>
              <w:t>Std. Error Mean</w:t>
            </w:r>
          </w:p>
        </w:tc>
        <w:tc>
          <w:tcPr>
            <w:tcW w:w="1974" w:type="dxa"/>
            <w:gridSpan w:val="2"/>
            <w:shd w:val="clear" w:color="auto" w:fill="FFFFFF"/>
          </w:tcPr>
          <w:p w:rsidR="005539D7" w:rsidRPr="003F22BD" w:rsidRDefault="005539D7" w:rsidP="00061DF6">
            <w:pPr>
              <w:autoSpaceDE w:val="0"/>
              <w:autoSpaceDN w:val="0"/>
              <w:adjustRightInd w:val="0"/>
              <w:spacing w:after="0" w:line="320" w:lineRule="atLeast"/>
              <w:ind w:left="60" w:right="60"/>
              <w:jc w:val="center"/>
              <w:rPr>
                <w:rFonts w:asciiTheme="majorBidi" w:hAnsiTheme="majorBidi" w:cstheme="majorBidi"/>
                <w:sz w:val="24"/>
                <w:szCs w:val="24"/>
              </w:rPr>
            </w:pPr>
            <w:r w:rsidRPr="003F22BD">
              <w:rPr>
                <w:rFonts w:asciiTheme="majorBidi" w:hAnsiTheme="majorBidi" w:cstheme="majorBidi"/>
                <w:sz w:val="24"/>
                <w:szCs w:val="24"/>
              </w:rPr>
              <w:t>95% Confidence Interval of the Difference</w:t>
            </w:r>
          </w:p>
        </w:tc>
        <w:tc>
          <w:tcPr>
            <w:tcW w:w="799" w:type="dxa"/>
            <w:vMerge/>
            <w:shd w:val="clear" w:color="auto" w:fill="FFFFFF"/>
          </w:tcPr>
          <w:p w:rsidR="005539D7" w:rsidRPr="003F22BD" w:rsidRDefault="005539D7" w:rsidP="00061DF6">
            <w:pPr>
              <w:autoSpaceDE w:val="0"/>
              <w:autoSpaceDN w:val="0"/>
              <w:adjustRightInd w:val="0"/>
              <w:spacing w:after="0" w:line="240" w:lineRule="auto"/>
              <w:rPr>
                <w:rFonts w:asciiTheme="majorBidi" w:hAnsiTheme="majorBidi" w:cstheme="majorBidi"/>
                <w:sz w:val="24"/>
                <w:szCs w:val="24"/>
              </w:rPr>
            </w:pPr>
          </w:p>
        </w:tc>
        <w:tc>
          <w:tcPr>
            <w:tcW w:w="432" w:type="dxa"/>
            <w:vMerge/>
            <w:shd w:val="clear" w:color="auto" w:fill="FFFFFF"/>
          </w:tcPr>
          <w:p w:rsidR="005539D7" w:rsidRPr="003F22BD" w:rsidRDefault="005539D7" w:rsidP="00061DF6">
            <w:pPr>
              <w:autoSpaceDE w:val="0"/>
              <w:autoSpaceDN w:val="0"/>
              <w:adjustRightInd w:val="0"/>
              <w:spacing w:after="0" w:line="240" w:lineRule="auto"/>
              <w:rPr>
                <w:rFonts w:asciiTheme="majorBidi" w:hAnsiTheme="majorBidi" w:cstheme="majorBidi"/>
                <w:sz w:val="24"/>
                <w:szCs w:val="24"/>
              </w:rPr>
            </w:pPr>
          </w:p>
        </w:tc>
        <w:tc>
          <w:tcPr>
            <w:tcW w:w="798" w:type="dxa"/>
            <w:vMerge/>
            <w:shd w:val="clear" w:color="auto" w:fill="FFFFFF"/>
          </w:tcPr>
          <w:p w:rsidR="005539D7" w:rsidRPr="003F22BD" w:rsidRDefault="005539D7" w:rsidP="00061DF6">
            <w:pPr>
              <w:autoSpaceDE w:val="0"/>
              <w:autoSpaceDN w:val="0"/>
              <w:adjustRightInd w:val="0"/>
              <w:spacing w:after="0" w:line="240" w:lineRule="auto"/>
              <w:rPr>
                <w:rFonts w:asciiTheme="majorBidi" w:hAnsiTheme="majorBidi" w:cstheme="majorBidi"/>
                <w:sz w:val="24"/>
                <w:szCs w:val="24"/>
              </w:rPr>
            </w:pPr>
          </w:p>
        </w:tc>
      </w:tr>
      <w:tr w:rsidR="003F22BD" w:rsidRPr="003F22BD" w:rsidTr="00061DF6">
        <w:trPr>
          <w:cantSplit/>
          <w:jc w:val="center"/>
        </w:trPr>
        <w:tc>
          <w:tcPr>
            <w:tcW w:w="2747" w:type="dxa"/>
            <w:gridSpan w:val="2"/>
            <w:vMerge/>
            <w:shd w:val="clear" w:color="auto" w:fill="FFFFFF"/>
          </w:tcPr>
          <w:p w:rsidR="005539D7" w:rsidRPr="003F22BD" w:rsidRDefault="005539D7" w:rsidP="00061DF6">
            <w:pPr>
              <w:autoSpaceDE w:val="0"/>
              <w:autoSpaceDN w:val="0"/>
              <w:adjustRightInd w:val="0"/>
              <w:spacing w:after="0" w:line="240" w:lineRule="auto"/>
              <w:rPr>
                <w:rFonts w:asciiTheme="majorBidi" w:hAnsiTheme="majorBidi" w:cstheme="majorBidi"/>
                <w:sz w:val="24"/>
                <w:szCs w:val="24"/>
              </w:rPr>
            </w:pPr>
          </w:p>
        </w:tc>
        <w:tc>
          <w:tcPr>
            <w:tcW w:w="1030" w:type="dxa"/>
            <w:vMerge/>
            <w:shd w:val="clear" w:color="auto" w:fill="FFFFFF"/>
          </w:tcPr>
          <w:p w:rsidR="005539D7" w:rsidRPr="003F22BD" w:rsidRDefault="005539D7" w:rsidP="00061DF6">
            <w:pPr>
              <w:autoSpaceDE w:val="0"/>
              <w:autoSpaceDN w:val="0"/>
              <w:adjustRightInd w:val="0"/>
              <w:spacing w:after="0" w:line="240" w:lineRule="auto"/>
              <w:rPr>
                <w:rFonts w:asciiTheme="majorBidi" w:hAnsiTheme="majorBidi" w:cstheme="majorBidi"/>
                <w:sz w:val="24"/>
                <w:szCs w:val="24"/>
              </w:rPr>
            </w:pPr>
          </w:p>
        </w:tc>
        <w:tc>
          <w:tcPr>
            <w:tcW w:w="1091" w:type="dxa"/>
            <w:vMerge/>
            <w:shd w:val="clear" w:color="auto" w:fill="FFFFFF"/>
          </w:tcPr>
          <w:p w:rsidR="005539D7" w:rsidRPr="003F22BD" w:rsidRDefault="005539D7" w:rsidP="00061DF6">
            <w:pPr>
              <w:autoSpaceDE w:val="0"/>
              <w:autoSpaceDN w:val="0"/>
              <w:adjustRightInd w:val="0"/>
              <w:spacing w:after="0" w:line="240" w:lineRule="auto"/>
              <w:rPr>
                <w:rFonts w:asciiTheme="majorBidi" w:hAnsiTheme="majorBidi" w:cstheme="majorBidi"/>
                <w:sz w:val="24"/>
                <w:szCs w:val="24"/>
              </w:rPr>
            </w:pPr>
          </w:p>
        </w:tc>
        <w:tc>
          <w:tcPr>
            <w:tcW w:w="993" w:type="dxa"/>
            <w:vMerge/>
            <w:shd w:val="clear" w:color="auto" w:fill="FFFFFF"/>
          </w:tcPr>
          <w:p w:rsidR="005539D7" w:rsidRPr="003F22BD" w:rsidRDefault="005539D7" w:rsidP="00061DF6">
            <w:pPr>
              <w:autoSpaceDE w:val="0"/>
              <w:autoSpaceDN w:val="0"/>
              <w:adjustRightInd w:val="0"/>
              <w:spacing w:after="0" w:line="240" w:lineRule="auto"/>
              <w:rPr>
                <w:rFonts w:asciiTheme="majorBidi" w:hAnsiTheme="majorBidi" w:cstheme="majorBidi"/>
                <w:sz w:val="24"/>
                <w:szCs w:val="24"/>
              </w:rPr>
            </w:pPr>
          </w:p>
        </w:tc>
        <w:tc>
          <w:tcPr>
            <w:tcW w:w="1052" w:type="dxa"/>
            <w:shd w:val="clear" w:color="auto" w:fill="FFFFFF"/>
          </w:tcPr>
          <w:p w:rsidR="005539D7" w:rsidRPr="003F22BD" w:rsidRDefault="005539D7" w:rsidP="00061DF6">
            <w:pPr>
              <w:autoSpaceDE w:val="0"/>
              <w:autoSpaceDN w:val="0"/>
              <w:adjustRightInd w:val="0"/>
              <w:spacing w:after="0" w:line="320" w:lineRule="atLeast"/>
              <w:ind w:left="60" w:right="60"/>
              <w:jc w:val="center"/>
              <w:rPr>
                <w:rFonts w:asciiTheme="majorBidi" w:hAnsiTheme="majorBidi" w:cstheme="majorBidi"/>
                <w:sz w:val="24"/>
                <w:szCs w:val="24"/>
              </w:rPr>
            </w:pPr>
            <w:r w:rsidRPr="003F22BD">
              <w:rPr>
                <w:rFonts w:asciiTheme="majorBidi" w:hAnsiTheme="majorBidi" w:cstheme="majorBidi"/>
                <w:sz w:val="24"/>
                <w:szCs w:val="24"/>
              </w:rPr>
              <w:t>Lower</w:t>
            </w:r>
          </w:p>
        </w:tc>
        <w:tc>
          <w:tcPr>
            <w:tcW w:w="922" w:type="dxa"/>
            <w:shd w:val="clear" w:color="auto" w:fill="FFFFFF"/>
          </w:tcPr>
          <w:p w:rsidR="005539D7" w:rsidRPr="003F22BD" w:rsidRDefault="005539D7" w:rsidP="00061DF6">
            <w:pPr>
              <w:autoSpaceDE w:val="0"/>
              <w:autoSpaceDN w:val="0"/>
              <w:adjustRightInd w:val="0"/>
              <w:spacing w:after="0" w:line="320" w:lineRule="atLeast"/>
              <w:ind w:left="60" w:right="60"/>
              <w:jc w:val="center"/>
              <w:rPr>
                <w:rFonts w:asciiTheme="majorBidi" w:hAnsiTheme="majorBidi" w:cstheme="majorBidi"/>
                <w:sz w:val="24"/>
                <w:szCs w:val="24"/>
              </w:rPr>
            </w:pPr>
            <w:r w:rsidRPr="003F22BD">
              <w:rPr>
                <w:rFonts w:asciiTheme="majorBidi" w:hAnsiTheme="majorBidi" w:cstheme="majorBidi"/>
                <w:sz w:val="24"/>
                <w:szCs w:val="24"/>
              </w:rPr>
              <w:t>Upper</w:t>
            </w:r>
          </w:p>
        </w:tc>
        <w:tc>
          <w:tcPr>
            <w:tcW w:w="799" w:type="dxa"/>
            <w:vMerge/>
            <w:shd w:val="clear" w:color="auto" w:fill="FFFFFF"/>
          </w:tcPr>
          <w:p w:rsidR="005539D7" w:rsidRPr="003F22BD" w:rsidRDefault="005539D7" w:rsidP="00061DF6">
            <w:pPr>
              <w:autoSpaceDE w:val="0"/>
              <w:autoSpaceDN w:val="0"/>
              <w:adjustRightInd w:val="0"/>
              <w:spacing w:after="0" w:line="240" w:lineRule="auto"/>
              <w:rPr>
                <w:rFonts w:asciiTheme="majorBidi" w:hAnsiTheme="majorBidi" w:cstheme="majorBidi"/>
                <w:sz w:val="24"/>
                <w:szCs w:val="24"/>
              </w:rPr>
            </w:pPr>
          </w:p>
        </w:tc>
        <w:tc>
          <w:tcPr>
            <w:tcW w:w="432" w:type="dxa"/>
            <w:vMerge/>
            <w:shd w:val="clear" w:color="auto" w:fill="FFFFFF"/>
          </w:tcPr>
          <w:p w:rsidR="005539D7" w:rsidRPr="003F22BD" w:rsidRDefault="005539D7" w:rsidP="00061DF6">
            <w:pPr>
              <w:autoSpaceDE w:val="0"/>
              <w:autoSpaceDN w:val="0"/>
              <w:adjustRightInd w:val="0"/>
              <w:spacing w:after="0" w:line="240" w:lineRule="auto"/>
              <w:rPr>
                <w:rFonts w:asciiTheme="majorBidi" w:hAnsiTheme="majorBidi" w:cstheme="majorBidi"/>
                <w:sz w:val="24"/>
                <w:szCs w:val="24"/>
              </w:rPr>
            </w:pPr>
          </w:p>
        </w:tc>
        <w:tc>
          <w:tcPr>
            <w:tcW w:w="798" w:type="dxa"/>
            <w:vMerge/>
            <w:shd w:val="clear" w:color="auto" w:fill="FFFFFF"/>
          </w:tcPr>
          <w:p w:rsidR="005539D7" w:rsidRPr="003F22BD" w:rsidRDefault="005539D7" w:rsidP="00061DF6">
            <w:pPr>
              <w:autoSpaceDE w:val="0"/>
              <w:autoSpaceDN w:val="0"/>
              <w:adjustRightInd w:val="0"/>
              <w:spacing w:after="0" w:line="240" w:lineRule="auto"/>
              <w:rPr>
                <w:rFonts w:asciiTheme="majorBidi" w:hAnsiTheme="majorBidi" w:cstheme="majorBidi"/>
                <w:sz w:val="24"/>
                <w:szCs w:val="24"/>
              </w:rPr>
            </w:pPr>
          </w:p>
        </w:tc>
      </w:tr>
      <w:tr w:rsidR="003F22BD" w:rsidRPr="003F22BD" w:rsidTr="00061DF6">
        <w:trPr>
          <w:cantSplit/>
          <w:jc w:val="center"/>
        </w:trPr>
        <w:tc>
          <w:tcPr>
            <w:tcW w:w="757" w:type="dxa"/>
            <w:shd w:val="clear" w:color="auto" w:fill="FFFFFF"/>
            <w:vAlign w:val="center"/>
          </w:tcPr>
          <w:p w:rsidR="005539D7" w:rsidRPr="003F22BD" w:rsidRDefault="005539D7" w:rsidP="00061DF6">
            <w:pPr>
              <w:autoSpaceDE w:val="0"/>
              <w:autoSpaceDN w:val="0"/>
              <w:adjustRightInd w:val="0"/>
              <w:spacing w:after="0" w:line="320" w:lineRule="atLeast"/>
              <w:ind w:left="60" w:right="60"/>
              <w:rPr>
                <w:rFonts w:asciiTheme="majorBidi" w:hAnsiTheme="majorBidi" w:cstheme="majorBidi"/>
                <w:sz w:val="24"/>
                <w:szCs w:val="24"/>
              </w:rPr>
            </w:pPr>
            <w:r w:rsidRPr="003F22BD">
              <w:rPr>
                <w:rFonts w:asciiTheme="majorBidi" w:hAnsiTheme="majorBidi" w:cstheme="majorBidi"/>
                <w:sz w:val="24"/>
                <w:szCs w:val="24"/>
              </w:rPr>
              <w:t>Pair 1</w:t>
            </w:r>
          </w:p>
        </w:tc>
        <w:tc>
          <w:tcPr>
            <w:tcW w:w="1990" w:type="dxa"/>
            <w:shd w:val="clear" w:color="auto" w:fill="FFFFFF"/>
            <w:vAlign w:val="center"/>
          </w:tcPr>
          <w:p w:rsidR="005539D7" w:rsidRPr="003F22BD" w:rsidRDefault="005539D7" w:rsidP="00061DF6">
            <w:pPr>
              <w:autoSpaceDE w:val="0"/>
              <w:autoSpaceDN w:val="0"/>
              <w:adjustRightInd w:val="0"/>
              <w:spacing w:after="0" w:line="320" w:lineRule="atLeast"/>
              <w:ind w:left="60" w:right="60"/>
              <w:rPr>
                <w:rFonts w:asciiTheme="majorBidi" w:hAnsiTheme="majorBidi" w:cstheme="majorBidi"/>
                <w:sz w:val="24"/>
                <w:szCs w:val="24"/>
              </w:rPr>
            </w:pPr>
            <w:r w:rsidRPr="003F22BD">
              <w:rPr>
                <w:rFonts w:asciiTheme="majorBidi" w:hAnsiTheme="majorBidi" w:cstheme="majorBidi"/>
                <w:sz w:val="24"/>
                <w:szCs w:val="24"/>
              </w:rPr>
              <w:t>SVFRS – SVVRS</w:t>
            </w:r>
          </w:p>
        </w:tc>
        <w:tc>
          <w:tcPr>
            <w:tcW w:w="1030"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87.192</w:t>
            </w:r>
          </w:p>
        </w:tc>
        <w:tc>
          <w:tcPr>
            <w:tcW w:w="1091"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300.216</w:t>
            </w:r>
          </w:p>
        </w:tc>
        <w:tc>
          <w:tcPr>
            <w:tcW w:w="993"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41.632</w:t>
            </w:r>
          </w:p>
        </w:tc>
        <w:tc>
          <w:tcPr>
            <w:tcW w:w="1052"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3.612</w:t>
            </w:r>
          </w:p>
        </w:tc>
        <w:tc>
          <w:tcPr>
            <w:tcW w:w="922"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170.773</w:t>
            </w:r>
          </w:p>
        </w:tc>
        <w:tc>
          <w:tcPr>
            <w:tcW w:w="799"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2.094</w:t>
            </w:r>
          </w:p>
        </w:tc>
        <w:tc>
          <w:tcPr>
            <w:tcW w:w="432"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51</w:t>
            </w:r>
          </w:p>
        </w:tc>
        <w:tc>
          <w:tcPr>
            <w:tcW w:w="798"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.041</w:t>
            </w:r>
          </w:p>
        </w:tc>
      </w:tr>
      <w:tr w:rsidR="003F22BD" w:rsidRPr="003F22BD" w:rsidTr="00061DF6">
        <w:trPr>
          <w:cantSplit/>
          <w:jc w:val="center"/>
        </w:trPr>
        <w:tc>
          <w:tcPr>
            <w:tcW w:w="757" w:type="dxa"/>
            <w:shd w:val="clear" w:color="auto" w:fill="FFFFFF"/>
            <w:vAlign w:val="center"/>
          </w:tcPr>
          <w:p w:rsidR="005539D7" w:rsidRPr="003F22BD" w:rsidRDefault="005539D7" w:rsidP="00061DF6">
            <w:pPr>
              <w:autoSpaceDE w:val="0"/>
              <w:autoSpaceDN w:val="0"/>
              <w:adjustRightInd w:val="0"/>
              <w:spacing w:after="0" w:line="320" w:lineRule="atLeast"/>
              <w:ind w:left="60" w:right="60"/>
              <w:rPr>
                <w:rFonts w:asciiTheme="majorBidi" w:hAnsiTheme="majorBidi" w:cstheme="majorBidi"/>
                <w:sz w:val="24"/>
                <w:szCs w:val="24"/>
              </w:rPr>
            </w:pPr>
            <w:r w:rsidRPr="003F22BD">
              <w:rPr>
                <w:rFonts w:asciiTheme="majorBidi" w:hAnsiTheme="majorBidi" w:cstheme="majorBidi"/>
                <w:sz w:val="24"/>
                <w:szCs w:val="24"/>
              </w:rPr>
              <w:t>Pair 2</w:t>
            </w:r>
          </w:p>
        </w:tc>
        <w:tc>
          <w:tcPr>
            <w:tcW w:w="1990" w:type="dxa"/>
            <w:shd w:val="clear" w:color="auto" w:fill="FFFFFF"/>
            <w:vAlign w:val="center"/>
          </w:tcPr>
          <w:p w:rsidR="005539D7" w:rsidRPr="003F22BD" w:rsidRDefault="005539D7" w:rsidP="00061DF6">
            <w:pPr>
              <w:autoSpaceDE w:val="0"/>
              <w:autoSpaceDN w:val="0"/>
              <w:adjustRightInd w:val="0"/>
              <w:spacing w:after="0" w:line="320" w:lineRule="atLeast"/>
              <w:ind w:left="60" w:right="60"/>
              <w:rPr>
                <w:rFonts w:asciiTheme="majorBidi" w:hAnsiTheme="majorBidi" w:cstheme="majorBidi"/>
                <w:sz w:val="24"/>
                <w:szCs w:val="24"/>
              </w:rPr>
            </w:pPr>
            <w:r w:rsidRPr="003F22BD">
              <w:rPr>
                <w:rFonts w:asciiTheme="majorBidi" w:hAnsiTheme="majorBidi" w:cstheme="majorBidi"/>
                <w:sz w:val="24"/>
                <w:szCs w:val="24"/>
              </w:rPr>
              <w:t>RFRS - RVRS</w:t>
            </w:r>
          </w:p>
        </w:tc>
        <w:tc>
          <w:tcPr>
            <w:tcW w:w="1030"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-299.558</w:t>
            </w:r>
          </w:p>
        </w:tc>
        <w:tc>
          <w:tcPr>
            <w:tcW w:w="1091"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1446.774</w:t>
            </w:r>
          </w:p>
        </w:tc>
        <w:tc>
          <w:tcPr>
            <w:tcW w:w="993"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200.631</w:t>
            </w:r>
          </w:p>
        </w:tc>
        <w:tc>
          <w:tcPr>
            <w:tcW w:w="1052"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-702.342</w:t>
            </w:r>
          </w:p>
        </w:tc>
        <w:tc>
          <w:tcPr>
            <w:tcW w:w="922"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103.227</w:t>
            </w:r>
          </w:p>
        </w:tc>
        <w:tc>
          <w:tcPr>
            <w:tcW w:w="799"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-1.493</w:t>
            </w:r>
          </w:p>
        </w:tc>
        <w:tc>
          <w:tcPr>
            <w:tcW w:w="432"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51</w:t>
            </w:r>
          </w:p>
        </w:tc>
        <w:tc>
          <w:tcPr>
            <w:tcW w:w="798"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.142</w:t>
            </w:r>
          </w:p>
        </w:tc>
      </w:tr>
    </w:tbl>
    <w:p w:rsidR="005539D7" w:rsidRPr="003F22BD" w:rsidRDefault="005539D7" w:rsidP="005539D7">
      <w:pPr>
        <w:spacing w:after="0" w:line="480" w:lineRule="auto"/>
        <w:rPr>
          <w:rFonts w:asciiTheme="majorBidi" w:hAnsiTheme="majorBidi" w:cstheme="majorBidi"/>
          <w:sz w:val="24"/>
          <w:szCs w:val="24"/>
        </w:rPr>
      </w:pPr>
      <w:r w:rsidRPr="003F22BD">
        <w:rPr>
          <w:rFonts w:asciiTheme="majorBidi" w:hAnsiTheme="majorBidi" w:cstheme="majorBidi"/>
          <w:b/>
          <w:bCs/>
          <w:sz w:val="24"/>
          <w:szCs w:val="24"/>
        </w:rPr>
        <w:t>Source:</w:t>
      </w:r>
      <w:r w:rsidRPr="003F22BD">
        <w:rPr>
          <w:rFonts w:asciiTheme="majorBidi" w:hAnsiTheme="majorBidi" w:cstheme="majorBidi"/>
          <w:sz w:val="24"/>
          <w:szCs w:val="24"/>
        </w:rPr>
        <w:t xml:space="preserve"> Authors’ Computation, 2014</w:t>
      </w:r>
    </w:p>
    <w:p w:rsidR="003F22BD" w:rsidRPr="003F22BD" w:rsidRDefault="003F22BD" w:rsidP="005539D7">
      <w:pPr>
        <w:spacing w:after="0" w:line="360" w:lineRule="auto"/>
        <w:ind w:firstLine="720"/>
        <w:rPr>
          <w:rFonts w:asciiTheme="majorBidi" w:hAnsiTheme="majorBidi" w:cstheme="majorBidi"/>
          <w:sz w:val="24"/>
          <w:szCs w:val="24"/>
        </w:rPr>
        <w:sectPr w:rsidR="003F22BD" w:rsidRPr="003F22BD" w:rsidSect="003F22BD">
          <w:type w:val="continuous"/>
          <w:pgSz w:w="12240" w:h="15840" w:code="1"/>
          <w:pgMar w:top="864" w:right="1296" w:bottom="864" w:left="1296" w:header="288" w:footer="288" w:gutter="0"/>
          <w:cols w:space="720"/>
          <w:docGrid w:linePitch="360"/>
        </w:sectPr>
      </w:pP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lastRenderedPageBreak/>
        <w:t xml:space="preserve">It was expected that the sales force should react to either the amount paid as salaries or the scheme used (the two components of remuneration in this study). It was also expected that there should be a weak </w:t>
      </w:r>
      <w:r w:rsidRPr="003F22BD">
        <w:rPr>
          <w:rFonts w:asciiTheme="majorBidi" w:hAnsiTheme="majorBidi" w:cstheme="majorBidi"/>
          <w:sz w:val="24"/>
          <w:szCs w:val="24"/>
        </w:rPr>
        <w:lastRenderedPageBreak/>
        <w:t xml:space="preserve">correlation between the performances (units sold) under the two schemes but a strong correlation between the remuneration of the sales force under the two schemes. The inference that is drawn if this holds is that the </w:t>
      </w:r>
      <w:r w:rsidRPr="003F22BD">
        <w:rPr>
          <w:rFonts w:asciiTheme="majorBidi" w:hAnsiTheme="majorBidi" w:cstheme="majorBidi"/>
          <w:sz w:val="24"/>
          <w:szCs w:val="24"/>
        </w:rPr>
        <w:lastRenderedPageBreak/>
        <w:t xml:space="preserve">amount paid cannot be inferred to be a source of any observable difference in performance but the schemes. As envisaged, Table 3 revealed that there is a significantly moderate correlation (56.7%) between the performance under the two schemes and a significantly strong correlation (82.6%) between the </w:t>
      </w:r>
      <w:r w:rsidRPr="003F22BD">
        <w:rPr>
          <w:rFonts w:asciiTheme="majorBidi" w:hAnsiTheme="majorBidi" w:cstheme="majorBidi"/>
          <w:sz w:val="24"/>
          <w:szCs w:val="24"/>
        </w:rPr>
        <w:lastRenderedPageBreak/>
        <w:t>amounts of remuneration paid to the sales force under the two schemes. Then, this study proceeded to test whether any statistically significant difference could exist between the performances of Gibson under the two schemes.</w:t>
      </w:r>
    </w:p>
    <w:p w:rsidR="003F22BD" w:rsidRPr="003F22BD" w:rsidRDefault="003F22BD" w:rsidP="00061DF6">
      <w:pPr>
        <w:autoSpaceDE w:val="0"/>
        <w:autoSpaceDN w:val="0"/>
        <w:adjustRightInd w:val="0"/>
        <w:spacing w:after="0" w:line="320" w:lineRule="atLeast"/>
        <w:ind w:left="60" w:right="60"/>
        <w:rPr>
          <w:rFonts w:asciiTheme="majorBidi" w:hAnsiTheme="majorBidi" w:cstheme="majorBidi"/>
          <w:b/>
          <w:bCs/>
          <w:sz w:val="24"/>
          <w:szCs w:val="24"/>
        </w:rPr>
        <w:sectPr w:rsidR="003F22BD" w:rsidRPr="003F22BD" w:rsidSect="003F22BD">
          <w:type w:val="continuous"/>
          <w:pgSz w:w="12240" w:h="15840" w:code="1"/>
          <w:pgMar w:top="864" w:right="1296" w:bottom="864" w:left="1296" w:header="288" w:footer="288" w:gutter="0"/>
          <w:cols w:num="2" w:space="720"/>
          <w:docGrid w:linePitch="360"/>
        </w:sectPr>
      </w:pPr>
    </w:p>
    <w:tbl>
      <w:tblPr>
        <w:tblW w:w="9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58"/>
        <w:gridCol w:w="4912"/>
        <w:gridCol w:w="1000"/>
        <w:gridCol w:w="1410"/>
        <w:gridCol w:w="1000"/>
      </w:tblGrid>
      <w:tr w:rsidR="003F22BD" w:rsidRPr="003F22BD" w:rsidTr="00061DF6">
        <w:trPr>
          <w:cantSplit/>
        </w:trPr>
        <w:tc>
          <w:tcPr>
            <w:tcW w:w="9080" w:type="dxa"/>
            <w:gridSpan w:val="5"/>
            <w:tcBorders>
              <w:top w:val="nil"/>
              <w:left w:val="nil"/>
              <w:bottom w:val="single" w:sz="4" w:space="0" w:color="auto"/>
              <w:right w:val="nil"/>
            </w:tcBorders>
            <w:shd w:val="clear" w:color="auto" w:fill="FFFFFF"/>
          </w:tcPr>
          <w:p w:rsidR="005539D7" w:rsidRPr="003F22BD" w:rsidRDefault="005539D7" w:rsidP="00061DF6">
            <w:pPr>
              <w:autoSpaceDE w:val="0"/>
              <w:autoSpaceDN w:val="0"/>
              <w:adjustRightInd w:val="0"/>
              <w:spacing w:after="0" w:line="320" w:lineRule="atLeast"/>
              <w:ind w:left="60" w:right="60"/>
              <w:rPr>
                <w:rFonts w:asciiTheme="majorBidi" w:hAnsiTheme="majorBidi" w:cstheme="majorBidi"/>
                <w:sz w:val="24"/>
                <w:szCs w:val="24"/>
              </w:rPr>
            </w:pPr>
            <w:r w:rsidRPr="003F22BD">
              <w:rPr>
                <w:rFonts w:asciiTheme="majorBidi" w:hAnsiTheme="majorBidi" w:cstheme="majorBidi"/>
                <w:b/>
                <w:bCs/>
                <w:sz w:val="24"/>
                <w:szCs w:val="24"/>
              </w:rPr>
              <w:lastRenderedPageBreak/>
              <w:t>TABLE 3: Result of Test of Correlation</w:t>
            </w:r>
          </w:p>
        </w:tc>
      </w:tr>
      <w:tr w:rsidR="003F22BD" w:rsidRPr="003F22BD" w:rsidTr="00061DF6">
        <w:trPr>
          <w:cantSplit/>
        </w:trPr>
        <w:tc>
          <w:tcPr>
            <w:tcW w:w="5670" w:type="dxa"/>
            <w:gridSpan w:val="2"/>
            <w:tcBorders>
              <w:top w:val="single" w:sz="4" w:space="0" w:color="auto"/>
              <w:left w:val="single" w:sz="4" w:space="0" w:color="auto"/>
              <w:bottom w:val="single" w:sz="4" w:space="0" w:color="auto"/>
              <w:right w:val="single" w:sz="4" w:space="0" w:color="auto"/>
            </w:tcBorders>
            <w:shd w:val="clear" w:color="auto" w:fill="FFFFFF"/>
          </w:tcPr>
          <w:p w:rsidR="005539D7" w:rsidRPr="003F22BD" w:rsidRDefault="005539D7" w:rsidP="00061DF6">
            <w:pPr>
              <w:autoSpaceDE w:val="0"/>
              <w:autoSpaceDN w:val="0"/>
              <w:adjustRightInd w:val="0"/>
              <w:spacing w:after="0" w:line="240" w:lineRule="auto"/>
              <w:rPr>
                <w:rFonts w:asciiTheme="majorBidi" w:hAnsiTheme="majorBidi" w:cstheme="majorBidi"/>
                <w:sz w:val="24"/>
                <w:szCs w:val="24"/>
              </w:rPr>
            </w:pPr>
          </w:p>
        </w:tc>
        <w:tc>
          <w:tcPr>
            <w:tcW w:w="1000" w:type="dxa"/>
            <w:tcBorders>
              <w:top w:val="single" w:sz="4" w:space="0" w:color="auto"/>
              <w:left w:val="single" w:sz="4" w:space="0" w:color="auto"/>
              <w:bottom w:val="single" w:sz="4" w:space="0" w:color="auto"/>
              <w:right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center"/>
              <w:rPr>
                <w:rFonts w:asciiTheme="majorBidi" w:hAnsiTheme="majorBidi" w:cstheme="majorBidi"/>
                <w:sz w:val="24"/>
                <w:szCs w:val="24"/>
              </w:rPr>
            </w:pPr>
            <w:r w:rsidRPr="003F22BD">
              <w:rPr>
                <w:rFonts w:asciiTheme="majorBidi" w:hAnsiTheme="majorBidi" w:cstheme="majorBidi"/>
                <w:sz w:val="24"/>
                <w:szCs w:val="24"/>
              </w:rPr>
              <w:t>N</w:t>
            </w:r>
          </w:p>
        </w:tc>
        <w:tc>
          <w:tcPr>
            <w:tcW w:w="1410" w:type="dxa"/>
            <w:tcBorders>
              <w:top w:val="single" w:sz="4" w:space="0" w:color="auto"/>
              <w:left w:val="single" w:sz="4" w:space="0" w:color="auto"/>
              <w:bottom w:val="single" w:sz="4" w:space="0" w:color="auto"/>
              <w:right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center"/>
              <w:rPr>
                <w:rFonts w:asciiTheme="majorBidi" w:hAnsiTheme="majorBidi" w:cstheme="majorBidi"/>
                <w:sz w:val="24"/>
                <w:szCs w:val="24"/>
              </w:rPr>
            </w:pPr>
            <w:r w:rsidRPr="003F22BD">
              <w:rPr>
                <w:rFonts w:asciiTheme="majorBidi" w:hAnsiTheme="majorBidi" w:cstheme="majorBidi"/>
                <w:sz w:val="24"/>
                <w:szCs w:val="24"/>
              </w:rPr>
              <w:t>Correlation</w:t>
            </w:r>
          </w:p>
        </w:tc>
        <w:tc>
          <w:tcPr>
            <w:tcW w:w="1000" w:type="dxa"/>
            <w:tcBorders>
              <w:top w:val="single" w:sz="4" w:space="0" w:color="auto"/>
              <w:left w:val="single" w:sz="4" w:space="0" w:color="auto"/>
              <w:bottom w:val="single" w:sz="4" w:space="0" w:color="auto"/>
              <w:right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center"/>
              <w:rPr>
                <w:rFonts w:asciiTheme="majorBidi" w:hAnsiTheme="majorBidi" w:cstheme="majorBidi"/>
                <w:sz w:val="24"/>
                <w:szCs w:val="24"/>
              </w:rPr>
            </w:pPr>
            <w:r w:rsidRPr="003F22BD">
              <w:rPr>
                <w:rFonts w:asciiTheme="majorBidi" w:hAnsiTheme="majorBidi" w:cstheme="majorBidi"/>
                <w:sz w:val="24"/>
                <w:szCs w:val="24"/>
              </w:rPr>
              <w:t>Sig.</w:t>
            </w:r>
          </w:p>
        </w:tc>
      </w:tr>
      <w:tr w:rsidR="003F22BD" w:rsidRPr="003F22BD" w:rsidTr="00061DF6">
        <w:trPr>
          <w:cantSplit/>
        </w:trPr>
        <w:tc>
          <w:tcPr>
            <w:tcW w:w="758" w:type="dxa"/>
            <w:tcBorders>
              <w:top w:val="single" w:sz="4" w:space="0" w:color="auto"/>
            </w:tcBorders>
            <w:shd w:val="clear" w:color="auto" w:fill="FFFFFF"/>
            <w:vAlign w:val="center"/>
          </w:tcPr>
          <w:p w:rsidR="005539D7" w:rsidRPr="003F22BD" w:rsidRDefault="005539D7" w:rsidP="00061DF6">
            <w:pPr>
              <w:autoSpaceDE w:val="0"/>
              <w:autoSpaceDN w:val="0"/>
              <w:adjustRightInd w:val="0"/>
              <w:spacing w:after="0" w:line="320" w:lineRule="atLeast"/>
              <w:ind w:left="60" w:right="60"/>
              <w:rPr>
                <w:rFonts w:asciiTheme="majorBidi" w:hAnsiTheme="majorBidi" w:cstheme="majorBidi"/>
                <w:sz w:val="24"/>
                <w:szCs w:val="24"/>
              </w:rPr>
            </w:pPr>
            <w:r w:rsidRPr="003F22BD">
              <w:rPr>
                <w:rFonts w:asciiTheme="majorBidi" w:hAnsiTheme="majorBidi" w:cstheme="majorBidi"/>
                <w:sz w:val="24"/>
                <w:szCs w:val="24"/>
              </w:rPr>
              <w:t>Pair 1</w:t>
            </w:r>
          </w:p>
        </w:tc>
        <w:tc>
          <w:tcPr>
            <w:tcW w:w="4912" w:type="dxa"/>
            <w:tcBorders>
              <w:top w:val="single" w:sz="4" w:space="0" w:color="auto"/>
            </w:tcBorders>
            <w:shd w:val="clear" w:color="auto" w:fill="FFFFFF"/>
            <w:vAlign w:val="center"/>
          </w:tcPr>
          <w:p w:rsidR="005539D7" w:rsidRPr="003F22BD" w:rsidRDefault="005539D7" w:rsidP="00061DF6">
            <w:pPr>
              <w:autoSpaceDE w:val="0"/>
              <w:autoSpaceDN w:val="0"/>
              <w:adjustRightInd w:val="0"/>
              <w:spacing w:after="0" w:line="320" w:lineRule="atLeast"/>
              <w:ind w:left="60" w:right="60"/>
              <w:rPr>
                <w:rFonts w:asciiTheme="majorBidi" w:hAnsiTheme="majorBidi" w:cstheme="majorBidi"/>
                <w:sz w:val="24"/>
                <w:szCs w:val="24"/>
              </w:rPr>
            </w:pPr>
            <w:r w:rsidRPr="003F22BD">
              <w:rPr>
                <w:rFonts w:asciiTheme="majorBidi" w:hAnsiTheme="majorBidi" w:cstheme="majorBidi"/>
                <w:sz w:val="24"/>
                <w:szCs w:val="24"/>
              </w:rPr>
              <w:t>SVFRS &amp; SVVRS</w:t>
            </w:r>
          </w:p>
        </w:tc>
        <w:tc>
          <w:tcPr>
            <w:tcW w:w="1000" w:type="dxa"/>
            <w:tcBorders>
              <w:top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52</w:t>
            </w:r>
          </w:p>
        </w:tc>
        <w:tc>
          <w:tcPr>
            <w:tcW w:w="1410" w:type="dxa"/>
            <w:tcBorders>
              <w:top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.567</w:t>
            </w:r>
          </w:p>
        </w:tc>
        <w:tc>
          <w:tcPr>
            <w:tcW w:w="1000" w:type="dxa"/>
            <w:tcBorders>
              <w:top w:val="single" w:sz="4" w:space="0" w:color="auto"/>
            </w:tcBorders>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.000</w:t>
            </w:r>
          </w:p>
        </w:tc>
      </w:tr>
      <w:tr w:rsidR="003F22BD" w:rsidRPr="003F22BD" w:rsidTr="00061DF6">
        <w:trPr>
          <w:cantSplit/>
        </w:trPr>
        <w:tc>
          <w:tcPr>
            <w:tcW w:w="758" w:type="dxa"/>
            <w:shd w:val="clear" w:color="auto" w:fill="FFFFFF"/>
            <w:vAlign w:val="center"/>
          </w:tcPr>
          <w:p w:rsidR="005539D7" w:rsidRPr="003F22BD" w:rsidRDefault="005539D7" w:rsidP="00061DF6">
            <w:pPr>
              <w:autoSpaceDE w:val="0"/>
              <w:autoSpaceDN w:val="0"/>
              <w:adjustRightInd w:val="0"/>
              <w:spacing w:after="0" w:line="320" w:lineRule="atLeast"/>
              <w:ind w:left="60" w:right="60"/>
              <w:rPr>
                <w:rFonts w:asciiTheme="majorBidi" w:hAnsiTheme="majorBidi" w:cstheme="majorBidi"/>
                <w:sz w:val="24"/>
                <w:szCs w:val="24"/>
              </w:rPr>
            </w:pPr>
            <w:r w:rsidRPr="003F22BD">
              <w:rPr>
                <w:rFonts w:asciiTheme="majorBidi" w:hAnsiTheme="majorBidi" w:cstheme="majorBidi"/>
                <w:sz w:val="24"/>
                <w:szCs w:val="24"/>
              </w:rPr>
              <w:t>Pair 2</w:t>
            </w:r>
          </w:p>
        </w:tc>
        <w:tc>
          <w:tcPr>
            <w:tcW w:w="4912" w:type="dxa"/>
            <w:shd w:val="clear" w:color="auto" w:fill="FFFFFF"/>
            <w:vAlign w:val="center"/>
          </w:tcPr>
          <w:p w:rsidR="005539D7" w:rsidRPr="003F22BD" w:rsidRDefault="005539D7" w:rsidP="00061DF6">
            <w:pPr>
              <w:autoSpaceDE w:val="0"/>
              <w:autoSpaceDN w:val="0"/>
              <w:adjustRightInd w:val="0"/>
              <w:spacing w:after="0" w:line="320" w:lineRule="atLeast"/>
              <w:ind w:left="60" w:right="60"/>
              <w:rPr>
                <w:rFonts w:asciiTheme="majorBidi" w:hAnsiTheme="majorBidi" w:cstheme="majorBidi"/>
                <w:sz w:val="24"/>
                <w:szCs w:val="24"/>
              </w:rPr>
            </w:pPr>
            <w:r w:rsidRPr="003F22BD">
              <w:rPr>
                <w:rFonts w:asciiTheme="majorBidi" w:hAnsiTheme="majorBidi" w:cstheme="majorBidi"/>
                <w:sz w:val="24"/>
                <w:szCs w:val="24"/>
              </w:rPr>
              <w:t>RFRS &amp; RVRS</w:t>
            </w:r>
          </w:p>
        </w:tc>
        <w:tc>
          <w:tcPr>
            <w:tcW w:w="1000"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52</w:t>
            </w:r>
          </w:p>
        </w:tc>
        <w:tc>
          <w:tcPr>
            <w:tcW w:w="1410"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.826</w:t>
            </w:r>
          </w:p>
        </w:tc>
        <w:tc>
          <w:tcPr>
            <w:tcW w:w="1000" w:type="dxa"/>
            <w:shd w:val="clear" w:color="auto" w:fill="FFFFFF"/>
          </w:tcPr>
          <w:p w:rsidR="005539D7" w:rsidRPr="003F22BD" w:rsidRDefault="005539D7" w:rsidP="00061DF6">
            <w:pPr>
              <w:autoSpaceDE w:val="0"/>
              <w:autoSpaceDN w:val="0"/>
              <w:adjustRightInd w:val="0"/>
              <w:spacing w:after="0" w:line="320" w:lineRule="atLeast"/>
              <w:ind w:left="60" w:right="60"/>
              <w:jc w:val="right"/>
              <w:rPr>
                <w:rFonts w:asciiTheme="majorBidi" w:hAnsiTheme="majorBidi" w:cstheme="majorBidi"/>
                <w:sz w:val="24"/>
                <w:szCs w:val="24"/>
              </w:rPr>
            </w:pPr>
            <w:r w:rsidRPr="003F22BD">
              <w:rPr>
                <w:rFonts w:asciiTheme="majorBidi" w:hAnsiTheme="majorBidi" w:cstheme="majorBidi"/>
                <w:sz w:val="24"/>
                <w:szCs w:val="24"/>
              </w:rPr>
              <w:t>.000</w:t>
            </w:r>
          </w:p>
        </w:tc>
      </w:tr>
    </w:tbl>
    <w:p w:rsidR="005539D7" w:rsidRPr="003F22BD" w:rsidRDefault="005539D7" w:rsidP="005539D7">
      <w:pPr>
        <w:spacing w:after="0" w:line="480" w:lineRule="auto"/>
        <w:rPr>
          <w:rFonts w:asciiTheme="majorBidi" w:hAnsiTheme="majorBidi" w:cstheme="majorBidi"/>
          <w:sz w:val="24"/>
          <w:szCs w:val="24"/>
        </w:rPr>
      </w:pPr>
      <w:r w:rsidRPr="003F22BD">
        <w:rPr>
          <w:rFonts w:asciiTheme="majorBidi" w:hAnsiTheme="majorBidi" w:cstheme="majorBidi"/>
          <w:b/>
          <w:bCs/>
          <w:sz w:val="24"/>
          <w:szCs w:val="24"/>
        </w:rPr>
        <w:t>Source:</w:t>
      </w:r>
      <w:r w:rsidRPr="003F22BD">
        <w:rPr>
          <w:rFonts w:asciiTheme="majorBidi" w:hAnsiTheme="majorBidi" w:cstheme="majorBidi"/>
          <w:sz w:val="24"/>
          <w:szCs w:val="24"/>
        </w:rPr>
        <w:t xml:space="preserve"> Authors’ Computation, 2014</w:t>
      </w:r>
    </w:p>
    <w:p w:rsidR="003F22BD" w:rsidRPr="003F22BD" w:rsidRDefault="003F22BD" w:rsidP="005539D7">
      <w:pPr>
        <w:spacing w:after="0" w:line="360" w:lineRule="auto"/>
        <w:ind w:firstLine="720"/>
        <w:rPr>
          <w:rFonts w:asciiTheme="majorBidi" w:hAnsiTheme="majorBidi" w:cstheme="majorBidi"/>
          <w:sz w:val="24"/>
          <w:szCs w:val="24"/>
        </w:rPr>
        <w:sectPr w:rsidR="003F22BD" w:rsidRPr="003F22BD" w:rsidSect="003F22BD">
          <w:type w:val="continuous"/>
          <w:pgSz w:w="12240" w:h="15840" w:code="1"/>
          <w:pgMar w:top="864" w:right="1296" w:bottom="864" w:left="1296" w:header="288" w:footer="288" w:gutter="0"/>
          <w:cols w:space="720"/>
          <w:docGrid w:linePitch="360"/>
        </w:sectPr>
      </w:pP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lastRenderedPageBreak/>
        <w:t>Pair 1 in Table 2 presents the result of the paired sample t-test conducted to test for the significance of the difference (if any) between the performances of GIBSON under the two remuneration schemes. The mean performances (see Table 1) under the FRS and the VRS were 914.27</w:t>
      </w:r>
      <w:r w:rsidR="008317D1" w:rsidRPr="003F22BD">
        <w:rPr>
          <w:rFonts w:asciiTheme="majorBidi" w:hAnsiTheme="majorBidi" w:cstheme="majorBidi"/>
          <w:sz w:val="24"/>
          <w:szCs w:val="24"/>
        </w:rPr>
        <w:t xml:space="preserve"> </w:t>
      </w:r>
      <w:r w:rsidRPr="003F22BD">
        <w:rPr>
          <w:rFonts w:asciiTheme="majorBidi" w:hAnsiTheme="majorBidi" w:cstheme="majorBidi"/>
          <w:sz w:val="24"/>
          <w:szCs w:val="24"/>
        </w:rPr>
        <w:t>units and 1,001.46</w:t>
      </w:r>
      <w:r w:rsidR="008317D1" w:rsidRPr="003F22BD">
        <w:rPr>
          <w:rFonts w:asciiTheme="majorBidi" w:hAnsiTheme="majorBidi" w:cstheme="majorBidi"/>
          <w:sz w:val="24"/>
          <w:szCs w:val="24"/>
        </w:rPr>
        <w:t xml:space="preserve"> </w:t>
      </w:r>
      <w:r w:rsidRPr="003F22BD">
        <w:rPr>
          <w:rFonts w:asciiTheme="majorBidi" w:hAnsiTheme="majorBidi" w:cstheme="majorBidi"/>
          <w:sz w:val="24"/>
          <w:szCs w:val="24"/>
        </w:rPr>
        <w:t>units per week respectively. The standard deviations of the weekly sales levels achieved were 319.08</w:t>
      </w:r>
      <w:r w:rsidR="008317D1" w:rsidRPr="003F22BD">
        <w:rPr>
          <w:rFonts w:asciiTheme="majorBidi" w:hAnsiTheme="majorBidi" w:cstheme="majorBidi"/>
          <w:sz w:val="24"/>
          <w:szCs w:val="24"/>
        </w:rPr>
        <w:t xml:space="preserve"> </w:t>
      </w:r>
      <w:r w:rsidRPr="003F22BD">
        <w:rPr>
          <w:rFonts w:asciiTheme="majorBidi" w:hAnsiTheme="majorBidi" w:cstheme="majorBidi"/>
          <w:sz w:val="24"/>
          <w:szCs w:val="24"/>
        </w:rPr>
        <w:t>units and 326.33</w:t>
      </w:r>
      <w:r w:rsidR="008317D1" w:rsidRPr="003F22BD">
        <w:rPr>
          <w:rFonts w:asciiTheme="majorBidi" w:hAnsiTheme="majorBidi" w:cstheme="majorBidi"/>
          <w:sz w:val="24"/>
          <w:szCs w:val="24"/>
        </w:rPr>
        <w:t xml:space="preserve"> </w:t>
      </w:r>
      <w:r w:rsidRPr="003F22BD">
        <w:rPr>
          <w:rFonts w:asciiTheme="majorBidi" w:hAnsiTheme="majorBidi" w:cstheme="majorBidi"/>
          <w:sz w:val="24"/>
          <w:szCs w:val="24"/>
        </w:rPr>
        <w:t>units respectively. At 5% levels of significance (see Table 2), the t-statistic revealed that there was significant difference between the performance (sales volume) of GIBSON under the FRS and the VRS (t=2.094, p&lt;α).</w:t>
      </w:r>
    </w:p>
    <w:p w:rsidR="005539D7" w:rsidRPr="003F22BD" w:rsidRDefault="005539D7" w:rsidP="005539D7">
      <w:pPr>
        <w:spacing w:after="0" w:line="360" w:lineRule="auto"/>
        <w:rPr>
          <w:rFonts w:asciiTheme="majorBidi" w:hAnsiTheme="majorBidi" w:cstheme="majorBidi"/>
          <w:b/>
          <w:bCs/>
          <w:sz w:val="24"/>
          <w:szCs w:val="24"/>
        </w:rPr>
      </w:pPr>
      <w:r w:rsidRPr="003F22BD">
        <w:rPr>
          <w:rFonts w:asciiTheme="majorBidi" w:hAnsiTheme="majorBidi" w:cstheme="majorBidi"/>
          <w:b/>
          <w:bCs/>
          <w:sz w:val="24"/>
          <w:szCs w:val="24"/>
        </w:rPr>
        <w:t>6. Conclusion</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 xml:space="preserve">This study provides evidence that the VRS is capable of producing higher level of performance than the FRS in SMEs. This has implications for the operational performance of the SMEs that use only the FRS for their sales force. The VRS is capable of </w:t>
      </w:r>
      <w:r w:rsidRPr="003F22BD">
        <w:rPr>
          <w:rFonts w:asciiTheme="majorBidi" w:hAnsiTheme="majorBidi" w:cstheme="majorBidi"/>
          <w:sz w:val="24"/>
          <w:szCs w:val="24"/>
        </w:rPr>
        <w:lastRenderedPageBreak/>
        <w:t>influencing the performance of the sales force as they (the sales force) believe that the remuneration they take home at the end of the day is as a result of the direct consequences of their efforts. This is unlike the FRS that can cause the sales force to perform only to the extent that will justify the fixed remuneration that they earn irrespective of the level of their productivity to secure their jobs.</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It is also important to note that the use of the VRS instead of the FRS will cause the total operational fixed cost and the contribution margin of the firms to reduce, care must to be taken to ensure that break-even point under the VRS is lower. This could be achieved by conducting a sort of ‘what-if-analysis’ to ensure that the VRS in the organisation will result in greater levels of profit for the organisation.</w:t>
      </w:r>
    </w:p>
    <w:p w:rsidR="005539D7" w:rsidRPr="003F22BD" w:rsidRDefault="005539D7" w:rsidP="005539D7">
      <w:pPr>
        <w:spacing w:after="0" w:line="360" w:lineRule="auto"/>
        <w:ind w:firstLine="720"/>
        <w:rPr>
          <w:rFonts w:asciiTheme="majorBidi" w:hAnsiTheme="majorBidi" w:cstheme="majorBidi"/>
          <w:sz w:val="24"/>
          <w:szCs w:val="24"/>
        </w:rPr>
      </w:pPr>
      <w:r w:rsidRPr="003F22BD">
        <w:rPr>
          <w:rFonts w:asciiTheme="majorBidi" w:hAnsiTheme="majorBidi" w:cstheme="majorBidi"/>
          <w:sz w:val="24"/>
          <w:szCs w:val="24"/>
        </w:rPr>
        <w:t xml:space="preserve">Subsequent studies should investigate the qualitative factors that can influence the preference of the FRS to the VRS. As </w:t>
      </w:r>
      <w:r w:rsidRPr="003F22BD">
        <w:rPr>
          <w:rFonts w:asciiTheme="majorBidi" w:hAnsiTheme="majorBidi" w:cstheme="majorBidi"/>
          <w:sz w:val="24"/>
          <w:szCs w:val="24"/>
        </w:rPr>
        <w:lastRenderedPageBreak/>
        <w:t>highlighted above, a what-if analysis approach could also be used to simulate the effect of various states of nature (operational conditions) of SMEs on the profitability of the enterprises to provide (substantiate) the existing evidence on the effect of remuneration schemes on the operational performance of SMEs in Nigeria.</w:t>
      </w:r>
    </w:p>
    <w:p w:rsidR="005539D7" w:rsidRPr="003F22BD" w:rsidRDefault="005539D7" w:rsidP="005539D7">
      <w:pPr>
        <w:rPr>
          <w:rFonts w:asciiTheme="majorBidi" w:hAnsiTheme="majorBidi" w:cstheme="majorBidi"/>
          <w:b/>
          <w:sz w:val="24"/>
          <w:szCs w:val="24"/>
        </w:rPr>
      </w:pPr>
      <w:r w:rsidRPr="003F22BD">
        <w:rPr>
          <w:rFonts w:asciiTheme="majorBidi" w:hAnsiTheme="majorBidi" w:cstheme="majorBidi"/>
          <w:b/>
          <w:sz w:val="24"/>
          <w:szCs w:val="24"/>
        </w:rPr>
        <w:t>References</w:t>
      </w:r>
    </w:p>
    <w:p w:rsidR="005539D7" w:rsidRPr="003F22BD" w:rsidRDefault="005539D7" w:rsidP="005539D7">
      <w:pPr>
        <w:spacing w:after="0" w:line="360" w:lineRule="auto"/>
        <w:ind w:left="706" w:hanging="706"/>
        <w:rPr>
          <w:rFonts w:asciiTheme="majorBidi" w:hAnsiTheme="majorBidi" w:cstheme="majorBidi"/>
          <w:sz w:val="24"/>
          <w:szCs w:val="24"/>
        </w:rPr>
      </w:pPr>
      <w:r w:rsidRPr="003F22BD">
        <w:rPr>
          <w:rFonts w:asciiTheme="majorBidi" w:hAnsiTheme="majorBidi" w:cstheme="majorBidi"/>
          <w:sz w:val="24"/>
          <w:szCs w:val="24"/>
        </w:rPr>
        <w:t xml:space="preserve">Basic Conditions of Employment Act 2002. (c.11). South African: Department of Labour. Retrieved September 11, 2014, from </w:t>
      </w:r>
      <w:hyperlink r:id="rId10" w:history="1">
        <w:r w:rsidRPr="003F22BD">
          <w:rPr>
            <w:rStyle w:val="Hyperlink"/>
            <w:rFonts w:asciiTheme="majorBidi" w:hAnsiTheme="majorBidi" w:cstheme="majorBidi"/>
            <w:color w:val="auto"/>
            <w:sz w:val="24"/>
            <w:szCs w:val="24"/>
          </w:rPr>
          <w:t>http://www.labour.gov.za</w:t>
        </w:r>
      </w:hyperlink>
    </w:p>
    <w:p w:rsidR="005539D7" w:rsidRPr="003F22BD" w:rsidRDefault="005539D7" w:rsidP="005539D7">
      <w:pPr>
        <w:spacing w:after="0" w:line="360" w:lineRule="auto"/>
        <w:ind w:left="706" w:hanging="706"/>
        <w:rPr>
          <w:rFonts w:asciiTheme="majorBidi" w:hAnsiTheme="majorBidi" w:cstheme="majorBidi"/>
          <w:sz w:val="24"/>
          <w:szCs w:val="24"/>
        </w:rPr>
      </w:pPr>
      <w:r w:rsidRPr="003F22BD">
        <w:rPr>
          <w:rFonts w:asciiTheme="majorBidi" w:hAnsiTheme="majorBidi" w:cstheme="majorBidi"/>
          <w:sz w:val="24"/>
          <w:szCs w:val="24"/>
        </w:rPr>
        <w:t xml:space="preserve">Bellavary, J. R., &amp; Allen, R.W. (1995). Rewarding performance: </w:t>
      </w:r>
      <w:r w:rsidR="008317D1" w:rsidRPr="003F22BD">
        <w:rPr>
          <w:rFonts w:asciiTheme="majorBidi" w:hAnsiTheme="majorBidi" w:cstheme="majorBidi"/>
          <w:sz w:val="24"/>
          <w:szCs w:val="24"/>
        </w:rPr>
        <w:t xml:space="preserve">The </w:t>
      </w:r>
      <w:r w:rsidRPr="003F22BD">
        <w:rPr>
          <w:rFonts w:asciiTheme="majorBidi" w:hAnsiTheme="majorBidi" w:cstheme="majorBidi"/>
          <w:sz w:val="24"/>
          <w:szCs w:val="24"/>
        </w:rPr>
        <w:t>role of variable pay. Retrieved August 21, 2014, from www.csupomona.edu</w:t>
      </w:r>
    </w:p>
    <w:p w:rsidR="005539D7" w:rsidRPr="003F22BD" w:rsidRDefault="005539D7" w:rsidP="005539D7">
      <w:pPr>
        <w:spacing w:after="0" w:line="360" w:lineRule="auto"/>
        <w:ind w:left="706" w:hanging="706"/>
        <w:rPr>
          <w:rFonts w:asciiTheme="majorBidi" w:hAnsiTheme="majorBidi" w:cstheme="majorBidi"/>
          <w:sz w:val="24"/>
          <w:szCs w:val="24"/>
        </w:rPr>
      </w:pPr>
      <w:r w:rsidRPr="003F22BD">
        <w:rPr>
          <w:rFonts w:asciiTheme="majorBidi" w:hAnsiTheme="majorBidi" w:cstheme="majorBidi"/>
          <w:sz w:val="24"/>
          <w:szCs w:val="24"/>
        </w:rPr>
        <w:t xml:space="preserve">Coughlan, A.T., &amp; Joseph, K. (2011). </w:t>
      </w:r>
      <w:r w:rsidRPr="003F22BD">
        <w:rPr>
          <w:rFonts w:asciiTheme="majorBidi" w:hAnsiTheme="majorBidi" w:cstheme="majorBidi"/>
          <w:i/>
          <w:sz w:val="24"/>
          <w:szCs w:val="24"/>
        </w:rPr>
        <w:t>Handbook of Business-to-Business Marketing</w:t>
      </w:r>
      <w:r w:rsidRPr="003F22BD">
        <w:rPr>
          <w:rFonts w:asciiTheme="majorBidi" w:hAnsiTheme="majorBidi" w:cstheme="majorBidi"/>
          <w:sz w:val="24"/>
          <w:szCs w:val="24"/>
        </w:rPr>
        <w:t xml:space="preserve">. Retrieved August 23, 2014, from </w:t>
      </w:r>
      <w:hyperlink r:id="rId11" w:history="1">
        <w:r w:rsidRPr="003F22BD">
          <w:rPr>
            <w:rStyle w:val="Hyperlink"/>
            <w:rFonts w:asciiTheme="majorBidi" w:hAnsiTheme="majorBidi" w:cstheme="majorBidi"/>
            <w:color w:val="auto"/>
            <w:sz w:val="24"/>
            <w:szCs w:val="24"/>
          </w:rPr>
          <w:t>www.kellg.northewstern.edu/faculty/coughlan/htm/personalpage_files/Papers/LILIEN 26AnneT.CoughlanandKissanJoseph.pdf</w:t>
        </w:r>
      </w:hyperlink>
    </w:p>
    <w:p w:rsidR="005539D7" w:rsidRPr="003F22BD" w:rsidRDefault="005539D7" w:rsidP="005539D7">
      <w:pPr>
        <w:spacing w:after="0" w:line="360" w:lineRule="auto"/>
        <w:ind w:left="706" w:hanging="706"/>
        <w:rPr>
          <w:rFonts w:asciiTheme="majorBidi" w:hAnsiTheme="majorBidi" w:cstheme="majorBidi"/>
          <w:sz w:val="24"/>
          <w:szCs w:val="24"/>
        </w:rPr>
      </w:pPr>
      <w:r w:rsidRPr="003F22BD">
        <w:rPr>
          <w:rFonts w:asciiTheme="majorBidi" w:hAnsiTheme="majorBidi" w:cstheme="majorBidi"/>
          <w:sz w:val="24"/>
          <w:szCs w:val="24"/>
        </w:rPr>
        <w:t xml:space="preserve">George, E.O., &amp; Oseni, J.E. (2012). The relationship between electricity power and unemployment rates in Nigeria. </w:t>
      </w:r>
      <w:r w:rsidRPr="003F22BD">
        <w:rPr>
          <w:rFonts w:asciiTheme="majorBidi" w:hAnsiTheme="majorBidi" w:cstheme="majorBidi"/>
          <w:i/>
          <w:sz w:val="24"/>
          <w:szCs w:val="24"/>
        </w:rPr>
        <w:t>Australian Journal of Business and Management Research</w:t>
      </w:r>
      <w:r w:rsidRPr="003F22BD">
        <w:rPr>
          <w:rFonts w:asciiTheme="majorBidi" w:hAnsiTheme="majorBidi" w:cstheme="majorBidi"/>
          <w:sz w:val="24"/>
          <w:szCs w:val="24"/>
        </w:rPr>
        <w:t>, 2(2), 10-19.</w:t>
      </w:r>
    </w:p>
    <w:p w:rsidR="005539D7" w:rsidRPr="003F22BD" w:rsidRDefault="005539D7" w:rsidP="005539D7">
      <w:pPr>
        <w:spacing w:after="0" w:line="360" w:lineRule="auto"/>
        <w:ind w:left="706" w:hanging="706"/>
        <w:rPr>
          <w:rFonts w:asciiTheme="majorBidi" w:hAnsiTheme="majorBidi" w:cstheme="majorBidi"/>
          <w:sz w:val="24"/>
          <w:szCs w:val="24"/>
        </w:rPr>
      </w:pPr>
      <w:r w:rsidRPr="003F22BD">
        <w:rPr>
          <w:rFonts w:asciiTheme="majorBidi" w:hAnsiTheme="majorBidi" w:cstheme="majorBidi"/>
          <w:sz w:val="24"/>
          <w:szCs w:val="24"/>
        </w:rPr>
        <w:t>Hay Group (2010).</w:t>
      </w:r>
      <w:r w:rsidR="008317D1" w:rsidRPr="003F22BD">
        <w:rPr>
          <w:rFonts w:asciiTheme="majorBidi" w:hAnsiTheme="majorBidi" w:cstheme="majorBidi"/>
          <w:sz w:val="24"/>
          <w:szCs w:val="24"/>
        </w:rPr>
        <w:t xml:space="preserve"> The changing face of r</w:t>
      </w:r>
      <w:r w:rsidRPr="003F22BD">
        <w:rPr>
          <w:rFonts w:asciiTheme="majorBidi" w:hAnsiTheme="majorBidi" w:cstheme="majorBidi"/>
          <w:sz w:val="24"/>
          <w:szCs w:val="24"/>
        </w:rPr>
        <w:t xml:space="preserve">eward. Retrieved August 21, 2014, from </w:t>
      </w:r>
      <w:hyperlink r:id="rId12" w:history="1">
        <w:r w:rsidRPr="003F22BD">
          <w:rPr>
            <w:rStyle w:val="Hyperlink"/>
            <w:rFonts w:asciiTheme="majorBidi" w:hAnsiTheme="majorBidi" w:cstheme="majorBidi"/>
            <w:color w:val="auto"/>
            <w:sz w:val="24"/>
            <w:szCs w:val="24"/>
          </w:rPr>
          <w:t>http://www.haygroup.com/downloads/ca/misc/globalreportchangingfaceof reward.pdf</w:t>
        </w:r>
      </w:hyperlink>
    </w:p>
    <w:p w:rsidR="005539D7" w:rsidRPr="003F22BD" w:rsidRDefault="005539D7" w:rsidP="005539D7">
      <w:pPr>
        <w:spacing w:after="0" w:line="360" w:lineRule="auto"/>
        <w:ind w:left="706" w:hanging="706"/>
        <w:rPr>
          <w:rFonts w:asciiTheme="majorBidi" w:hAnsiTheme="majorBidi" w:cstheme="majorBidi"/>
          <w:sz w:val="24"/>
          <w:szCs w:val="24"/>
        </w:rPr>
      </w:pPr>
      <w:r w:rsidRPr="003F22BD">
        <w:rPr>
          <w:rFonts w:asciiTheme="majorBidi" w:hAnsiTheme="majorBidi" w:cstheme="majorBidi"/>
          <w:sz w:val="24"/>
          <w:szCs w:val="24"/>
        </w:rPr>
        <w:t>Herman, A.M. &amp; Abraham, K.G.</w:t>
      </w:r>
      <w:r w:rsidR="00843570" w:rsidRPr="003F22BD">
        <w:rPr>
          <w:rFonts w:asciiTheme="majorBidi" w:hAnsiTheme="majorBidi" w:cstheme="majorBidi"/>
          <w:sz w:val="24"/>
          <w:szCs w:val="24"/>
        </w:rPr>
        <w:t xml:space="preserve"> (1998). </w:t>
      </w:r>
      <w:r w:rsidR="00843570" w:rsidRPr="003F22BD">
        <w:rPr>
          <w:rFonts w:asciiTheme="majorBidi" w:hAnsiTheme="majorBidi" w:cstheme="majorBidi"/>
          <w:i/>
          <w:sz w:val="24"/>
          <w:szCs w:val="24"/>
        </w:rPr>
        <w:t>Glossary of compensation t</w:t>
      </w:r>
      <w:r w:rsidRPr="003F22BD">
        <w:rPr>
          <w:rFonts w:asciiTheme="majorBidi" w:hAnsiTheme="majorBidi" w:cstheme="majorBidi"/>
          <w:i/>
          <w:sz w:val="24"/>
          <w:szCs w:val="24"/>
        </w:rPr>
        <w:t>erms</w:t>
      </w:r>
      <w:r w:rsidRPr="003F22BD">
        <w:rPr>
          <w:rFonts w:asciiTheme="majorBidi" w:hAnsiTheme="majorBidi" w:cstheme="majorBidi"/>
          <w:sz w:val="24"/>
          <w:szCs w:val="24"/>
        </w:rPr>
        <w:t xml:space="preserve">. United States of America: Department of Labour. Retrieved September 11, 2014, from </w:t>
      </w:r>
      <w:hyperlink r:id="rId13" w:history="1">
        <w:r w:rsidRPr="003F22BD">
          <w:rPr>
            <w:rStyle w:val="Hyperlink"/>
            <w:rFonts w:asciiTheme="majorBidi" w:hAnsiTheme="majorBidi" w:cstheme="majorBidi"/>
            <w:color w:val="auto"/>
            <w:sz w:val="24"/>
            <w:szCs w:val="24"/>
          </w:rPr>
          <w:t>http://www.bls.gov/ncs/ocs/sp/ncbl0062.pdf</w:t>
        </w:r>
      </w:hyperlink>
    </w:p>
    <w:p w:rsidR="005539D7" w:rsidRPr="003F22BD" w:rsidRDefault="005539D7" w:rsidP="005539D7">
      <w:pPr>
        <w:spacing w:after="0" w:line="360" w:lineRule="auto"/>
        <w:ind w:left="706" w:hanging="706"/>
        <w:rPr>
          <w:rFonts w:asciiTheme="majorBidi" w:hAnsiTheme="majorBidi" w:cstheme="majorBidi"/>
          <w:sz w:val="24"/>
          <w:szCs w:val="24"/>
        </w:rPr>
      </w:pPr>
      <w:r w:rsidRPr="003F22BD">
        <w:rPr>
          <w:rFonts w:asciiTheme="majorBidi" w:hAnsiTheme="majorBidi" w:cstheme="majorBidi"/>
          <w:sz w:val="24"/>
          <w:szCs w:val="24"/>
        </w:rPr>
        <w:t>Ihua, U.B. (20</w:t>
      </w:r>
      <w:r w:rsidR="00843570" w:rsidRPr="003F22BD">
        <w:rPr>
          <w:rFonts w:asciiTheme="majorBidi" w:hAnsiTheme="majorBidi" w:cstheme="majorBidi"/>
          <w:sz w:val="24"/>
          <w:szCs w:val="24"/>
        </w:rPr>
        <w:t>09). SMEs key failure-factors: A</w:t>
      </w:r>
      <w:r w:rsidRPr="003F22BD">
        <w:rPr>
          <w:rFonts w:asciiTheme="majorBidi" w:hAnsiTheme="majorBidi" w:cstheme="majorBidi"/>
          <w:sz w:val="24"/>
          <w:szCs w:val="24"/>
        </w:rPr>
        <w:t xml:space="preserve"> comparison between the United Kingdom and Nigeria. </w:t>
      </w:r>
      <w:r w:rsidRPr="003F22BD">
        <w:rPr>
          <w:rFonts w:asciiTheme="majorBidi" w:hAnsiTheme="majorBidi" w:cstheme="majorBidi"/>
          <w:i/>
          <w:iCs/>
          <w:sz w:val="24"/>
          <w:szCs w:val="24"/>
        </w:rPr>
        <w:t>Journal of Social Science</w:t>
      </w:r>
      <w:r w:rsidRPr="003F22BD">
        <w:rPr>
          <w:rFonts w:asciiTheme="majorBidi" w:hAnsiTheme="majorBidi" w:cstheme="majorBidi"/>
          <w:sz w:val="24"/>
          <w:szCs w:val="24"/>
        </w:rPr>
        <w:t>, 18(3): 199-207.</w:t>
      </w:r>
    </w:p>
    <w:p w:rsidR="005539D7" w:rsidRPr="003F22BD" w:rsidRDefault="005539D7" w:rsidP="005539D7">
      <w:pPr>
        <w:spacing w:after="0" w:line="360" w:lineRule="auto"/>
        <w:ind w:left="706" w:hanging="706"/>
        <w:rPr>
          <w:rFonts w:asciiTheme="majorBidi" w:hAnsiTheme="majorBidi" w:cstheme="majorBidi"/>
          <w:sz w:val="24"/>
          <w:szCs w:val="24"/>
        </w:rPr>
      </w:pPr>
      <w:r w:rsidRPr="003F22BD">
        <w:rPr>
          <w:rFonts w:asciiTheme="majorBidi" w:hAnsiTheme="majorBidi" w:cstheme="majorBidi"/>
          <w:sz w:val="24"/>
          <w:szCs w:val="24"/>
        </w:rPr>
        <w:t xml:space="preserve">International Labour Organization (n.d.). Wage rates and earnings. Retrieved September 11, 2014 from </w:t>
      </w:r>
      <w:hyperlink r:id="rId14" w:history="1">
        <w:r w:rsidRPr="003F22BD">
          <w:rPr>
            <w:rStyle w:val="Hyperlink"/>
            <w:rFonts w:asciiTheme="majorBidi" w:hAnsiTheme="majorBidi" w:cstheme="majorBidi"/>
            <w:color w:val="auto"/>
            <w:sz w:val="24"/>
            <w:szCs w:val="24"/>
          </w:rPr>
          <w:t>http://www.ilo.org/global/statistics-and-databases/statistics-overview-and-topics/income/current-guidelines/lang--en/index.htm</w:t>
        </w:r>
      </w:hyperlink>
    </w:p>
    <w:p w:rsidR="005539D7" w:rsidRPr="003F22BD" w:rsidRDefault="005539D7" w:rsidP="005539D7">
      <w:pPr>
        <w:spacing w:after="0" w:line="360" w:lineRule="auto"/>
        <w:ind w:left="706" w:hanging="706"/>
        <w:rPr>
          <w:rFonts w:asciiTheme="majorBidi" w:hAnsiTheme="majorBidi" w:cstheme="majorBidi"/>
          <w:sz w:val="24"/>
          <w:szCs w:val="24"/>
        </w:rPr>
      </w:pPr>
      <w:r w:rsidRPr="003F22BD">
        <w:rPr>
          <w:rFonts w:asciiTheme="majorBidi" w:hAnsiTheme="majorBidi" w:cstheme="majorBidi"/>
          <w:sz w:val="24"/>
          <w:szCs w:val="24"/>
        </w:rPr>
        <w:t>Kadiri, I.B. (2012). Small and medium scale enterprises and employment generation in</w:t>
      </w:r>
      <w:r w:rsidR="00843570" w:rsidRPr="003F22BD">
        <w:rPr>
          <w:rFonts w:asciiTheme="majorBidi" w:hAnsiTheme="majorBidi" w:cstheme="majorBidi"/>
          <w:sz w:val="24"/>
          <w:szCs w:val="24"/>
        </w:rPr>
        <w:t xml:space="preserve"> Nigeria: T</w:t>
      </w:r>
      <w:r w:rsidRPr="003F22BD">
        <w:rPr>
          <w:rFonts w:asciiTheme="majorBidi" w:hAnsiTheme="majorBidi" w:cstheme="majorBidi"/>
          <w:sz w:val="24"/>
          <w:szCs w:val="24"/>
        </w:rPr>
        <w:t xml:space="preserve">he role of finance. </w:t>
      </w:r>
      <w:r w:rsidRPr="003F22BD">
        <w:rPr>
          <w:rFonts w:asciiTheme="majorBidi" w:hAnsiTheme="majorBidi" w:cstheme="majorBidi"/>
          <w:i/>
          <w:iCs/>
          <w:sz w:val="24"/>
          <w:szCs w:val="24"/>
        </w:rPr>
        <w:t>Kuwait Chapter of Arabian Journal of Business and Management Review</w:t>
      </w:r>
      <w:r w:rsidRPr="003F22BD">
        <w:rPr>
          <w:rFonts w:asciiTheme="majorBidi" w:hAnsiTheme="majorBidi" w:cstheme="majorBidi"/>
          <w:sz w:val="24"/>
          <w:szCs w:val="24"/>
        </w:rPr>
        <w:t>. 1(9), 79-93.</w:t>
      </w:r>
    </w:p>
    <w:p w:rsidR="005539D7" w:rsidRPr="003F22BD" w:rsidRDefault="005539D7" w:rsidP="005539D7">
      <w:pPr>
        <w:spacing w:after="0" w:line="360" w:lineRule="auto"/>
        <w:ind w:left="706" w:hanging="706"/>
        <w:rPr>
          <w:rFonts w:asciiTheme="majorBidi" w:hAnsiTheme="majorBidi" w:cstheme="majorBidi"/>
          <w:sz w:val="24"/>
          <w:szCs w:val="24"/>
        </w:rPr>
      </w:pPr>
      <w:r w:rsidRPr="003F22BD">
        <w:rPr>
          <w:rFonts w:asciiTheme="majorBidi" w:hAnsiTheme="majorBidi" w:cstheme="majorBidi"/>
          <w:sz w:val="24"/>
          <w:szCs w:val="24"/>
        </w:rPr>
        <w:t xml:space="preserve">Lee, J., &amp; Miller, D. (1999). People matter: commitment to employees, strategy and performance in Korean firms. </w:t>
      </w:r>
      <w:r w:rsidRPr="003F22BD">
        <w:rPr>
          <w:rFonts w:asciiTheme="majorBidi" w:hAnsiTheme="majorBidi" w:cstheme="majorBidi"/>
          <w:i/>
          <w:sz w:val="24"/>
          <w:szCs w:val="24"/>
        </w:rPr>
        <w:t>Strategic Management Journal</w:t>
      </w:r>
      <w:r w:rsidRPr="003F22BD">
        <w:rPr>
          <w:rFonts w:asciiTheme="majorBidi" w:hAnsiTheme="majorBidi" w:cstheme="majorBidi"/>
          <w:sz w:val="24"/>
          <w:szCs w:val="24"/>
        </w:rPr>
        <w:t>, 20(6), 579-593.</w:t>
      </w:r>
    </w:p>
    <w:p w:rsidR="005539D7" w:rsidRPr="003F22BD" w:rsidRDefault="005539D7" w:rsidP="005539D7">
      <w:pPr>
        <w:spacing w:after="0" w:line="360" w:lineRule="auto"/>
        <w:ind w:left="706" w:hanging="706"/>
        <w:rPr>
          <w:rFonts w:asciiTheme="majorBidi" w:hAnsiTheme="majorBidi" w:cstheme="majorBidi"/>
          <w:sz w:val="24"/>
          <w:szCs w:val="24"/>
        </w:rPr>
      </w:pPr>
      <w:r w:rsidRPr="003F22BD">
        <w:rPr>
          <w:rFonts w:asciiTheme="majorBidi" w:hAnsiTheme="majorBidi" w:cstheme="majorBidi"/>
          <w:sz w:val="24"/>
          <w:szCs w:val="24"/>
        </w:rPr>
        <w:t xml:space="preserve">Ogbadu, E.E. (2012). Appraisal of the practical application of marketing </w:t>
      </w:r>
      <w:r w:rsidRPr="003F22BD">
        <w:rPr>
          <w:rFonts w:asciiTheme="majorBidi" w:hAnsiTheme="majorBidi" w:cstheme="majorBidi"/>
          <w:sz w:val="24"/>
          <w:szCs w:val="24"/>
        </w:rPr>
        <w:lastRenderedPageBreak/>
        <w:t xml:space="preserve">research my SMEs in Nigeria. </w:t>
      </w:r>
      <w:r w:rsidRPr="003F22BD">
        <w:rPr>
          <w:rFonts w:asciiTheme="majorBidi" w:hAnsiTheme="majorBidi" w:cstheme="majorBidi"/>
          <w:i/>
          <w:iCs/>
          <w:sz w:val="24"/>
          <w:szCs w:val="24"/>
        </w:rPr>
        <w:t>Kuwait Chapter of Arabian Journal of Business and Management Review</w:t>
      </w:r>
      <w:r w:rsidRPr="003F22BD">
        <w:rPr>
          <w:rFonts w:asciiTheme="majorBidi" w:hAnsiTheme="majorBidi" w:cstheme="majorBidi"/>
          <w:sz w:val="24"/>
          <w:szCs w:val="24"/>
        </w:rPr>
        <w:t>, 2(2): 27-41.</w:t>
      </w:r>
    </w:p>
    <w:p w:rsidR="005539D7" w:rsidRPr="003F22BD" w:rsidRDefault="005539D7" w:rsidP="005539D7">
      <w:pPr>
        <w:spacing w:after="0" w:line="360" w:lineRule="auto"/>
        <w:ind w:left="706" w:hanging="706"/>
        <w:rPr>
          <w:rFonts w:asciiTheme="majorBidi" w:hAnsiTheme="majorBidi" w:cstheme="majorBidi"/>
          <w:sz w:val="24"/>
          <w:szCs w:val="24"/>
        </w:rPr>
      </w:pPr>
      <w:r w:rsidRPr="003F22BD">
        <w:rPr>
          <w:rFonts w:asciiTheme="majorBidi" w:hAnsiTheme="majorBidi" w:cstheme="majorBidi"/>
          <w:sz w:val="24"/>
          <w:szCs w:val="24"/>
        </w:rPr>
        <w:t xml:space="preserve">Olutokun, A.G., James, S.O., &amp; Olore, I. (2012). The roles of record keeping in the survival and growth of small scale enterprises in Ijumu local government area of Kogi state. </w:t>
      </w:r>
      <w:r w:rsidRPr="003F22BD">
        <w:rPr>
          <w:rFonts w:asciiTheme="majorBidi" w:hAnsiTheme="majorBidi" w:cstheme="majorBidi"/>
          <w:i/>
          <w:iCs/>
          <w:sz w:val="24"/>
          <w:szCs w:val="24"/>
        </w:rPr>
        <w:t>Global Journal of Management and Business Research</w:t>
      </w:r>
      <w:r w:rsidRPr="003F22BD">
        <w:rPr>
          <w:rFonts w:asciiTheme="majorBidi" w:hAnsiTheme="majorBidi" w:cstheme="majorBidi"/>
          <w:sz w:val="24"/>
          <w:szCs w:val="24"/>
        </w:rPr>
        <w:t>, 12(13): 54-66.</w:t>
      </w:r>
    </w:p>
    <w:p w:rsidR="005539D7" w:rsidRPr="003F22BD" w:rsidRDefault="005539D7" w:rsidP="005539D7">
      <w:pPr>
        <w:spacing w:after="0" w:line="360" w:lineRule="auto"/>
        <w:ind w:left="706" w:hanging="706"/>
        <w:rPr>
          <w:rFonts w:asciiTheme="majorBidi" w:hAnsiTheme="majorBidi" w:cstheme="majorBidi"/>
          <w:sz w:val="24"/>
          <w:szCs w:val="24"/>
        </w:rPr>
      </w:pPr>
      <w:r w:rsidRPr="003F22BD">
        <w:rPr>
          <w:rFonts w:asciiTheme="majorBidi" w:hAnsiTheme="majorBidi" w:cstheme="majorBidi"/>
          <w:sz w:val="24"/>
          <w:szCs w:val="24"/>
        </w:rPr>
        <w:t xml:space="preserve">Onivosa, S. O. (2013). Strategic effects of sources of fund on the performance analysis of small and medium enterprises in Delta state. </w:t>
      </w:r>
      <w:r w:rsidRPr="003F22BD">
        <w:rPr>
          <w:rFonts w:asciiTheme="majorBidi" w:hAnsiTheme="majorBidi" w:cstheme="majorBidi"/>
          <w:i/>
          <w:sz w:val="24"/>
          <w:szCs w:val="24"/>
        </w:rPr>
        <w:t xml:space="preserve">Standard </w:t>
      </w:r>
      <w:r w:rsidRPr="003F22BD">
        <w:rPr>
          <w:rFonts w:asciiTheme="majorBidi" w:hAnsiTheme="majorBidi" w:cstheme="majorBidi"/>
          <w:i/>
          <w:sz w:val="24"/>
          <w:szCs w:val="24"/>
        </w:rPr>
        <w:lastRenderedPageBreak/>
        <w:t>Research Journal of Business Management</w:t>
      </w:r>
      <w:r w:rsidRPr="003F22BD">
        <w:rPr>
          <w:rFonts w:asciiTheme="majorBidi" w:hAnsiTheme="majorBidi" w:cstheme="majorBidi"/>
          <w:sz w:val="24"/>
          <w:szCs w:val="24"/>
        </w:rPr>
        <w:t>, 1(4), 110-119.</w:t>
      </w:r>
    </w:p>
    <w:p w:rsidR="005539D7" w:rsidRPr="003F22BD" w:rsidRDefault="005539D7" w:rsidP="005539D7">
      <w:pPr>
        <w:spacing w:after="0" w:line="360" w:lineRule="auto"/>
        <w:ind w:left="706" w:hanging="706"/>
        <w:rPr>
          <w:rFonts w:asciiTheme="majorBidi" w:hAnsiTheme="majorBidi" w:cstheme="majorBidi"/>
          <w:sz w:val="24"/>
          <w:szCs w:val="24"/>
        </w:rPr>
      </w:pPr>
      <w:r w:rsidRPr="003F22BD">
        <w:rPr>
          <w:rFonts w:asciiTheme="majorBidi" w:hAnsiTheme="majorBidi" w:cstheme="majorBidi"/>
          <w:sz w:val="24"/>
          <w:szCs w:val="24"/>
        </w:rPr>
        <w:t xml:space="preserve">Osotimehin, K.O., Jegede, C.A., Akinlabi, B.H., &amp; Olajide, O.T. (2012). An evaluation of the challenges and prospects of micro and small scale enterprises development in Nigeria. </w:t>
      </w:r>
      <w:r w:rsidRPr="003F22BD">
        <w:rPr>
          <w:rFonts w:asciiTheme="majorBidi" w:hAnsiTheme="majorBidi" w:cstheme="majorBidi"/>
          <w:i/>
          <w:iCs/>
          <w:sz w:val="24"/>
          <w:szCs w:val="24"/>
        </w:rPr>
        <w:t>American International Journal of Contemporary Research</w:t>
      </w:r>
      <w:r w:rsidRPr="003F22BD">
        <w:rPr>
          <w:rFonts w:asciiTheme="majorBidi" w:hAnsiTheme="majorBidi" w:cstheme="majorBidi"/>
          <w:sz w:val="24"/>
          <w:szCs w:val="24"/>
        </w:rPr>
        <w:t>, 2(4): 174-185.</w:t>
      </w:r>
    </w:p>
    <w:p w:rsidR="003F22BD" w:rsidRPr="003F22BD" w:rsidRDefault="005539D7" w:rsidP="00843570">
      <w:pPr>
        <w:spacing w:after="0" w:line="360" w:lineRule="auto"/>
        <w:ind w:left="706" w:hanging="706"/>
        <w:rPr>
          <w:rFonts w:asciiTheme="majorBidi" w:hAnsiTheme="majorBidi" w:cstheme="majorBidi"/>
          <w:sz w:val="24"/>
          <w:szCs w:val="24"/>
        </w:rPr>
        <w:sectPr w:rsidR="003F22BD" w:rsidRPr="003F22BD" w:rsidSect="003F22BD">
          <w:type w:val="continuous"/>
          <w:pgSz w:w="12240" w:h="15840" w:code="1"/>
          <w:pgMar w:top="864" w:right="1296" w:bottom="864" w:left="1296" w:header="288" w:footer="288" w:gutter="0"/>
          <w:cols w:num="2" w:space="720"/>
          <w:docGrid w:linePitch="360"/>
        </w:sectPr>
      </w:pPr>
      <w:r w:rsidRPr="003F22BD">
        <w:rPr>
          <w:rFonts w:asciiTheme="majorBidi" w:hAnsiTheme="majorBidi" w:cstheme="majorBidi"/>
          <w:sz w:val="24"/>
          <w:szCs w:val="24"/>
        </w:rPr>
        <w:t>Pouliakas, K. &amp; Theodoropoulos, N. (2011). The effect of variable pay schemes on workplace absenteeism. IZA Discussion Paper. Institute for the Study of Labour.</w:t>
      </w:r>
    </w:p>
    <w:p w:rsidR="005539D7" w:rsidRPr="003F22BD" w:rsidRDefault="005539D7" w:rsidP="00843570">
      <w:pPr>
        <w:spacing w:after="0" w:line="360" w:lineRule="auto"/>
        <w:ind w:left="706" w:hanging="706"/>
        <w:rPr>
          <w:rFonts w:asciiTheme="majorBidi" w:hAnsiTheme="majorBidi" w:cstheme="majorBidi"/>
          <w:b/>
          <w:bCs/>
          <w:sz w:val="24"/>
          <w:szCs w:val="24"/>
        </w:rPr>
      </w:pPr>
    </w:p>
    <w:p w:rsidR="00843570" w:rsidRPr="003F22BD" w:rsidRDefault="00843570">
      <w:pPr>
        <w:jc w:val="left"/>
        <w:rPr>
          <w:rFonts w:asciiTheme="majorBidi" w:hAnsiTheme="majorBidi" w:cstheme="majorBidi"/>
          <w:b/>
          <w:bCs/>
          <w:sz w:val="24"/>
          <w:szCs w:val="24"/>
        </w:rPr>
      </w:pPr>
      <w:r w:rsidRPr="003F22BD">
        <w:rPr>
          <w:rFonts w:asciiTheme="majorBidi" w:hAnsiTheme="majorBidi" w:cstheme="majorBidi"/>
          <w:b/>
          <w:bCs/>
          <w:sz w:val="24"/>
          <w:szCs w:val="24"/>
        </w:rPr>
        <w:br w:type="page"/>
      </w:r>
    </w:p>
    <w:p w:rsidR="005539D7" w:rsidRPr="003F22BD" w:rsidRDefault="005539D7" w:rsidP="005539D7">
      <w:pPr>
        <w:jc w:val="center"/>
        <w:rPr>
          <w:rFonts w:asciiTheme="majorBidi" w:hAnsiTheme="majorBidi" w:cstheme="majorBidi"/>
          <w:b/>
          <w:bCs/>
          <w:sz w:val="24"/>
          <w:szCs w:val="24"/>
        </w:rPr>
      </w:pPr>
      <w:r w:rsidRPr="003F22BD">
        <w:rPr>
          <w:rFonts w:asciiTheme="majorBidi" w:hAnsiTheme="majorBidi" w:cstheme="majorBidi"/>
          <w:b/>
          <w:bCs/>
          <w:sz w:val="24"/>
          <w:szCs w:val="24"/>
        </w:rPr>
        <w:lastRenderedPageBreak/>
        <w:t>APPENDIX I</w:t>
      </w:r>
    </w:p>
    <w:p w:rsidR="005539D7" w:rsidRPr="003F22BD" w:rsidRDefault="005539D7" w:rsidP="005539D7">
      <w:pPr>
        <w:spacing w:after="0"/>
        <w:jc w:val="center"/>
        <w:rPr>
          <w:rFonts w:asciiTheme="majorBidi" w:hAnsiTheme="majorBidi" w:cstheme="majorBidi"/>
          <w:sz w:val="24"/>
          <w:szCs w:val="24"/>
        </w:rPr>
      </w:pPr>
      <w:r w:rsidRPr="003F22BD">
        <w:rPr>
          <w:rFonts w:asciiTheme="majorBidi" w:hAnsiTheme="majorBidi" w:cstheme="majorBidi"/>
          <w:sz w:val="24"/>
          <w:szCs w:val="24"/>
        </w:rPr>
        <w:t>Sales Volume and Sales Forces Remuneration of Gibson Nigeria Enterprises</w:t>
      </w:r>
    </w:p>
    <w:tbl>
      <w:tblPr>
        <w:tblW w:w="0" w:type="auto"/>
        <w:jc w:val="center"/>
        <w:tblLook w:val="04A0" w:firstRow="1" w:lastRow="0" w:firstColumn="1" w:lastColumn="0" w:noHBand="0" w:noVBand="1"/>
      </w:tblPr>
      <w:tblGrid>
        <w:gridCol w:w="1375"/>
        <w:gridCol w:w="1685"/>
        <w:gridCol w:w="1626"/>
        <w:gridCol w:w="1584"/>
        <w:gridCol w:w="1338"/>
      </w:tblGrid>
      <w:tr w:rsidR="003F22BD" w:rsidRPr="003F22BD" w:rsidTr="00061DF6">
        <w:trPr>
          <w:jc w:val="center"/>
        </w:trPr>
        <w:tc>
          <w:tcPr>
            <w:tcW w:w="1375" w:type="dxa"/>
            <w:vMerge w:val="restart"/>
            <w:vAlign w:val="center"/>
          </w:tcPr>
          <w:p w:rsidR="005539D7" w:rsidRPr="003F22BD" w:rsidRDefault="005539D7" w:rsidP="00843570">
            <w:pPr>
              <w:spacing w:after="0" w:line="240" w:lineRule="auto"/>
              <w:jc w:val="center"/>
              <w:rPr>
                <w:rFonts w:ascii="Times New Roman" w:hAnsi="Times New Roman"/>
                <w:sz w:val="24"/>
                <w:szCs w:val="24"/>
              </w:rPr>
            </w:pPr>
            <w:r w:rsidRPr="003F22BD">
              <w:rPr>
                <w:rFonts w:ascii="Times New Roman" w:hAnsi="Times New Roman"/>
                <w:sz w:val="24"/>
                <w:szCs w:val="24"/>
              </w:rPr>
              <w:t>Week</w:t>
            </w:r>
          </w:p>
        </w:tc>
        <w:tc>
          <w:tcPr>
            <w:tcW w:w="3311" w:type="dxa"/>
            <w:gridSpan w:val="2"/>
          </w:tcPr>
          <w:p w:rsidR="005539D7" w:rsidRPr="003F22BD" w:rsidRDefault="005539D7" w:rsidP="00843570">
            <w:pPr>
              <w:spacing w:after="0" w:line="240" w:lineRule="auto"/>
              <w:jc w:val="center"/>
              <w:rPr>
                <w:rFonts w:ascii="Times New Roman" w:hAnsi="Times New Roman"/>
                <w:sz w:val="24"/>
                <w:szCs w:val="24"/>
              </w:rPr>
            </w:pPr>
            <w:r w:rsidRPr="003F22BD">
              <w:rPr>
                <w:rFonts w:ascii="Times New Roman" w:hAnsi="Times New Roman"/>
                <w:sz w:val="24"/>
                <w:szCs w:val="24"/>
              </w:rPr>
              <w:t>Sales Volume</w:t>
            </w:r>
          </w:p>
        </w:tc>
        <w:tc>
          <w:tcPr>
            <w:tcW w:w="2922" w:type="dxa"/>
            <w:gridSpan w:val="2"/>
          </w:tcPr>
          <w:p w:rsidR="005539D7" w:rsidRPr="003F22BD" w:rsidRDefault="005539D7" w:rsidP="00843570">
            <w:pPr>
              <w:spacing w:after="0" w:line="240" w:lineRule="auto"/>
              <w:jc w:val="center"/>
              <w:rPr>
                <w:rFonts w:ascii="Times New Roman" w:hAnsi="Times New Roman"/>
                <w:sz w:val="24"/>
                <w:szCs w:val="24"/>
              </w:rPr>
            </w:pPr>
            <w:r w:rsidRPr="003F22BD">
              <w:rPr>
                <w:rFonts w:ascii="Times New Roman" w:hAnsi="Times New Roman"/>
                <w:sz w:val="24"/>
                <w:szCs w:val="24"/>
              </w:rPr>
              <w:t>Sales Force Remuneration</w:t>
            </w:r>
          </w:p>
        </w:tc>
      </w:tr>
      <w:tr w:rsidR="003F22BD" w:rsidRPr="003F22BD" w:rsidTr="00061DF6">
        <w:trPr>
          <w:jc w:val="center"/>
        </w:trPr>
        <w:tc>
          <w:tcPr>
            <w:tcW w:w="1375" w:type="dxa"/>
            <w:vMerge/>
          </w:tcPr>
          <w:p w:rsidR="005539D7" w:rsidRPr="003F22BD" w:rsidRDefault="005539D7" w:rsidP="00843570">
            <w:pPr>
              <w:spacing w:after="0" w:line="240" w:lineRule="auto"/>
              <w:jc w:val="center"/>
              <w:rPr>
                <w:rFonts w:ascii="Times New Roman" w:hAnsi="Times New Roman"/>
                <w:sz w:val="24"/>
                <w:szCs w:val="24"/>
              </w:rPr>
            </w:pPr>
          </w:p>
        </w:tc>
        <w:tc>
          <w:tcPr>
            <w:tcW w:w="1685" w:type="dxa"/>
          </w:tcPr>
          <w:p w:rsidR="005539D7" w:rsidRPr="003F22BD" w:rsidRDefault="005539D7" w:rsidP="00843570">
            <w:pPr>
              <w:spacing w:after="0" w:line="240" w:lineRule="auto"/>
              <w:jc w:val="center"/>
              <w:rPr>
                <w:rFonts w:ascii="Times New Roman" w:hAnsi="Times New Roman"/>
                <w:sz w:val="24"/>
                <w:szCs w:val="24"/>
              </w:rPr>
            </w:pPr>
            <w:r w:rsidRPr="003F22BD">
              <w:rPr>
                <w:rFonts w:ascii="Times New Roman" w:hAnsi="Times New Roman"/>
                <w:sz w:val="24"/>
                <w:szCs w:val="24"/>
              </w:rPr>
              <w:t>Year 2012</w:t>
            </w:r>
          </w:p>
        </w:tc>
        <w:tc>
          <w:tcPr>
            <w:tcW w:w="1626" w:type="dxa"/>
          </w:tcPr>
          <w:p w:rsidR="005539D7" w:rsidRPr="003F22BD" w:rsidRDefault="005539D7" w:rsidP="00843570">
            <w:pPr>
              <w:spacing w:after="0" w:line="240" w:lineRule="auto"/>
              <w:jc w:val="center"/>
              <w:rPr>
                <w:rFonts w:ascii="Times New Roman" w:hAnsi="Times New Roman"/>
                <w:sz w:val="24"/>
                <w:szCs w:val="24"/>
              </w:rPr>
            </w:pPr>
            <w:r w:rsidRPr="003F22BD">
              <w:rPr>
                <w:rFonts w:ascii="Times New Roman" w:hAnsi="Times New Roman"/>
                <w:sz w:val="24"/>
                <w:szCs w:val="24"/>
              </w:rPr>
              <w:t>Year 2013</w:t>
            </w:r>
          </w:p>
        </w:tc>
        <w:tc>
          <w:tcPr>
            <w:tcW w:w="1584" w:type="dxa"/>
          </w:tcPr>
          <w:p w:rsidR="005539D7" w:rsidRPr="003F22BD" w:rsidRDefault="005539D7" w:rsidP="00843570">
            <w:pPr>
              <w:spacing w:after="0" w:line="240" w:lineRule="auto"/>
              <w:jc w:val="center"/>
              <w:rPr>
                <w:rFonts w:ascii="Times New Roman" w:hAnsi="Times New Roman"/>
                <w:sz w:val="24"/>
                <w:szCs w:val="24"/>
              </w:rPr>
            </w:pPr>
            <w:r w:rsidRPr="003F22BD">
              <w:rPr>
                <w:rFonts w:ascii="Times New Roman" w:hAnsi="Times New Roman"/>
                <w:sz w:val="24"/>
                <w:szCs w:val="24"/>
              </w:rPr>
              <w:t>Year 2012</w:t>
            </w:r>
          </w:p>
        </w:tc>
        <w:tc>
          <w:tcPr>
            <w:tcW w:w="1338" w:type="dxa"/>
          </w:tcPr>
          <w:p w:rsidR="005539D7" w:rsidRPr="003F22BD" w:rsidRDefault="005539D7" w:rsidP="00843570">
            <w:pPr>
              <w:spacing w:after="0" w:line="240" w:lineRule="auto"/>
              <w:jc w:val="center"/>
              <w:rPr>
                <w:rFonts w:ascii="Times New Roman" w:hAnsi="Times New Roman"/>
                <w:sz w:val="24"/>
                <w:szCs w:val="24"/>
              </w:rPr>
            </w:pPr>
            <w:r w:rsidRPr="003F22BD">
              <w:rPr>
                <w:rFonts w:ascii="Times New Roman" w:hAnsi="Times New Roman"/>
                <w:sz w:val="24"/>
                <w:szCs w:val="24"/>
              </w:rPr>
              <w:t>Year 2013</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798</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1018</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21546</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825</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964</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22275</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3</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860</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849</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21220</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4</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846</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983</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22842</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5</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998</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1002</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22195</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6</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776</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913</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22952</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729</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837</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23328</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762</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859</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24375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24384</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974</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1097</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19500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20304</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10</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1052</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1299</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19500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19248</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11</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953</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927</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19500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22872</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12</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989</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951</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19500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19736</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13</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768</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1087</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19500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18432</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14</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779</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1485</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24375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23254</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15</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962</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1033</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24375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25578</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16</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690</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989</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24375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23940</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17</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762</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627</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24375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24812</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18</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977</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901</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25625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25402</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19</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874</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845</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25625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26724</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20</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965</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53</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25625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25090</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21</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976</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908</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25625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25376</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1034</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967</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20500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21714</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23</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1201</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1141</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20500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19221</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24</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1210</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1093</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20500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21410</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982</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946</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20500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20622</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26</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894</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882</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20500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18774</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27</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702</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783</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25625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26464</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28</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613</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745</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25625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25616</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29</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628</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637</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25625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24896</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30</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614</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601</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25625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26648</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31</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723</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742</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25625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25521</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32</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745</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831</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25625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26115</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33</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856</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532</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25625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23112</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34</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971</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726</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25625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26217</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35</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831</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842</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19000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22437</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36</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983</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991</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19000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20643</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37</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1185</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714</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19000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21885</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38</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956</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697</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19000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20076</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39</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1073</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795</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19000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19533</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40</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857</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584</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23750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22568</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41</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752</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763</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23750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22048</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42</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944</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759</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23750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22656</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43</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1013</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836</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23750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24312</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44</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789</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532</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23750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20514</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45</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1485</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569</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23750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26730</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46</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1572</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805</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25625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28296</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47</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1698</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1295</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25625</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26564</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48</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1256</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434</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20500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20608</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49</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1557</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1582</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20500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21026</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50</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1694</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1714</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22000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24492</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51</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1779</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1573</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22000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21022</w:t>
            </w:r>
          </w:p>
        </w:tc>
      </w:tr>
      <w:tr w:rsidR="003F22BD" w:rsidRPr="003F22BD" w:rsidTr="00061DF6">
        <w:trPr>
          <w:jc w:val="center"/>
        </w:trPr>
        <w:tc>
          <w:tcPr>
            <w:tcW w:w="137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52</w:t>
            </w:r>
          </w:p>
        </w:tc>
        <w:tc>
          <w:tcPr>
            <w:tcW w:w="1685"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2164</w:t>
            </w:r>
          </w:p>
        </w:tc>
        <w:tc>
          <w:tcPr>
            <w:tcW w:w="1626"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1804</w:t>
            </w:r>
          </w:p>
        </w:tc>
        <w:tc>
          <w:tcPr>
            <w:tcW w:w="1584"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22000</w:t>
            </w:r>
          </w:p>
        </w:tc>
        <w:tc>
          <w:tcPr>
            <w:tcW w:w="1338" w:type="dxa"/>
          </w:tcPr>
          <w:p w:rsidR="005539D7" w:rsidRPr="003F22BD" w:rsidRDefault="005539D7" w:rsidP="00843570">
            <w:pPr>
              <w:spacing w:after="0" w:line="240" w:lineRule="auto"/>
              <w:jc w:val="center"/>
              <w:rPr>
                <w:rFonts w:ascii="Times New Roman" w:hAnsi="Times New Roman"/>
                <w:sz w:val="20"/>
                <w:szCs w:val="20"/>
              </w:rPr>
            </w:pPr>
            <w:r w:rsidRPr="003F22BD">
              <w:rPr>
                <w:rFonts w:ascii="Times New Roman" w:hAnsi="Times New Roman"/>
                <w:sz w:val="20"/>
                <w:szCs w:val="20"/>
              </w:rPr>
              <w:t>24952</w:t>
            </w:r>
          </w:p>
        </w:tc>
      </w:tr>
    </w:tbl>
    <w:p w:rsidR="00843570" w:rsidRPr="003F22BD" w:rsidRDefault="005539D7" w:rsidP="00843570">
      <w:pPr>
        <w:ind w:firstLine="720"/>
        <w:rPr>
          <w:rFonts w:asciiTheme="majorBidi" w:hAnsiTheme="majorBidi" w:cstheme="majorBidi"/>
          <w:sz w:val="24"/>
          <w:szCs w:val="24"/>
        </w:rPr>
      </w:pPr>
      <w:r w:rsidRPr="003F22BD">
        <w:rPr>
          <w:rFonts w:asciiTheme="majorBidi" w:hAnsiTheme="majorBidi" w:cstheme="majorBidi"/>
          <w:b/>
          <w:bCs/>
          <w:sz w:val="24"/>
          <w:szCs w:val="24"/>
        </w:rPr>
        <w:t>Source:</w:t>
      </w:r>
      <w:r w:rsidRPr="003F22BD">
        <w:rPr>
          <w:rFonts w:asciiTheme="majorBidi" w:hAnsiTheme="majorBidi" w:cstheme="majorBidi"/>
          <w:sz w:val="24"/>
          <w:szCs w:val="24"/>
        </w:rPr>
        <w:t xml:space="preserve"> Gibson’s Accounts, 2014</w:t>
      </w:r>
    </w:p>
    <w:sectPr w:rsidR="00843570" w:rsidRPr="003F22BD" w:rsidSect="003F22BD">
      <w:type w:val="continuous"/>
      <w:pgSz w:w="12240" w:h="15840" w:code="1"/>
      <w:pgMar w:top="864" w:right="1296" w:bottom="864" w:left="1296"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10AF" w:rsidRDefault="007810AF" w:rsidP="00170B3E">
      <w:pPr>
        <w:spacing w:after="0" w:line="240" w:lineRule="auto"/>
      </w:pPr>
      <w:r>
        <w:separator/>
      </w:r>
    </w:p>
  </w:endnote>
  <w:endnote w:type="continuationSeparator" w:id="0">
    <w:p w:rsidR="007810AF" w:rsidRDefault="007810AF" w:rsidP="00170B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Adobe Garamond Pro"/>
    <w:panose1 w:val="00000000000000000000"/>
    <w:charset w:val="00"/>
    <w:family w:val="roman"/>
    <w:notTrueType/>
    <w:pitch w:val="default"/>
    <w:sig w:usb0="00000003" w:usb1="00000000" w:usb2="00000000" w:usb3="00000000" w:csb0="00000001" w:csb1="00000000"/>
  </w:font>
  <w:font w:name="HHCDGH+TimesNewRoman,Bold">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242685"/>
      <w:docPartObj>
        <w:docPartGallery w:val="Page Numbers (Bottom of Page)"/>
        <w:docPartUnique/>
      </w:docPartObj>
    </w:sdtPr>
    <w:sdtEndPr/>
    <w:sdtContent>
      <w:p w:rsidR="003370D7" w:rsidRDefault="007810AF">
        <w:pPr>
          <w:pStyle w:val="Footer"/>
          <w:jc w:val="right"/>
        </w:pPr>
        <w:r>
          <w:fldChar w:fldCharType="begin"/>
        </w:r>
        <w:r>
          <w:instrText xml:space="preserve"> PAGE   \* MERGEFORMAT </w:instrText>
        </w:r>
        <w:r>
          <w:fldChar w:fldCharType="separate"/>
        </w:r>
        <w:r w:rsidR="003F22BD">
          <w:rPr>
            <w:noProof/>
          </w:rPr>
          <w:t>110</w:t>
        </w:r>
        <w:r>
          <w:rPr>
            <w:noProof/>
          </w:rPr>
          <w:fldChar w:fldCharType="end"/>
        </w:r>
      </w:p>
    </w:sdtContent>
  </w:sdt>
  <w:p w:rsidR="003370D7" w:rsidRDefault="003370D7">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10AF" w:rsidRDefault="007810AF" w:rsidP="00170B3E">
      <w:pPr>
        <w:spacing w:after="0" w:line="240" w:lineRule="auto"/>
      </w:pPr>
      <w:r>
        <w:separator/>
      </w:r>
    </w:p>
  </w:footnote>
  <w:footnote w:type="continuationSeparator" w:id="0">
    <w:p w:rsidR="007810AF" w:rsidRDefault="007810AF" w:rsidP="00170B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70D7" w:rsidRDefault="003F22BD">
    <w:pPr>
      <w:pStyle w:val="Header"/>
      <w:jc w:val="right"/>
    </w:pPr>
    <w:r>
      <w:ptab w:relativeTo="margin" w:alignment="center" w:leader="none"/>
    </w:r>
    <w:r>
      <w:ptab w:relativeTo="margin" w:alignment="right" w:leader="none"/>
    </w:r>
    <w:r>
      <w:t>Ilorin Journal of Accounting, 1(2), 2014</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74DEC"/>
    <w:multiLevelType w:val="hybridMultilevel"/>
    <w:tmpl w:val="DB480154"/>
    <w:lvl w:ilvl="0" w:tplc="2DA2FD78">
      <w:start w:val="1"/>
      <w:numFmt w:val="lowerRoman"/>
      <w:lvlText w:val="%1."/>
      <w:lvlJc w:val="left"/>
      <w:pPr>
        <w:tabs>
          <w:tab w:val="num" w:pos="720"/>
        </w:tabs>
        <w:ind w:left="720" w:hanging="360"/>
      </w:pPr>
      <w:rPr>
        <w:rFonts w:ascii="Cambria" w:eastAsia="Calibri" w:hAnsi="Cambria" w:cs="Times New Roman"/>
      </w:rPr>
    </w:lvl>
    <w:lvl w:ilvl="1" w:tplc="8C4840D2" w:tentative="1">
      <w:start w:val="1"/>
      <w:numFmt w:val="bullet"/>
      <w:lvlText w:val="•"/>
      <w:lvlJc w:val="left"/>
      <w:pPr>
        <w:tabs>
          <w:tab w:val="num" w:pos="1440"/>
        </w:tabs>
        <w:ind w:left="1440" w:hanging="360"/>
      </w:pPr>
      <w:rPr>
        <w:rFonts w:ascii="Georgia" w:hAnsi="Georgia" w:hint="default"/>
      </w:rPr>
    </w:lvl>
    <w:lvl w:ilvl="2" w:tplc="385C82A6" w:tentative="1">
      <w:start w:val="1"/>
      <w:numFmt w:val="bullet"/>
      <w:lvlText w:val="•"/>
      <w:lvlJc w:val="left"/>
      <w:pPr>
        <w:tabs>
          <w:tab w:val="num" w:pos="2160"/>
        </w:tabs>
        <w:ind w:left="2160" w:hanging="360"/>
      </w:pPr>
      <w:rPr>
        <w:rFonts w:ascii="Georgia" w:hAnsi="Georgia" w:hint="default"/>
      </w:rPr>
    </w:lvl>
    <w:lvl w:ilvl="3" w:tplc="83BA1368" w:tentative="1">
      <w:start w:val="1"/>
      <w:numFmt w:val="bullet"/>
      <w:lvlText w:val="•"/>
      <w:lvlJc w:val="left"/>
      <w:pPr>
        <w:tabs>
          <w:tab w:val="num" w:pos="2880"/>
        </w:tabs>
        <w:ind w:left="2880" w:hanging="360"/>
      </w:pPr>
      <w:rPr>
        <w:rFonts w:ascii="Georgia" w:hAnsi="Georgia" w:hint="default"/>
      </w:rPr>
    </w:lvl>
    <w:lvl w:ilvl="4" w:tplc="EB88732C" w:tentative="1">
      <w:start w:val="1"/>
      <w:numFmt w:val="bullet"/>
      <w:lvlText w:val="•"/>
      <w:lvlJc w:val="left"/>
      <w:pPr>
        <w:tabs>
          <w:tab w:val="num" w:pos="3600"/>
        </w:tabs>
        <w:ind w:left="3600" w:hanging="360"/>
      </w:pPr>
      <w:rPr>
        <w:rFonts w:ascii="Georgia" w:hAnsi="Georgia" w:hint="default"/>
      </w:rPr>
    </w:lvl>
    <w:lvl w:ilvl="5" w:tplc="D78CAE92" w:tentative="1">
      <w:start w:val="1"/>
      <w:numFmt w:val="bullet"/>
      <w:lvlText w:val="•"/>
      <w:lvlJc w:val="left"/>
      <w:pPr>
        <w:tabs>
          <w:tab w:val="num" w:pos="4320"/>
        </w:tabs>
        <w:ind w:left="4320" w:hanging="360"/>
      </w:pPr>
      <w:rPr>
        <w:rFonts w:ascii="Georgia" w:hAnsi="Georgia" w:hint="default"/>
      </w:rPr>
    </w:lvl>
    <w:lvl w:ilvl="6" w:tplc="B4E2E2F8" w:tentative="1">
      <w:start w:val="1"/>
      <w:numFmt w:val="bullet"/>
      <w:lvlText w:val="•"/>
      <w:lvlJc w:val="left"/>
      <w:pPr>
        <w:tabs>
          <w:tab w:val="num" w:pos="5040"/>
        </w:tabs>
        <w:ind w:left="5040" w:hanging="360"/>
      </w:pPr>
      <w:rPr>
        <w:rFonts w:ascii="Georgia" w:hAnsi="Georgia" w:hint="default"/>
      </w:rPr>
    </w:lvl>
    <w:lvl w:ilvl="7" w:tplc="D7BA8B54" w:tentative="1">
      <w:start w:val="1"/>
      <w:numFmt w:val="bullet"/>
      <w:lvlText w:val="•"/>
      <w:lvlJc w:val="left"/>
      <w:pPr>
        <w:tabs>
          <w:tab w:val="num" w:pos="5760"/>
        </w:tabs>
        <w:ind w:left="5760" w:hanging="360"/>
      </w:pPr>
      <w:rPr>
        <w:rFonts w:ascii="Georgia" w:hAnsi="Georgia" w:hint="default"/>
      </w:rPr>
    </w:lvl>
    <w:lvl w:ilvl="8" w:tplc="A846FB22" w:tentative="1">
      <w:start w:val="1"/>
      <w:numFmt w:val="bullet"/>
      <w:lvlText w:val="•"/>
      <w:lvlJc w:val="left"/>
      <w:pPr>
        <w:tabs>
          <w:tab w:val="num" w:pos="6480"/>
        </w:tabs>
        <w:ind w:left="6480" w:hanging="360"/>
      </w:pPr>
      <w:rPr>
        <w:rFonts w:ascii="Georgia" w:hAnsi="Georgia" w:hint="default"/>
      </w:rPr>
    </w:lvl>
  </w:abstractNum>
  <w:abstractNum w:abstractNumId="1" w15:restartNumberingAfterBreak="0">
    <w:nsid w:val="053F6CDA"/>
    <w:multiLevelType w:val="hybridMultilevel"/>
    <w:tmpl w:val="49B865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F83288"/>
    <w:multiLevelType w:val="hybridMultilevel"/>
    <w:tmpl w:val="6C30FAB2"/>
    <w:lvl w:ilvl="0" w:tplc="55DC2D94">
      <w:start w:val="1"/>
      <w:numFmt w:val="lowerRoman"/>
      <w:lvlText w:val="%1."/>
      <w:lvlJc w:val="left"/>
      <w:pPr>
        <w:ind w:left="1080" w:hanging="720"/>
      </w:pPr>
      <w:rPr>
        <w:rFonts w:hint="default"/>
      </w:rPr>
    </w:lvl>
    <w:lvl w:ilvl="1" w:tplc="4676B35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525499"/>
    <w:multiLevelType w:val="hybridMultilevel"/>
    <w:tmpl w:val="5FB2CE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BD0C20"/>
    <w:multiLevelType w:val="multilevel"/>
    <w:tmpl w:val="99C8FAEA"/>
    <w:lvl w:ilvl="0">
      <w:start w:val="1"/>
      <w:numFmt w:val="decimal"/>
      <w:lvlText w:val="%1.0"/>
      <w:lvlJc w:val="left"/>
      <w:pPr>
        <w:ind w:left="600" w:hanging="600"/>
      </w:pPr>
      <w:rPr>
        <w:rFonts w:hint="default"/>
      </w:rPr>
    </w:lvl>
    <w:lvl w:ilvl="1">
      <w:start w:val="1"/>
      <w:numFmt w:val="decimal"/>
      <w:lvlText w:val="%1.%2"/>
      <w:lvlJc w:val="left"/>
      <w:pPr>
        <w:ind w:left="1608" w:hanging="600"/>
      </w:pPr>
      <w:rPr>
        <w:rFonts w:hint="default"/>
      </w:rPr>
    </w:lvl>
    <w:lvl w:ilvl="2">
      <w:start w:val="1"/>
      <w:numFmt w:val="decimal"/>
      <w:lvlText w:val="%1.%2.%3"/>
      <w:lvlJc w:val="left"/>
      <w:pPr>
        <w:ind w:left="2736" w:hanging="720"/>
      </w:pPr>
      <w:rPr>
        <w:rFonts w:hint="default"/>
      </w:rPr>
    </w:lvl>
    <w:lvl w:ilvl="3">
      <w:start w:val="1"/>
      <w:numFmt w:val="decimal"/>
      <w:lvlText w:val="%1.%2.%3.%4"/>
      <w:lvlJc w:val="left"/>
      <w:pPr>
        <w:ind w:left="3744" w:hanging="720"/>
      </w:pPr>
      <w:rPr>
        <w:rFonts w:hint="default"/>
      </w:rPr>
    </w:lvl>
    <w:lvl w:ilvl="4">
      <w:start w:val="1"/>
      <w:numFmt w:val="decimal"/>
      <w:lvlText w:val="%1.%2.%3.%4.%5"/>
      <w:lvlJc w:val="left"/>
      <w:pPr>
        <w:ind w:left="5112" w:hanging="1080"/>
      </w:pPr>
      <w:rPr>
        <w:rFonts w:hint="default"/>
      </w:rPr>
    </w:lvl>
    <w:lvl w:ilvl="5">
      <w:start w:val="1"/>
      <w:numFmt w:val="decimal"/>
      <w:lvlText w:val="%1.%2.%3.%4.%5.%6"/>
      <w:lvlJc w:val="left"/>
      <w:pPr>
        <w:ind w:left="6120" w:hanging="1080"/>
      </w:pPr>
      <w:rPr>
        <w:rFonts w:hint="default"/>
      </w:rPr>
    </w:lvl>
    <w:lvl w:ilvl="6">
      <w:start w:val="1"/>
      <w:numFmt w:val="decimal"/>
      <w:lvlText w:val="%1.%2.%3.%4.%5.%6.%7"/>
      <w:lvlJc w:val="left"/>
      <w:pPr>
        <w:ind w:left="7488" w:hanging="1440"/>
      </w:pPr>
      <w:rPr>
        <w:rFonts w:hint="default"/>
      </w:rPr>
    </w:lvl>
    <w:lvl w:ilvl="7">
      <w:start w:val="1"/>
      <w:numFmt w:val="decimal"/>
      <w:lvlText w:val="%1.%2.%3.%4.%5.%6.%7.%8"/>
      <w:lvlJc w:val="left"/>
      <w:pPr>
        <w:ind w:left="8496" w:hanging="1440"/>
      </w:pPr>
      <w:rPr>
        <w:rFonts w:hint="default"/>
      </w:rPr>
    </w:lvl>
    <w:lvl w:ilvl="8">
      <w:start w:val="1"/>
      <w:numFmt w:val="decimal"/>
      <w:lvlText w:val="%1.%2.%3.%4.%5.%6.%7.%8.%9"/>
      <w:lvlJc w:val="left"/>
      <w:pPr>
        <w:ind w:left="9864" w:hanging="1800"/>
      </w:pPr>
      <w:rPr>
        <w:rFonts w:hint="default"/>
      </w:rPr>
    </w:lvl>
  </w:abstractNum>
  <w:abstractNum w:abstractNumId="5" w15:restartNumberingAfterBreak="0">
    <w:nsid w:val="17C212F7"/>
    <w:multiLevelType w:val="hybridMultilevel"/>
    <w:tmpl w:val="C24C754A"/>
    <w:lvl w:ilvl="0" w:tplc="0F9C1982">
      <w:start w:val="1"/>
      <w:numFmt w:val="lowerRoman"/>
      <w:lvlText w:val="%1."/>
      <w:lvlJc w:val="left"/>
      <w:pPr>
        <w:ind w:left="720" w:hanging="360"/>
      </w:pPr>
      <w:rPr>
        <w:rFonts w:ascii="Cambria" w:eastAsia="Calibri" w:hAnsi="Cambria"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D04ED5"/>
    <w:multiLevelType w:val="multilevel"/>
    <w:tmpl w:val="D68AF60C"/>
    <w:lvl w:ilvl="0">
      <w:start w:val="1"/>
      <w:numFmt w:val="decimal"/>
      <w:lvlText w:val="%1."/>
      <w:lvlJc w:val="left"/>
      <w:pPr>
        <w:ind w:left="1080" w:hanging="360"/>
      </w:pPr>
      <w:rPr>
        <w:rFonts w:hint="default"/>
        <w:b w:val="0"/>
      </w:rPr>
    </w:lvl>
    <w:lvl w:ilvl="1">
      <w:start w:val="5"/>
      <w:numFmt w:val="decimal"/>
      <w:isLgl/>
      <w:lvlText w:val="%1.%2"/>
      <w:lvlJc w:val="left"/>
      <w:pPr>
        <w:ind w:left="1620" w:hanging="900"/>
      </w:pPr>
      <w:rPr>
        <w:rFonts w:hint="default"/>
      </w:rPr>
    </w:lvl>
    <w:lvl w:ilvl="2">
      <w:start w:val="1"/>
      <w:numFmt w:val="decimal"/>
      <w:isLgl/>
      <w:lvlText w:val="%1.%2.%3"/>
      <w:lvlJc w:val="left"/>
      <w:pPr>
        <w:ind w:left="1620" w:hanging="90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7" w15:restartNumberingAfterBreak="0">
    <w:nsid w:val="2D2B05A4"/>
    <w:multiLevelType w:val="hybridMultilevel"/>
    <w:tmpl w:val="7F5EA3B4"/>
    <w:lvl w:ilvl="0" w:tplc="B896D034">
      <w:start w:val="1"/>
      <w:numFmt w:val="lowerRoman"/>
      <w:lvlText w:val="%1."/>
      <w:lvlJc w:val="left"/>
      <w:pPr>
        <w:ind w:left="720" w:hanging="360"/>
      </w:pPr>
      <w:rPr>
        <w:rFonts w:ascii="Cambria" w:eastAsia="Calibri" w:hAnsi="Cambria"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38D5907"/>
    <w:multiLevelType w:val="hybridMultilevel"/>
    <w:tmpl w:val="C85ACF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7B73640"/>
    <w:multiLevelType w:val="hybridMultilevel"/>
    <w:tmpl w:val="01383B14"/>
    <w:lvl w:ilvl="0" w:tplc="08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9484055"/>
    <w:multiLevelType w:val="hybridMultilevel"/>
    <w:tmpl w:val="4D7260DA"/>
    <w:lvl w:ilvl="0" w:tplc="0D70F180">
      <w:start w:val="9"/>
      <w:numFmt w:val="bullet"/>
      <w:lvlText w:val="-"/>
      <w:lvlJc w:val="left"/>
      <w:pPr>
        <w:ind w:left="720" w:hanging="360"/>
      </w:pPr>
      <w:rPr>
        <w:rFonts w:ascii="Times New Roman" w:eastAsiaTheme="minorHAnsi"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BF31170"/>
    <w:multiLevelType w:val="multilevel"/>
    <w:tmpl w:val="8160C28A"/>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3EA16846"/>
    <w:multiLevelType w:val="hybridMultilevel"/>
    <w:tmpl w:val="40986560"/>
    <w:lvl w:ilvl="0" w:tplc="04090001">
      <w:start w:val="1"/>
      <w:numFmt w:val="decimal"/>
      <w:pStyle w:val="16-ReferenceListing"/>
      <w:lvlText w:val="[%1]"/>
      <w:lvlJc w:val="left"/>
      <w:pPr>
        <w:ind w:left="420" w:hanging="420"/>
      </w:pPr>
      <w:rPr>
        <w:rFonts w:ascii="Times New Roman" w:hAnsi="Times New Roman" w:hint="default"/>
        <w:sz w:val="18"/>
      </w:rPr>
    </w:lvl>
    <w:lvl w:ilvl="1" w:tplc="04090003" w:tentative="1">
      <w:start w:val="1"/>
      <w:numFmt w:val="lowerLetter"/>
      <w:lvlText w:val="%2)"/>
      <w:lvlJc w:val="left"/>
      <w:pPr>
        <w:ind w:left="840" w:hanging="420"/>
      </w:pPr>
    </w:lvl>
    <w:lvl w:ilvl="2" w:tplc="04090005" w:tentative="1">
      <w:start w:val="1"/>
      <w:numFmt w:val="lowerRoman"/>
      <w:lvlText w:val="%3."/>
      <w:lvlJc w:val="right"/>
      <w:pPr>
        <w:ind w:left="1260" w:hanging="420"/>
      </w:pPr>
    </w:lvl>
    <w:lvl w:ilvl="3" w:tplc="04090001" w:tentative="1">
      <w:start w:val="1"/>
      <w:numFmt w:val="decimal"/>
      <w:lvlText w:val="%4."/>
      <w:lvlJc w:val="left"/>
      <w:pPr>
        <w:ind w:left="1680" w:hanging="420"/>
      </w:pPr>
    </w:lvl>
    <w:lvl w:ilvl="4" w:tplc="04090003" w:tentative="1">
      <w:start w:val="1"/>
      <w:numFmt w:val="lowerLetter"/>
      <w:lvlText w:val="%5)"/>
      <w:lvlJc w:val="left"/>
      <w:pPr>
        <w:ind w:left="2100" w:hanging="420"/>
      </w:pPr>
    </w:lvl>
    <w:lvl w:ilvl="5" w:tplc="04090005" w:tentative="1">
      <w:start w:val="1"/>
      <w:numFmt w:val="lowerRoman"/>
      <w:lvlText w:val="%6."/>
      <w:lvlJc w:val="right"/>
      <w:pPr>
        <w:ind w:left="2520" w:hanging="420"/>
      </w:pPr>
    </w:lvl>
    <w:lvl w:ilvl="6" w:tplc="04090001" w:tentative="1">
      <w:start w:val="1"/>
      <w:numFmt w:val="decimal"/>
      <w:lvlText w:val="%7."/>
      <w:lvlJc w:val="left"/>
      <w:pPr>
        <w:ind w:left="2940" w:hanging="420"/>
      </w:pPr>
    </w:lvl>
    <w:lvl w:ilvl="7" w:tplc="04090003" w:tentative="1">
      <w:start w:val="1"/>
      <w:numFmt w:val="lowerLetter"/>
      <w:lvlText w:val="%8)"/>
      <w:lvlJc w:val="left"/>
      <w:pPr>
        <w:ind w:left="3360" w:hanging="420"/>
      </w:pPr>
    </w:lvl>
    <w:lvl w:ilvl="8" w:tplc="04090005" w:tentative="1">
      <w:start w:val="1"/>
      <w:numFmt w:val="lowerRoman"/>
      <w:lvlText w:val="%9."/>
      <w:lvlJc w:val="right"/>
      <w:pPr>
        <w:ind w:left="3780" w:hanging="420"/>
      </w:pPr>
    </w:lvl>
  </w:abstractNum>
  <w:abstractNum w:abstractNumId="13" w15:restartNumberingAfterBreak="0">
    <w:nsid w:val="3FF60B9B"/>
    <w:multiLevelType w:val="hybridMultilevel"/>
    <w:tmpl w:val="7680A9EC"/>
    <w:lvl w:ilvl="0" w:tplc="B030969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0327F4C"/>
    <w:multiLevelType w:val="hybridMultilevel"/>
    <w:tmpl w:val="12E4F80A"/>
    <w:lvl w:ilvl="0" w:tplc="2ECA592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1CF5A72"/>
    <w:multiLevelType w:val="hybridMultilevel"/>
    <w:tmpl w:val="3A924FB0"/>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E4609A"/>
    <w:multiLevelType w:val="multilevel"/>
    <w:tmpl w:val="8BBE8E9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15:restartNumberingAfterBreak="0">
    <w:nsid w:val="432520DD"/>
    <w:multiLevelType w:val="hybridMultilevel"/>
    <w:tmpl w:val="597AF1EA"/>
    <w:lvl w:ilvl="0" w:tplc="D002920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CEC307A"/>
    <w:multiLevelType w:val="multilevel"/>
    <w:tmpl w:val="0284DBE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9" w15:restartNumberingAfterBreak="0">
    <w:nsid w:val="4D7E1E22"/>
    <w:multiLevelType w:val="hybridMultilevel"/>
    <w:tmpl w:val="D4D6A4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EAD0961"/>
    <w:multiLevelType w:val="hybridMultilevel"/>
    <w:tmpl w:val="E51E7722"/>
    <w:lvl w:ilvl="0" w:tplc="0409001B">
      <w:start w:val="1"/>
      <w:numFmt w:val="lowerRoman"/>
      <w:lvlText w:val="%1."/>
      <w:lvlJc w:val="righ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EF725CE"/>
    <w:multiLevelType w:val="hybridMultilevel"/>
    <w:tmpl w:val="3C227280"/>
    <w:lvl w:ilvl="0" w:tplc="56E61E7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8ED3CF5"/>
    <w:multiLevelType w:val="multilevel"/>
    <w:tmpl w:val="12C0BC92"/>
    <w:lvl w:ilvl="0">
      <w:start w:val="1"/>
      <w:numFmt w:val="bullet"/>
      <w:lvlText w:val=""/>
      <w:lvlJc w:val="left"/>
      <w:pPr>
        <w:tabs>
          <w:tab w:val="num" w:pos="780"/>
        </w:tabs>
        <w:ind w:left="780" w:hanging="420"/>
      </w:pPr>
      <w:rPr>
        <w:rFonts w:ascii="Symbol" w:hAnsi="Symbol" w:hint="default"/>
      </w:rPr>
    </w:lvl>
    <w:lvl w:ilvl="1">
      <w:start w:val="7"/>
      <w:numFmt w:val="decimal"/>
      <w:isLgl/>
      <w:lvlText w:val="%1.%2"/>
      <w:lvlJc w:val="left"/>
      <w:pPr>
        <w:ind w:left="810" w:hanging="450"/>
      </w:pPr>
      <w:rPr>
        <w:rFonts w:cs="Times New Roman"/>
        <w:b/>
      </w:rPr>
    </w:lvl>
    <w:lvl w:ilvl="2">
      <w:start w:val="1"/>
      <w:numFmt w:val="decimal"/>
      <w:isLgl/>
      <w:lvlText w:val="%1.%2.%3"/>
      <w:lvlJc w:val="left"/>
      <w:pPr>
        <w:ind w:left="1080" w:hanging="720"/>
      </w:pPr>
      <w:rPr>
        <w:rFonts w:cs="Times New Roman"/>
        <w:b/>
      </w:rPr>
    </w:lvl>
    <w:lvl w:ilvl="3">
      <w:start w:val="1"/>
      <w:numFmt w:val="decimal"/>
      <w:isLgl/>
      <w:lvlText w:val="%1.%2.%3.%4"/>
      <w:lvlJc w:val="left"/>
      <w:pPr>
        <w:ind w:left="1440" w:hanging="1080"/>
      </w:pPr>
      <w:rPr>
        <w:rFonts w:cs="Times New Roman"/>
        <w:b/>
      </w:rPr>
    </w:lvl>
    <w:lvl w:ilvl="4">
      <w:start w:val="1"/>
      <w:numFmt w:val="decimal"/>
      <w:isLgl/>
      <w:lvlText w:val="%1.%2.%3.%4.%5"/>
      <w:lvlJc w:val="left"/>
      <w:pPr>
        <w:ind w:left="1440" w:hanging="1080"/>
      </w:pPr>
      <w:rPr>
        <w:rFonts w:cs="Times New Roman"/>
        <w:b/>
      </w:rPr>
    </w:lvl>
    <w:lvl w:ilvl="5">
      <w:start w:val="1"/>
      <w:numFmt w:val="decimal"/>
      <w:isLgl/>
      <w:lvlText w:val="%1.%2.%3.%4.%5.%6"/>
      <w:lvlJc w:val="left"/>
      <w:pPr>
        <w:ind w:left="1800" w:hanging="1440"/>
      </w:pPr>
      <w:rPr>
        <w:rFonts w:cs="Times New Roman"/>
        <w:b/>
      </w:rPr>
    </w:lvl>
    <w:lvl w:ilvl="6">
      <w:start w:val="1"/>
      <w:numFmt w:val="decimal"/>
      <w:isLgl/>
      <w:lvlText w:val="%1.%2.%3.%4.%5.%6.%7"/>
      <w:lvlJc w:val="left"/>
      <w:pPr>
        <w:ind w:left="1800" w:hanging="1440"/>
      </w:pPr>
      <w:rPr>
        <w:rFonts w:cs="Times New Roman"/>
        <w:b/>
      </w:rPr>
    </w:lvl>
    <w:lvl w:ilvl="7">
      <w:start w:val="1"/>
      <w:numFmt w:val="decimal"/>
      <w:isLgl/>
      <w:lvlText w:val="%1.%2.%3.%4.%5.%6.%7.%8"/>
      <w:lvlJc w:val="left"/>
      <w:pPr>
        <w:ind w:left="2160" w:hanging="1800"/>
      </w:pPr>
      <w:rPr>
        <w:rFonts w:cs="Times New Roman"/>
        <w:b/>
      </w:rPr>
    </w:lvl>
    <w:lvl w:ilvl="8">
      <w:start w:val="1"/>
      <w:numFmt w:val="decimal"/>
      <w:isLgl/>
      <w:lvlText w:val="%1.%2.%3.%4.%5.%6.%7.%8.%9"/>
      <w:lvlJc w:val="left"/>
      <w:pPr>
        <w:ind w:left="2520" w:hanging="2160"/>
      </w:pPr>
      <w:rPr>
        <w:rFonts w:cs="Times New Roman"/>
        <w:b/>
      </w:rPr>
    </w:lvl>
  </w:abstractNum>
  <w:abstractNum w:abstractNumId="23" w15:restartNumberingAfterBreak="0">
    <w:nsid w:val="5A787402"/>
    <w:multiLevelType w:val="hybridMultilevel"/>
    <w:tmpl w:val="C6B2378E"/>
    <w:lvl w:ilvl="0" w:tplc="E2EE7E3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A8739BD"/>
    <w:multiLevelType w:val="hybridMultilevel"/>
    <w:tmpl w:val="A67A4272"/>
    <w:lvl w:ilvl="0" w:tplc="04090001">
      <w:start w:val="1"/>
      <w:numFmt w:val="lowerLetter"/>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5" w15:restartNumberingAfterBreak="0">
    <w:nsid w:val="5FDD6359"/>
    <w:multiLevelType w:val="hybridMultilevel"/>
    <w:tmpl w:val="2F52B1FA"/>
    <w:lvl w:ilvl="0" w:tplc="CE98335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A2E41C3"/>
    <w:multiLevelType w:val="hybridMultilevel"/>
    <w:tmpl w:val="D4D6A4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A673877"/>
    <w:multiLevelType w:val="multilevel"/>
    <w:tmpl w:val="FC249EAA"/>
    <w:lvl w:ilvl="0">
      <w:start w:val="5"/>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8" w15:restartNumberingAfterBreak="0">
    <w:nsid w:val="6C293AE6"/>
    <w:multiLevelType w:val="hybridMultilevel"/>
    <w:tmpl w:val="5726E35A"/>
    <w:lvl w:ilvl="0" w:tplc="5C6641D0">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0083F2D"/>
    <w:multiLevelType w:val="hybridMultilevel"/>
    <w:tmpl w:val="00703E9C"/>
    <w:lvl w:ilvl="0" w:tplc="04090001">
      <w:start w:val="1"/>
      <w:numFmt w:val="lowerLetter"/>
      <w:lvlText w:val="(%1)"/>
      <w:lvlJc w:val="left"/>
      <w:pPr>
        <w:ind w:left="2520" w:hanging="360"/>
      </w:pPr>
      <w:rPr>
        <w:rFonts w:hint="default"/>
      </w:rPr>
    </w:lvl>
    <w:lvl w:ilvl="1" w:tplc="04090003" w:tentative="1">
      <w:start w:val="1"/>
      <w:numFmt w:val="lowerLetter"/>
      <w:lvlText w:val="%2."/>
      <w:lvlJc w:val="left"/>
      <w:pPr>
        <w:ind w:left="3240" w:hanging="360"/>
      </w:pPr>
    </w:lvl>
    <w:lvl w:ilvl="2" w:tplc="04090005" w:tentative="1">
      <w:start w:val="1"/>
      <w:numFmt w:val="lowerRoman"/>
      <w:lvlText w:val="%3."/>
      <w:lvlJc w:val="right"/>
      <w:pPr>
        <w:ind w:left="3960" w:hanging="180"/>
      </w:pPr>
    </w:lvl>
    <w:lvl w:ilvl="3" w:tplc="04090001" w:tentative="1">
      <w:start w:val="1"/>
      <w:numFmt w:val="decimal"/>
      <w:lvlText w:val="%4."/>
      <w:lvlJc w:val="left"/>
      <w:pPr>
        <w:ind w:left="4680" w:hanging="360"/>
      </w:pPr>
    </w:lvl>
    <w:lvl w:ilvl="4" w:tplc="04090003" w:tentative="1">
      <w:start w:val="1"/>
      <w:numFmt w:val="lowerLetter"/>
      <w:lvlText w:val="%5."/>
      <w:lvlJc w:val="left"/>
      <w:pPr>
        <w:ind w:left="5400" w:hanging="360"/>
      </w:pPr>
    </w:lvl>
    <w:lvl w:ilvl="5" w:tplc="04090005" w:tentative="1">
      <w:start w:val="1"/>
      <w:numFmt w:val="lowerRoman"/>
      <w:lvlText w:val="%6."/>
      <w:lvlJc w:val="right"/>
      <w:pPr>
        <w:ind w:left="6120" w:hanging="180"/>
      </w:pPr>
    </w:lvl>
    <w:lvl w:ilvl="6" w:tplc="04090001" w:tentative="1">
      <w:start w:val="1"/>
      <w:numFmt w:val="decimal"/>
      <w:lvlText w:val="%7."/>
      <w:lvlJc w:val="left"/>
      <w:pPr>
        <w:ind w:left="6840" w:hanging="360"/>
      </w:pPr>
    </w:lvl>
    <w:lvl w:ilvl="7" w:tplc="04090003" w:tentative="1">
      <w:start w:val="1"/>
      <w:numFmt w:val="lowerLetter"/>
      <w:lvlText w:val="%8."/>
      <w:lvlJc w:val="left"/>
      <w:pPr>
        <w:ind w:left="7560" w:hanging="360"/>
      </w:pPr>
    </w:lvl>
    <w:lvl w:ilvl="8" w:tplc="04090005" w:tentative="1">
      <w:start w:val="1"/>
      <w:numFmt w:val="lowerRoman"/>
      <w:lvlText w:val="%9."/>
      <w:lvlJc w:val="right"/>
      <w:pPr>
        <w:ind w:left="8280" w:hanging="180"/>
      </w:pPr>
    </w:lvl>
  </w:abstractNum>
  <w:abstractNum w:abstractNumId="30" w15:restartNumberingAfterBreak="0">
    <w:nsid w:val="72D7024B"/>
    <w:multiLevelType w:val="hybridMultilevel"/>
    <w:tmpl w:val="01962272"/>
    <w:lvl w:ilvl="0" w:tplc="8B3C1048">
      <w:start w:val="1"/>
      <w:numFmt w:val="lowerLetter"/>
      <w:lvlText w:val="(%1)"/>
      <w:lvlJc w:val="left"/>
      <w:pPr>
        <w:ind w:left="720" w:hanging="360"/>
      </w:pPr>
      <w:rPr>
        <w:rFonts w:eastAsia="Calibr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60D27C8"/>
    <w:multiLevelType w:val="hybridMultilevel"/>
    <w:tmpl w:val="C4C41C08"/>
    <w:lvl w:ilvl="0" w:tplc="F49CAEF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9063B86"/>
    <w:multiLevelType w:val="hybridMultilevel"/>
    <w:tmpl w:val="86E4545C"/>
    <w:lvl w:ilvl="0" w:tplc="1C2C2842">
      <w:start w:val="1"/>
      <w:numFmt w:val="bullet"/>
      <w:pStyle w:val="20-PartialNodes"/>
      <w:lvlText w:val=""/>
      <w:lvlJc w:val="left"/>
      <w:pPr>
        <w:ind w:left="520" w:hanging="420"/>
      </w:pPr>
      <w:rPr>
        <w:rFonts w:ascii="Wingdings" w:hAnsi="Wingdings" w:hint="default"/>
      </w:rPr>
    </w:lvl>
    <w:lvl w:ilvl="1" w:tplc="04090003" w:tentative="1">
      <w:start w:val="1"/>
      <w:numFmt w:val="bullet"/>
      <w:lvlText w:val=""/>
      <w:lvlJc w:val="left"/>
      <w:pPr>
        <w:ind w:left="940" w:hanging="420"/>
      </w:pPr>
      <w:rPr>
        <w:rFonts w:ascii="Wingdings" w:hAnsi="Wingdings" w:hint="default"/>
      </w:rPr>
    </w:lvl>
    <w:lvl w:ilvl="2" w:tplc="04090005" w:tentative="1">
      <w:start w:val="1"/>
      <w:numFmt w:val="bullet"/>
      <w:lvlText w:val=""/>
      <w:lvlJc w:val="left"/>
      <w:pPr>
        <w:ind w:left="1360" w:hanging="420"/>
      </w:pPr>
      <w:rPr>
        <w:rFonts w:ascii="Wingdings" w:hAnsi="Wingdings" w:hint="default"/>
      </w:rPr>
    </w:lvl>
    <w:lvl w:ilvl="3" w:tplc="04090001" w:tentative="1">
      <w:start w:val="1"/>
      <w:numFmt w:val="bullet"/>
      <w:lvlText w:val=""/>
      <w:lvlJc w:val="left"/>
      <w:pPr>
        <w:ind w:left="1780" w:hanging="420"/>
      </w:pPr>
      <w:rPr>
        <w:rFonts w:ascii="Wingdings" w:hAnsi="Wingdings" w:hint="default"/>
      </w:rPr>
    </w:lvl>
    <w:lvl w:ilvl="4" w:tplc="04090003" w:tentative="1">
      <w:start w:val="1"/>
      <w:numFmt w:val="bullet"/>
      <w:lvlText w:val=""/>
      <w:lvlJc w:val="left"/>
      <w:pPr>
        <w:ind w:left="2200" w:hanging="420"/>
      </w:pPr>
      <w:rPr>
        <w:rFonts w:ascii="Wingdings" w:hAnsi="Wingdings" w:hint="default"/>
      </w:rPr>
    </w:lvl>
    <w:lvl w:ilvl="5" w:tplc="04090005" w:tentative="1">
      <w:start w:val="1"/>
      <w:numFmt w:val="bullet"/>
      <w:lvlText w:val=""/>
      <w:lvlJc w:val="left"/>
      <w:pPr>
        <w:ind w:left="2620" w:hanging="420"/>
      </w:pPr>
      <w:rPr>
        <w:rFonts w:ascii="Wingdings" w:hAnsi="Wingdings" w:hint="default"/>
      </w:rPr>
    </w:lvl>
    <w:lvl w:ilvl="6" w:tplc="04090001" w:tentative="1">
      <w:start w:val="1"/>
      <w:numFmt w:val="bullet"/>
      <w:lvlText w:val=""/>
      <w:lvlJc w:val="left"/>
      <w:pPr>
        <w:ind w:left="3040" w:hanging="420"/>
      </w:pPr>
      <w:rPr>
        <w:rFonts w:ascii="Wingdings" w:hAnsi="Wingdings" w:hint="default"/>
      </w:rPr>
    </w:lvl>
    <w:lvl w:ilvl="7" w:tplc="04090003" w:tentative="1">
      <w:start w:val="1"/>
      <w:numFmt w:val="bullet"/>
      <w:lvlText w:val=""/>
      <w:lvlJc w:val="left"/>
      <w:pPr>
        <w:ind w:left="3460" w:hanging="420"/>
      </w:pPr>
      <w:rPr>
        <w:rFonts w:ascii="Wingdings" w:hAnsi="Wingdings" w:hint="default"/>
      </w:rPr>
    </w:lvl>
    <w:lvl w:ilvl="8" w:tplc="04090005" w:tentative="1">
      <w:start w:val="1"/>
      <w:numFmt w:val="bullet"/>
      <w:lvlText w:val=""/>
      <w:lvlJc w:val="left"/>
      <w:pPr>
        <w:ind w:left="3880" w:hanging="420"/>
      </w:pPr>
      <w:rPr>
        <w:rFonts w:ascii="Wingdings" w:hAnsi="Wingdings" w:hint="default"/>
      </w:rPr>
    </w:lvl>
  </w:abstractNum>
  <w:abstractNum w:abstractNumId="33" w15:restartNumberingAfterBreak="0">
    <w:nsid w:val="7D585CF2"/>
    <w:multiLevelType w:val="hybridMultilevel"/>
    <w:tmpl w:val="2A463B48"/>
    <w:lvl w:ilvl="0" w:tplc="6A8E378A">
      <w:start w:val="1"/>
      <w:numFmt w:val="decimal"/>
      <w:lvlText w:val="%1."/>
      <w:lvlJc w:val="left"/>
      <w:pPr>
        <w:ind w:left="810" w:hanging="360"/>
      </w:pPr>
      <w:rPr>
        <w:rFonts w:cs="Times New Roman"/>
        <w:b w:val="0"/>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4" w15:restartNumberingAfterBreak="0">
    <w:nsid w:val="7ECB758E"/>
    <w:multiLevelType w:val="multilevel"/>
    <w:tmpl w:val="17626754"/>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rPr>
        <w:b/>
      </w:r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30"/>
  </w:num>
  <w:num w:numId="2">
    <w:abstractNumId w:val="21"/>
  </w:num>
  <w:num w:numId="3">
    <w:abstractNumId w:val="6"/>
  </w:num>
  <w:num w:numId="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12"/>
  </w:num>
  <w:num w:numId="8">
    <w:abstractNumId w:val="32"/>
  </w:num>
  <w:num w:numId="9">
    <w:abstractNumId w:val="22"/>
  </w:num>
  <w:num w:numId="1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7"/>
  </w:num>
  <w:num w:numId="12">
    <w:abstractNumId w:val="25"/>
  </w:num>
  <w:num w:numId="13">
    <w:abstractNumId w:val="11"/>
  </w:num>
  <w:num w:numId="14">
    <w:abstractNumId w:val="18"/>
  </w:num>
  <w:num w:numId="15">
    <w:abstractNumId w:val="0"/>
  </w:num>
  <w:num w:numId="16">
    <w:abstractNumId w:val="5"/>
  </w:num>
  <w:num w:numId="17">
    <w:abstractNumId w:val="7"/>
  </w:num>
  <w:num w:numId="18">
    <w:abstractNumId w:val="17"/>
  </w:num>
  <w:num w:numId="19">
    <w:abstractNumId w:val="14"/>
  </w:num>
  <w:num w:numId="20">
    <w:abstractNumId w:val="23"/>
  </w:num>
  <w:num w:numId="21">
    <w:abstractNumId w:val="13"/>
  </w:num>
  <w:num w:numId="22">
    <w:abstractNumId w:val="10"/>
  </w:num>
  <w:num w:numId="23">
    <w:abstractNumId w:val="3"/>
  </w:num>
  <w:num w:numId="24">
    <w:abstractNumId w:val="34"/>
  </w:num>
  <w:num w:numId="25">
    <w:abstractNumId w:val="8"/>
  </w:num>
  <w:num w:numId="26">
    <w:abstractNumId w:val="28"/>
  </w:num>
  <w:num w:numId="27">
    <w:abstractNumId w:val="1"/>
  </w:num>
  <w:num w:numId="28">
    <w:abstractNumId w:val="19"/>
  </w:num>
  <w:num w:numId="29">
    <w:abstractNumId w:val="26"/>
  </w:num>
  <w:num w:numId="30">
    <w:abstractNumId w:val="2"/>
  </w:num>
  <w:num w:numId="31">
    <w:abstractNumId w:val="31"/>
  </w:num>
  <w:num w:numId="32">
    <w:abstractNumId w:val="16"/>
  </w:num>
  <w:num w:numId="33">
    <w:abstractNumId w:val="15"/>
  </w:num>
  <w:num w:numId="34">
    <w:abstractNumId w:val="20"/>
  </w:num>
  <w:num w:numId="35">
    <w:abstractNumId w:val="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C872B9"/>
    <w:rsid w:val="00047BA9"/>
    <w:rsid w:val="00055764"/>
    <w:rsid w:val="00061DF6"/>
    <w:rsid w:val="000B061A"/>
    <w:rsid w:val="000F0262"/>
    <w:rsid w:val="000F1904"/>
    <w:rsid w:val="00104395"/>
    <w:rsid w:val="00106DCC"/>
    <w:rsid w:val="00115056"/>
    <w:rsid w:val="00170B3E"/>
    <w:rsid w:val="001732AD"/>
    <w:rsid w:val="001A37EE"/>
    <w:rsid w:val="001E1EE8"/>
    <w:rsid w:val="001E645B"/>
    <w:rsid w:val="0020702A"/>
    <w:rsid w:val="00210687"/>
    <w:rsid w:val="00240974"/>
    <w:rsid w:val="002670CC"/>
    <w:rsid w:val="002F4533"/>
    <w:rsid w:val="00314FDD"/>
    <w:rsid w:val="003370D7"/>
    <w:rsid w:val="00356599"/>
    <w:rsid w:val="00380121"/>
    <w:rsid w:val="0038322F"/>
    <w:rsid w:val="003B07F4"/>
    <w:rsid w:val="003F22BD"/>
    <w:rsid w:val="00412462"/>
    <w:rsid w:val="00421CB1"/>
    <w:rsid w:val="00424613"/>
    <w:rsid w:val="004C5CF7"/>
    <w:rsid w:val="004F349F"/>
    <w:rsid w:val="005015B2"/>
    <w:rsid w:val="005539D7"/>
    <w:rsid w:val="005D640E"/>
    <w:rsid w:val="006023FF"/>
    <w:rsid w:val="0061587A"/>
    <w:rsid w:val="00700D2A"/>
    <w:rsid w:val="00746C6F"/>
    <w:rsid w:val="00757D0B"/>
    <w:rsid w:val="007810AF"/>
    <w:rsid w:val="00803FD3"/>
    <w:rsid w:val="008317D1"/>
    <w:rsid w:val="00843570"/>
    <w:rsid w:val="00854296"/>
    <w:rsid w:val="00856A0D"/>
    <w:rsid w:val="008B4625"/>
    <w:rsid w:val="008D01F7"/>
    <w:rsid w:val="008F55C4"/>
    <w:rsid w:val="00937DA6"/>
    <w:rsid w:val="009502B4"/>
    <w:rsid w:val="00A3479C"/>
    <w:rsid w:val="00A40F0B"/>
    <w:rsid w:val="00A67387"/>
    <w:rsid w:val="00A71B76"/>
    <w:rsid w:val="00B11482"/>
    <w:rsid w:val="00B224BF"/>
    <w:rsid w:val="00B509F3"/>
    <w:rsid w:val="00C16D96"/>
    <w:rsid w:val="00C509E6"/>
    <w:rsid w:val="00C520FB"/>
    <w:rsid w:val="00C82924"/>
    <w:rsid w:val="00C84DB1"/>
    <w:rsid w:val="00C872B9"/>
    <w:rsid w:val="00CB6A17"/>
    <w:rsid w:val="00CC4FC4"/>
    <w:rsid w:val="00D51C6B"/>
    <w:rsid w:val="00DF254E"/>
    <w:rsid w:val="00E2703C"/>
    <w:rsid w:val="00F06EA4"/>
    <w:rsid w:val="00F07188"/>
    <w:rsid w:val="00F12860"/>
    <w:rsid w:val="00F13FA1"/>
    <w:rsid w:val="00F509EF"/>
    <w:rsid w:val="00FD77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203547"/>
  <w15:docId w15:val="{9865EA6D-B33B-49A3-B9DE-1A19FE2E5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72B9"/>
    <w:pPr>
      <w:jc w:val="both"/>
    </w:pPr>
    <w:rPr>
      <w:rFonts w:ascii="Calibri" w:eastAsia="Calibri" w:hAnsi="Calibri" w:cs="Times New Roman"/>
    </w:rPr>
  </w:style>
  <w:style w:type="paragraph" w:styleId="Heading1">
    <w:name w:val="heading 1"/>
    <w:basedOn w:val="Normal"/>
    <w:next w:val="Normal"/>
    <w:link w:val="Heading1Char"/>
    <w:uiPriority w:val="9"/>
    <w:qFormat/>
    <w:rsid w:val="00C872B9"/>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semiHidden/>
    <w:unhideWhenUsed/>
    <w:qFormat/>
    <w:rsid w:val="00C872B9"/>
    <w:pPr>
      <w:keepNext/>
      <w:spacing w:before="240" w:after="60"/>
      <w:outlineLvl w:val="1"/>
    </w:pPr>
    <w:rPr>
      <w:rFonts w:ascii="Cambria" w:eastAsia="Times New Roman" w:hAnsi="Cambria"/>
      <w:b/>
      <w:bCs/>
      <w:i/>
      <w:iCs/>
      <w:sz w:val="28"/>
      <w:szCs w:val="28"/>
    </w:rPr>
  </w:style>
  <w:style w:type="paragraph" w:styleId="Heading3">
    <w:name w:val="heading 3"/>
    <w:basedOn w:val="Normal"/>
    <w:next w:val="Normal"/>
    <w:link w:val="Heading3Char"/>
    <w:uiPriority w:val="9"/>
    <w:unhideWhenUsed/>
    <w:qFormat/>
    <w:rsid w:val="00C872B9"/>
    <w:pPr>
      <w:keepNext/>
      <w:spacing w:before="240" w:after="60"/>
      <w:outlineLvl w:val="2"/>
    </w:pPr>
    <w:rPr>
      <w:rFonts w:ascii="Cambria" w:eastAsia="Times New Roman" w:hAnsi="Cambria"/>
      <w:b/>
      <w:bCs/>
      <w:sz w:val="26"/>
      <w:szCs w:val="26"/>
    </w:rPr>
  </w:style>
  <w:style w:type="paragraph" w:styleId="Heading4">
    <w:name w:val="heading 4"/>
    <w:basedOn w:val="Normal"/>
    <w:next w:val="Normal"/>
    <w:link w:val="Heading4Char"/>
    <w:uiPriority w:val="9"/>
    <w:semiHidden/>
    <w:unhideWhenUsed/>
    <w:qFormat/>
    <w:rsid w:val="00C872B9"/>
    <w:pPr>
      <w:keepNext/>
      <w:spacing w:before="240" w:after="60"/>
      <w:outlineLvl w:val="3"/>
    </w:pPr>
    <w:rPr>
      <w:rFonts w:eastAsia="Times New Roman"/>
      <w:b/>
      <w:bCs/>
      <w:sz w:val="28"/>
      <w:szCs w:val="28"/>
    </w:rPr>
  </w:style>
  <w:style w:type="paragraph" w:styleId="Heading5">
    <w:name w:val="heading 5"/>
    <w:basedOn w:val="Normal"/>
    <w:next w:val="Normal"/>
    <w:link w:val="Heading5Char"/>
    <w:uiPriority w:val="9"/>
    <w:semiHidden/>
    <w:unhideWhenUsed/>
    <w:qFormat/>
    <w:rsid w:val="00C872B9"/>
    <w:pPr>
      <w:spacing w:before="240" w:after="60"/>
      <w:outlineLvl w:val="4"/>
    </w:pPr>
    <w:rPr>
      <w:rFonts w:eastAsia="Times New Roman"/>
      <w:b/>
      <w:bCs/>
      <w:i/>
      <w:iCs/>
      <w:sz w:val="26"/>
      <w:szCs w:val="26"/>
    </w:rPr>
  </w:style>
  <w:style w:type="paragraph" w:styleId="Heading6">
    <w:name w:val="heading 6"/>
    <w:basedOn w:val="Normal"/>
    <w:next w:val="Normal"/>
    <w:link w:val="Heading6Char"/>
    <w:uiPriority w:val="9"/>
    <w:unhideWhenUsed/>
    <w:qFormat/>
    <w:rsid w:val="00C872B9"/>
    <w:pPr>
      <w:spacing w:before="240" w:after="60"/>
      <w:outlineLvl w:val="5"/>
    </w:pPr>
    <w:rPr>
      <w:rFonts w:eastAsia="Times New Roman"/>
      <w:b/>
      <w:bCs/>
    </w:rPr>
  </w:style>
  <w:style w:type="paragraph" w:styleId="Heading7">
    <w:name w:val="heading 7"/>
    <w:basedOn w:val="Normal"/>
    <w:next w:val="Normal"/>
    <w:link w:val="Heading7Char"/>
    <w:uiPriority w:val="9"/>
    <w:unhideWhenUsed/>
    <w:qFormat/>
    <w:rsid w:val="00C872B9"/>
    <w:pPr>
      <w:spacing w:before="240" w:after="60"/>
      <w:outlineLvl w:val="6"/>
    </w:pPr>
    <w:rPr>
      <w:rFonts w:eastAsia="Times New Roman"/>
      <w:sz w:val="24"/>
      <w:szCs w:val="24"/>
    </w:rPr>
  </w:style>
  <w:style w:type="paragraph" w:styleId="Heading8">
    <w:name w:val="heading 8"/>
    <w:basedOn w:val="Normal"/>
    <w:next w:val="Normal"/>
    <w:link w:val="Heading8Char"/>
    <w:uiPriority w:val="9"/>
    <w:semiHidden/>
    <w:unhideWhenUsed/>
    <w:qFormat/>
    <w:rsid w:val="00C872B9"/>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C872B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872B9"/>
    <w:rPr>
      <w:rFonts w:ascii="Cambria" w:eastAsia="Times New Roman" w:hAnsi="Cambria" w:cs="Times New Roman"/>
      <w:b/>
      <w:bCs/>
      <w:kern w:val="32"/>
      <w:sz w:val="32"/>
      <w:szCs w:val="32"/>
    </w:rPr>
  </w:style>
  <w:style w:type="character" w:customStyle="1" w:styleId="Heading2Char">
    <w:name w:val="Heading 2 Char"/>
    <w:basedOn w:val="DefaultParagraphFont"/>
    <w:link w:val="Heading2"/>
    <w:semiHidden/>
    <w:rsid w:val="00C872B9"/>
    <w:rPr>
      <w:rFonts w:ascii="Cambria" w:eastAsia="Times New Roman" w:hAnsi="Cambria" w:cs="Times New Roman"/>
      <w:b/>
      <w:bCs/>
      <w:i/>
      <w:iCs/>
      <w:sz w:val="28"/>
      <w:szCs w:val="28"/>
    </w:rPr>
  </w:style>
  <w:style w:type="character" w:customStyle="1" w:styleId="Heading3Char">
    <w:name w:val="Heading 3 Char"/>
    <w:basedOn w:val="DefaultParagraphFont"/>
    <w:link w:val="Heading3"/>
    <w:uiPriority w:val="9"/>
    <w:rsid w:val="00C872B9"/>
    <w:rPr>
      <w:rFonts w:ascii="Cambria" w:eastAsia="Times New Roman" w:hAnsi="Cambria" w:cs="Times New Roman"/>
      <w:b/>
      <w:bCs/>
      <w:sz w:val="26"/>
      <w:szCs w:val="26"/>
    </w:rPr>
  </w:style>
  <w:style w:type="character" w:customStyle="1" w:styleId="Heading4Char">
    <w:name w:val="Heading 4 Char"/>
    <w:basedOn w:val="DefaultParagraphFont"/>
    <w:link w:val="Heading4"/>
    <w:uiPriority w:val="9"/>
    <w:semiHidden/>
    <w:rsid w:val="00C872B9"/>
    <w:rPr>
      <w:rFonts w:ascii="Calibri" w:eastAsia="Times New Roman" w:hAnsi="Calibri" w:cs="Times New Roman"/>
      <w:b/>
      <w:bCs/>
      <w:sz w:val="28"/>
      <w:szCs w:val="28"/>
    </w:rPr>
  </w:style>
  <w:style w:type="character" w:customStyle="1" w:styleId="Heading5Char">
    <w:name w:val="Heading 5 Char"/>
    <w:basedOn w:val="DefaultParagraphFont"/>
    <w:link w:val="Heading5"/>
    <w:uiPriority w:val="9"/>
    <w:semiHidden/>
    <w:rsid w:val="00C872B9"/>
    <w:rPr>
      <w:rFonts w:ascii="Calibri" w:eastAsia="Times New Roman" w:hAnsi="Calibri" w:cs="Times New Roman"/>
      <w:b/>
      <w:bCs/>
      <w:i/>
      <w:iCs/>
      <w:sz w:val="26"/>
      <w:szCs w:val="26"/>
    </w:rPr>
  </w:style>
  <w:style w:type="character" w:customStyle="1" w:styleId="Heading6Char">
    <w:name w:val="Heading 6 Char"/>
    <w:basedOn w:val="DefaultParagraphFont"/>
    <w:link w:val="Heading6"/>
    <w:uiPriority w:val="9"/>
    <w:rsid w:val="00C872B9"/>
    <w:rPr>
      <w:rFonts w:ascii="Calibri" w:eastAsia="Times New Roman" w:hAnsi="Calibri" w:cs="Times New Roman"/>
      <w:b/>
      <w:bCs/>
    </w:rPr>
  </w:style>
  <w:style w:type="character" w:customStyle="1" w:styleId="Heading7Char">
    <w:name w:val="Heading 7 Char"/>
    <w:basedOn w:val="DefaultParagraphFont"/>
    <w:link w:val="Heading7"/>
    <w:uiPriority w:val="9"/>
    <w:rsid w:val="00C872B9"/>
    <w:rPr>
      <w:rFonts w:ascii="Calibri" w:eastAsia="Times New Roman" w:hAnsi="Calibri" w:cs="Times New Roman"/>
      <w:sz w:val="24"/>
      <w:szCs w:val="24"/>
    </w:rPr>
  </w:style>
  <w:style w:type="character" w:customStyle="1" w:styleId="Heading8Char">
    <w:name w:val="Heading 8 Char"/>
    <w:basedOn w:val="DefaultParagraphFont"/>
    <w:link w:val="Heading8"/>
    <w:uiPriority w:val="9"/>
    <w:semiHidden/>
    <w:rsid w:val="00C872B9"/>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C872B9"/>
    <w:rPr>
      <w:rFonts w:asciiTheme="majorHAnsi" w:eastAsiaTheme="majorEastAsia" w:hAnsiTheme="majorHAnsi" w:cstheme="majorBidi"/>
      <w:i/>
      <w:iCs/>
      <w:color w:val="404040" w:themeColor="text1" w:themeTint="BF"/>
      <w:sz w:val="20"/>
      <w:szCs w:val="20"/>
    </w:rPr>
  </w:style>
  <w:style w:type="paragraph" w:styleId="ListParagraph">
    <w:name w:val="List Paragraph"/>
    <w:basedOn w:val="Normal"/>
    <w:uiPriority w:val="34"/>
    <w:qFormat/>
    <w:rsid w:val="00C872B9"/>
    <w:pPr>
      <w:ind w:left="720"/>
      <w:contextualSpacing/>
    </w:pPr>
  </w:style>
  <w:style w:type="paragraph" w:styleId="BalloonText">
    <w:name w:val="Balloon Text"/>
    <w:basedOn w:val="Normal"/>
    <w:link w:val="BalloonTextChar"/>
    <w:uiPriority w:val="99"/>
    <w:semiHidden/>
    <w:unhideWhenUsed/>
    <w:rsid w:val="00C872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872B9"/>
    <w:rPr>
      <w:rFonts w:ascii="Tahoma" w:eastAsia="Calibri" w:hAnsi="Tahoma" w:cs="Tahoma"/>
      <w:sz w:val="16"/>
      <w:szCs w:val="16"/>
    </w:rPr>
  </w:style>
  <w:style w:type="paragraph" w:styleId="Header">
    <w:name w:val="header"/>
    <w:basedOn w:val="Normal"/>
    <w:link w:val="HeaderChar"/>
    <w:uiPriority w:val="99"/>
    <w:unhideWhenUsed/>
    <w:rsid w:val="00C872B9"/>
    <w:pPr>
      <w:tabs>
        <w:tab w:val="center" w:pos="4680"/>
        <w:tab w:val="right" w:pos="9360"/>
      </w:tabs>
      <w:spacing w:after="0" w:line="240" w:lineRule="auto"/>
    </w:pPr>
  </w:style>
  <w:style w:type="character" w:customStyle="1" w:styleId="HeaderChar">
    <w:name w:val="Header Char"/>
    <w:basedOn w:val="DefaultParagraphFont"/>
    <w:link w:val="Header"/>
    <w:uiPriority w:val="99"/>
    <w:rsid w:val="00C872B9"/>
    <w:rPr>
      <w:rFonts w:ascii="Calibri" w:eastAsia="Calibri" w:hAnsi="Calibri" w:cs="Times New Roman"/>
    </w:rPr>
  </w:style>
  <w:style w:type="paragraph" w:styleId="Footer">
    <w:name w:val="footer"/>
    <w:basedOn w:val="Normal"/>
    <w:link w:val="FooterChar"/>
    <w:uiPriority w:val="99"/>
    <w:unhideWhenUsed/>
    <w:rsid w:val="00C872B9"/>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72B9"/>
    <w:rPr>
      <w:rFonts w:ascii="Calibri" w:eastAsia="Calibri" w:hAnsi="Calibri" w:cs="Times New Roman"/>
    </w:rPr>
  </w:style>
  <w:style w:type="paragraph" w:styleId="TOC1">
    <w:name w:val="toc 1"/>
    <w:basedOn w:val="Normal"/>
    <w:next w:val="Normal"/>
    <w:autoRedefine/>
    <w:uiPriority w:val="39"/>
    <w:unhideWhenUsed/>
    <w:rsid w:val="00C872B9"/>
    <w:pPr>
      <w:spacing w:before="360" w:after="360"/>
      <w:jc w:val="left"/>
    </w:pPr>
    <w:rPr>
      <w:rFonts w:asciiTheme="minorHAnsi" w:hAnsiTheme="minorHAnsi"/>
      <w:b/>
      <w:bCs/>
      <w:caps/>
      <w:u w:val="single"/>
    </w:rPr>
  </w:style>
  <w:style w:type="paragraph" w:styleId="TOC2">
    <w:name w:val="toc 2"/>
    <w:basedOn w:val="Normal"/>
    <w:next w:val="Normal"/>
    <w:autoRedefine/>
    <w:uiPriority w:val="39"/>
    <w:unhideWhenUsed/>
    <w:rsid w:val="00C872B9"/>
    <w:pPr>
      <w:spacing w:after="0"/>
      <w:jc w:val="left"/>
    </w:pPr>
    <w:rPr>
      <w:rFonts w:asciiTheme="minorHAnsi" w:hAnsiTheme="minorHAnsi"/>
      <w:b/>
      <w:bCs/>
      <w:smallCaps/>
    </w:rPr>
  </w:style>
  <w:style w:type="paragraph" w:styleId="TOC3">
    <w:name w:val="toc 3"/>
    <w:basedOn w:val="Normal"/>
    <w:next w:val="Normal"/>
    <w:autoRedefine/>
    <w:uiPriority w:val="39"/>
    <w:unhideWhenUsed/>
    <w:rsid w:val="00C872B9"/>
    <w:pPr>
      <w:spacing w:after="0"/>
      <w:jc w:val="left"/>
    </w:pPr>
    <w:rPr>
      <w:rFonts w:asciiTheme="minorHAnsi" w:hAnsiTheme="minorHAnsi"/>
      <w:smallCaps/>
    </w:rPr>
  </w:style>
  <w:style w:type="paragraph" w:styleId="TOC4">
    <w:name w:val="toc 4"/>
    <w:basedOn w:val="Normal"/>
    <w:next w:val="Normal"/>
    <w:autoRedefine/>
    <w:uiPriority w:val="39"/>
    <w:unhideWhenUsed/>
    <w:rsid w:val="00C872B9"/>
    <w:pPr>
      <w:spacing w:after="0"/>
      <w:jc w:val="left"/>
    </w:pPr>
    <w:rPr>
      <w:rFonts w:asciiTheme="minorHAnsi" w:hAnsiTheme="minorHAnsi"/>
    </w:rPr>
  </w:style>
  <w:style w:type="paragraph" w:styleId="TOC5">
    <w:name w:val="toc 5"/>
    <w:basedOn w:val="Normal"/>
    <w:next w:val="Normal"/>
    <w:autoRedefine/>
    <w:uiPriority w:val="39"/>
    <w:unhideWhenUsed/>
    <w:rsid w:val="00C872B9"/>
    <w:pPr>
      <w:spacing w:after="0"/>
      <w:jc w:val="left"/>
    </w:pPr>
    <w:rPr>
      <w:rFonts w:asciiTheme="minorHAnsi" w:hAnsiTheme="minorHAnsi"/>
    </w:rPr>
  </w:style>
  <w:style w:type="paragraph" w:styleId="TOC6">
    <w:name w:val="toc 6"/>
    <w:basedOn w:val="Normal"/>
    <w:next w:val="Normal"/>
    <w:autoRedefine/>
    <w:uiPriority w:val="39"/>
    <w:unhideWhenUsed/>
    <w:rsid w:val="00C872B9"/>
    <w:pPr>
      <w:spacing w:after="0"/>
      <w:jc w:val="left"/>
    </w:pPr>
    <w:rPr>
      <w:rFonts w:asciiTheme="minorHAnsi" w:hAnsiTheme="minorHAnsi"/>
    </w:rPr>
  </w:style>
  <w:style w:type="paragraph" w:styleId="TOC7">
    <w:name w:val="toc 7"/>
    <w:basedOn w:val="Normal"/>
    <w:next w:val="Normal"/>
    <w:autoRedefine/>
    <w:uiPriority w:val="39"/>
    <w:unhideWhenUsed/>
    <w:rsid w:val="00C872B9"/>
    <w:pPr>
      <w:spacing w:after="0"/>
      <w:jc w:val="left"/>
    </w:pPr>
    <w:rPr>
      <w:rFonts w:asciiTheme="minorHAnsi" w:hAnsiTheme="minorHAnsi"/>
    </w:rPr>
  </w:style>
  <w:style w:type="paragraph" w:styleId="TOC8">
    <w:name w:val="toc 8"/>
    <w:basedOn w:val="Normal"/>
    <w:next w:val="Normal"/>
    <w:autoRedefine/>
    <w:uiPriority w:val="39"/>
    <w:unhideWhenUsed/>
    <w:rsid w:val="00C872B9"/>
    <w:pPr>
      <w:spacing w:after="0"/>
      <w:jc w:val="left"/>
    </w:pPr>
    <w:rPr>
      <w:rFonts w:asciiTheme="minorHAnsi" w:hAnsiTheme="minorHAnsi"/>
    </w:rPr>
  </w:style>
  <w:style w:type="paragraph" w:styleId="TOC9">
    <w:name w:val="toc 9"/>
    <w:basedOn w:val="Normal"/>
    <w:next w:val="Normal"/>
    <w:autoRedefine/>
    <w:uiPriority w:val="39"/>
    <w:unhideWhenUsed/>
    <w:rsid w:val="00C872B9"/>
    <w:pPr>
      <w:spacing w:after="0"/>
      <w:jc w:val="left"/>
    </w:pPr>
    <w:rPr>
      <w:rFonts w:asciiTheme="minorHAnsi" w:hAnsiTheme="minorHAnsi"/>
    </w:rPr>
  </w:style>
  <w:style w:type="character" w:styleId="Hyperlink">
    <w:name w:val="Hyperlink"/>
    <w:basedOn w:val="DefaultParagraphFont"/>
    <w:uiPriority w:val="99"/>
    <w:unhideWhenUsed/>
    <w:rsid w:val="00C872B9"/>
    <w:rPr>
      <w:color w:val="0000FF"/>
      <w:u w:val="single"/>
    </w:rPr>
  </w:style>
  <w:style w:type="paragraph" w:styleId="NoSpacing">
    <w:name w:val="No Spacing"/>
    <w:link w:val="NoSpacingChar"/>
    <w:uiPriority w:val="1"/>
    <w:qFormat/>
    <w:rsid w:val="00C872B9"/>
    <w:pPr>
      <w:ind w:left="720"/>
      <w:jc w:val="both"/>
    </w:pPr>
    <w:rPr>
      <w:rFonts w:ascii="Calibri" w:eastAsia="Times New Roman" w:hAnsi="Calibri" w:cs="Times New Roman"/>
    </w:rPr>
  </w:style>
  <w:style w:type="character" w:customStyle="1" w:styleId="NoSpacingChar">
    <w:name w:val="No Spacing Char"/>
    <w:basedOn w:val="DefaultParagraphFont"/>
    <w:link w:val="NoSpacing"/>
    <w:uiPriority w:val="1"/>
    <w:rsid w:val="00C872B9"/>
    <w:rPr>
      <w:rFonts w:ascii="Calibri" w:eastAsia="Times New Roman" w:hAnsi="Calibri" w:cs="Times New Roman"/>
    </w:rPr>
  </w:style>
  <w:style w:type="paragraph" w:styleId="Caption">
    <w:name w:val="caption"/>
    <w:basedOn w:val="Normal"/>
    <w:next w:val="Normal"/>
    <w:uiPriority w:val="35"/>
    <w:unhideWhenUsed/>
    <w:qFormat/>
    <w:rsid w:val="00C872B9"/>
    <w:pPr>
      <w:spacing w:line="240" w:lineRule="auto"/>
    </w:pPr>
    <w:rPr>
      <w:b/>
      <w:bCs/>
      <w:color w:val="4F81BD" w:themeColor="accent1"/>
      <w:sz w:val="18"/>
      <w:szCs w:val="18"/>
    </w:rPr>
  </w:style>
  <w:style w:type="paragraph" w:customStyle="1" w:styleId="04-Abtract">
    <w:name w:val="04-Abtract"/>
    <w:basedOn w:val="Normal"/>
    <w:next w:val="Normal"/>
    <w:link w:val="04-AbtractChar"/>
    <w:rsid w:val="00E2703C"/>
    <w:pPr>
      <w:widowControl w:val="0"/>
      <w:adjustRightInd w:val="0"/>
      <w:snapToGrid w:val="0"/>
      <w:spacing w:after="0" w:line="240" w:lineRule="exact"/>
    </w:pPr>
    <w:rPr>
      <w:rFonts w:ascii="Times New Roman" w:eastAsia="Times New Roman" w:hAnsi="Times New Roman"/>
      <w:sz w:val="20"/>
      <w:szCs w:val="24"/>
    </w:rPr>
  </w:style>
  <w:style w:type="character" w:customStyle="1" w:styleId="04-AbtractChar">
    <w:name w:val="04-Abtract Char"/>
    <w:link w:val="04-Abtract"/>
    <w:rsid w:val="00E2703C"/>
    <w:rPr>
      <w:rFonts w:ascii="Times New Roman" w:eastAsia="Times New Roman" w:hAnsi="Times New Roman" w:cs="Times New Roman"/>
      <w:sz w:val="20"/>
      <w:szCs w:val="24"/>
    </w:rPr>
  </w:style>
  <w:style w:type="paragraph" w:customStyle="1" w:styleId="05-Affiliation">
    <w:name w:val="05-Affiliation"/>
    <w:qFormat/>
    <w:rsid w:val="00E2703C"/>
    <w:pPr>
      <w:spacing w:after="0" w:line="200" w:lineRule="exact"/>
      <w:jc w:val="center"/>
    </w:pPr>
    <w:rPr>
      <w:rFonts w:ascii="Times New Roman" w:eastAsia="Times New Roman" w:hAnsi="Times New Roman" w:cs="Times New Roman"/>
      <w:kern w:val="2"/>
      <w:sz w:val="18"/>
      <w:szCs w:val="18"/>
      <w:lang w:eastAsia="zh-CN"/>
    </w:rPr>
  </w:style>
  <w:style w:type="paragraph" w:customStyle="1" w:styleId="06-Author">
    <w:name w:val="06-Author"/>
    <w:qFormat/>
    <w:rsid w:val="00E2703C"/>
    <w:pPr>
      <w:widowControl w:val="0"/>
      <w:spacing w:before="340" w:after="340" w:line="240" w:lineRule="auto"/>
      <w:jc w:val="center"/>
    </w:pPr>
    <w:rPr>
      <w:rFonts w:ascii="Times New Roman" w:eastAsia="Times New Roman" w:hAnsi="Times New Roman" w:cs="Times New Roman"/>
      <w:b/>
      <w:noProof/>
      <w:szCs w:val="21"/>
    </w:rPr>
  </w:style>
  <w:style w:type="paragraph" w:customStyle="1" w:styleId="11-FigureCaption">
    <w:name w:val="11-Figure Caption"/>
    <w:rsid w:val="00E2703C"/>
    <w:pPr>
      <w:widowControl w:val="0"/>
      <w:adjustRightInd w:val="0"/>
      <w:snapToGrid w:val="0"/>
      <w:spacing w:after="156" w:line="200" w:lineRule="exact"/>
      <w:jc w:val="center"/>
    </w:pPr>
    <w:rPr>
      <w:rFonts w:ascii="Times New Roman" w:eastAsia="Times New Roman" w:hAnsi="Times New Roman" w:cs="Times New Roman"/>
      <w:sz w:val="16"/>
      <w:szCs w:val="24"/>
      <w:lang w:eastAsia="zh-CN"/>
    </w:rPr>
  </w:style>
  <w:style w:type="paragraph" w:customStyle="1" w:styleId="13-Keywords">
    <w:name w:val="13-Keywords"/>
    <w:basedOn w:val="Normal"/>
    <w:next w:val="Normal"/>
    <w:link w:val="13-KeywordsChar"/>
    <w:rsid w:val="00E2703C"/>
    <w:pPr>
      <w:widowControl w:val="0"/>
      <w:adjustRightInd w:val="0"/>
      <w:snapToGrid w:val="0"/>
      <w:spacing w:before="156" w:after="156" w:line="240" w:lineRule="exact"/>
    </w:pPr>
    <w:rPr>
      <w:rFonts w:ascii="Times New Roman" w:eastAsia="Times New Roman" w:hAnsi="Times New Roman"/>
      <w:sz w:val="20"/>
      <w:szCs w:val="24"/>
      <w:lang w:eastAsia="en-GB"/>
    </w:rPr>
  </w:style>
  <w:style w:type="character" w:customStyle="1" w:styleId="13-KeywordsChar">
    <w:name w:val="13-Keywords Char"/>
    <w:link w:val="13-Keywords"/>
    <w:rsid w:val="00E2703C"/>
    <w:rPr>
      <w:rFonts w:ascii="Times New Roman" w:eastAsia="Times New Roman" w:hAnsi="Times New Roman" w:cs="Times New Roman"/>
      <w:sz w:val="20"/>
      <w:szCs w:val="24"/>
      <w:lang w:eastAsia="en-GB"/>
    </w:rPr>
  </w:style>
  <w:style w:type="paragraph" w:customStyle="1" w:styleId="01-1stHeading">
    <w:name w:val="01-1st Heading"/>
    <w:qFormat/>
    <w:rsid w:val="00E2703C"/>
    <w:pPr>
      <w:widowControl w:val="0"/>
      <w:spacing w:before="468" w:after="156" w:line="300" w:lineRule="exact"/>
      <w:ind w:left="100" w:hangingChars="100" w:hanging="100"/>
      <w:outlineLvl w:val="0"/>
    </w:pPr>
    <w:rPr>
      <w:rFonts w:ascii="Times New Roman" w:eastAsia="Times New Roman" w:hAnsi="Times New Roman" w:cs="Times New Roman"/>
      <w:b/>
      <w:sz w:val="28"/>
      <w:szCs w:val="24"/>
      <w:lang w:eastAsia="zh-CN"/>
    </w:rPr>
  </w:style>
  <w:style w:type="paragraph" w:customStyle="1" w:styleId="02-2ndSubhead">
    <w:name w:val="02-2nd Subhead"/>
    <w:next w:val="Normal"/>
    <w:qFormat/>
    <w:rsid w:val="00E2703C"/>
    <w:pPr>
      <w:widowControl w:val="0"/>
      <w:spacing w:before="312" w:after="156" w:line="240" w:lineRule="exact"/>
      <w:ind w:left="180" w:hangingChars="180" w:hanging="180"/>
    </w:pPr>
    <w:rPr>
      <w:rFonts w:ascii="Times New Roman" w:eastAsia="Times New Roman" w:hAnsi="Times New Roman" w:cs="Times New Roman"/>
      <w:b/>
      <w:kern w:val="2"/>
      <w:sz w:val="20"/>
      <w:szCs w:val="21"/>
      <w:lang w:eastAsia="zh-CN"/>
    </w:rPr>
  </w:style>
  <w:style w:type="paragraph" w:customStyle="1" w:styleId="03-3rdSubhead">
    <w:name w:val="03-3rd Subhead"/>
    <w:qFormat/>
    <w:rsid w:val="00E2703C"/>
    <w:pPr>
      <w:widowControl w:val="0"/>
      <w:spacing w:before="156" w:after="78" w:line="240" w:lineRule="exact"/>
      <w:ind w:left="250" w:hangingChars="250" w:hanging="250"/>
    </w:pPr>
    <w:rPr>
      <w:rFonts w:ascii="Times New Roman" w:eastAsia="Times New Roman" w:hAnsi="Times New Roman" w:cs="Times New Roman"/>
      <w:kern w:val="2"/>
      <w:sz w:val="20"/>
      <w:szCs w:val="21"/>
      <w:lang w:eastAsia="zh-CN"/>
    </w:rPr>
  </w:style>
  <w:style w:type="paragraph" w:customStyle="1" w:styleId="14-PaperTitle">
    <w:name w:val="14-Paper Title"/>
    <w:rsid w:val="00E2703C"/>
    <w:pPr>
      <w:widowControl w:val="0"/>
      <w:spacing w:before="40" w:after="440" w:line="540" w:lineRule="exact"/>
      <w:jc w:val="center"/>
    </w:pPr>
    <w:rPr>
      <w:rFonts w:ascii="Times New Roman" w:eastAsia="Times New Roman" w:hAnsi="Times New Roman" w:cs="Times New Roman"/>
      <w:b/>
      <w:noProof/>
      <w:sz w:val="40"/>
      <w:szCs w:val="48"/>
    </w:rPr>
  </w:style>
  <w:style w:type="paragraph" w:customStyle="1" w:styleId="15-Paragraph">
    <w:name w:val="15-Paragraph"/>
    <w:link w:val="15-ParagraphChar"/>
    <w:rsid w:val="00E2703C"/>
    <w:pPr>
      <w:widowControl w:val="0"/>
      <w:adjustRightInd w:val="0"/>
      <w:snapToGrid w:val="0"/>
      <w:spacing w:after="0" w:line="240" w:lineRule="exact"/>
      <w:ind w:firstLineChars="100" w:firstLine="100"/>
      <w:jc w:val="both"/>
    </w:pPr>
    <w:rPr>
      <w:rFonts w:ascii="Times New Roman" w:eastAsia="Times New Roman" w:hAnsi="Times New Roman" w:cs="Times New Roman"/>
      <w:sz w:val="20"/>
      <w:szCs w:val="24"/>
      <w:lang w:eastAsia="zh-CN"/>
    </w:rPr>
  </w:style>
  <w:style w:type="character" w:customStyle="1" w:styleId="15-ParagraphChar">
    <w:name w:val="15-Paragraph Char"/>
    <w:link w:val="15-Paragraph"/>
    <w:rsid w:val="00E2703C"/>
    <w:rPr>
      <w:rFonts w:ascii="Times New Roman" w:eastAsia="Times New Roman" w:hAnsi="Times New Roman" w:cs="Times New Roman"/>
      <w:sz w:val="20"/>
      <w:szCs w:val="24"/>
      <w:lang w:eastAsia="zh-CN"/>
    </w:rPr>
  </w:style>
  <w:style w:type="paragraph" w:customStyle="1" w:styleId="16-ReferenceListing">
    <w:name w:val="16-Reference Listing"/>
    <w:rsid w:val="00E2703C"/>
    <w:pPr>
      <w:widowControl w:val="0"/>
      <w:numPr>
        <w:numId w:val="7"/>
      </w:numPr>
      <w:adjustRightInd w:val="0"/>
      <w:snapToGrid w:val="0"/>
      <w:spacing w:after="156" w:line="200" w:lineRule="exact"/>
      <w:jc w:val="both"/>
    </w:pPr>
    <w:rPr>
      <w:rFonts w:ascii="Times New Roman" w:eastAsia="Times New Roman" w:hAnsi="Times New Roman" w:cs="Times New Roman"/>
      <w:sz w:val="18"/>
      <w:szCs w:val="24"/>
      <w:lang w:eastAsia="zh-CN"/>
    </w:rPr>
  </w:style>
  <w:style w:type="paragraph" w:customStyle="1" w:styleId="19-TableText">
    <w:name w:val="19-Table Text"/>
    <w:qFormat/>
    <w:rsid w:val="00E2703C"/>
    <w:pPr>
      <w:widowControl w:val="0"/>
      <w:spacing w:after="0" w:line="200" w:lineRule="exact"/>
      <w:jc w:val="center"/>
    </w:pPr>
    <w:rPr>
      <w:rFonts w:ascii="Times New Roman" w:eastAsia="Times New Roman" w:hAnsi="Times New Roman" w:cs="Times New Roman"/>
      <w:bCs/>
      <w:sz w:val="16"/>
      <w:szCs w:val="16"/>
      <w:lang w:eastAsia="zh-CN"/>
    </w:rPr>
  </w:style>
  <w:style w:type="paragraph" w:customStyle="1" w:styleId="17-TableHeading">
    <w:name w:val="17-Table Heading"/>
    <w:next w:val="15-Paragraph"/>
    <w:qFormat/>
    <w:rsid w:val="00E2703C"/>
    <w:pPr>
      <w:widowControl w:val="0"/>
      <w:spacing w:before="200" w:after="100" w:line="160" w:lineRule="exact"/>
      <w:jc w:val="center"/>
    </w:pPr>
    <w:rPr>
      <w:rFonts w:ascii="Times New Roman" w:eastAsia="Times New Roman" w:hAnsi="Times New Roman" w:cs="Times New Roman"/>
      <w:kern w:val="2"/>
      <w:sz w:val="16"/>
      <w:szCs w:val="21"/>
      <w:lang w:eastAsia="zh-CN"/>
    </w:rPr>
  </w:style>
  <w:style w:type="paragraph" w:styleId="BodyText">
    <w:name w:val="Body Text"/>
    <w:basedOn w:val="Normal"/>
    <w:link w:val="BodyTextChar"/>
    <w:rsid w:val="00E2703C"/>
    <w:pPr>
      <w:spacing w:after="0" w:line="228" w:lineRule="auto"/>
      <w:ind w:firstLine="288"/>
    </w:pPr>
    <w:rPr>
      <w:rFonts w:ascii="Times New Roman" w:eastAsia="SimSun" w:hAnsi="Times New Roman"/>
      <w:spacing w:val="-1"/>
      <w:sz w:val="20"/>
      <w:szCs w:val="20"/>
    </w:rPr>
  </w:style>
  <w:style w:type="character" w:customStyle="1" w:styleId="BodyTextChar">
    <w:name w:val="Body Text Char"/>
    <w:basedOn w:val="DefaultParagraphFont"/>
    <w:link w:val="BodyText"/>
    <w:rsid w:val="00E2703C"/>
    <w:rPr>
      <w:rFonts w:ascii="Times New Roman" w:eastAsia="SimSun" w:hAnsi="Times New Roman" w:cs="Times New Roman"/>
      <w:spacing w:val="-1"/>
      <w:sz w:val="20"/>
      <w:szCs w:val="20"/>
    </w:rPr>
  </w:style>
  <w:style w:type="paragraph" w:styleId="FootnoteText">
    <w:name w:val="footnote text"/>
    <w:basedOn w:val="Normal"/>
    <w:link w:val="FootnoteTextChar"/>
    <w:semiHidden/>
    <w:rsid w:val="00E2703C"/>
    <w:pPr>
      <w:spacing w:after="0" w:line="240" w:lineRule="exact"/>
      <w:jc w:val="left"/>
    </w:pPr>
    <w:rPr>
      <w:rFonts w:ascii="Times New Roman" w:eastAsia="SimSun" w:hAnsi="Times New Roman"/>
      <w:sz w:val="20"/>
      <w:szCs w:val="20"/>
    </w:rPr>
  </w:style>
  <w:style w:type="character" w:customStyle="1" w:styleId="FootnoteTextChar">
    <w:name w:val="Footnote Text Char"/>
    <w:basedOn w:val="DefaultParagraphFont"/>
    <w:link w:val="FootnoteText"/>
    <w:semiHidden/>
    <w:rsid w:val="00E2703C"/>
    <w:rPr>
      <w:rFonts w:ascii="Times New Roman" w:eastAsia="SimSun" w:hAnsi="Times New Roman" w:cs="Times New Roman"/>
      <w:sz w:val="20"/>
      <w:szCs w:val="20"/>
    </w:rPr>
  </w:style>
  <w:style w:type="paragraph" w:customStyle="1" w:styleId="10-Figure">
    <w:name w:val="10-Figure"/>
    <w:qFormat/>
    <w:rsid w:val="00E2703C"/>
    <w:pPr>
      <w:widowControl w:val="0"/>
      <w:adjustRightInd w:val="0"/>
      <w:snapToGrid w:val="0"/>
      <w:spacing w:before="156" w:after="156"/>
      <w:jc w:val="center"/>
    </w:pPr>
    <w:rPr>
      <w:rFonts w:ascii="Times New Roman" w:eastAsia="Times New Roman" w:hAnsi="Times New Roman" w:cs="Times New Roman"/>
      <w:sz w:val="15"/>
      <w:szCs w:val="15"/>
      <w:lang w:eastAsia="zh-CN"/>
    </w:rPr>
  </w:style>
  <w:style w:type="paragraph" w:customStyle="1" w:styleId="09-Equation">
    <w:name w:val="09-Equation"/>
    <w:qFormat/>
    <w:rsid w:val="00E2703C"/>
    <w:pPr>
      <w:widowControl w:val="0"/>
      <w:adjustRightInd w:val="0"/>
      <w:snapToGrid w:val="0"/>
      <w:spacing w:before="100" w:after="100" w:line="240" w:lineRule="auto"/>
      <w:jc w:val="right"/>
    </w:pPr>
    <w:rPr>
      <w:rFonts w:ascii="Times New Roman" w:eastAsia="Times New Roman" w:hAnsi="Times New Roman" w:cs="Times New Roman"/>
      <w:sz w:val="20"/>
      <w:szCs w:val="15"/>
      <w:lang w:eastAsia="zh-CN"/>
    </w:rPr>
  </w:style>
  <w:style w:type="paragraph" w:customStyle="1" w:styleId="18-TableNotes">
    <w:name w:val="18-Table Notes"/>
    <w:qFormat/>
    <w:rsid w:val="00E2703C"/>
    <w:pPr>
      <w:widowControl w:val="0"/>
      <w:adjustRightInd w:val="0"/>
      <w:snapToGrid w:val="0"/>
      <w:spacing w:before="100" w:after="0" w:line="160" w:lineRule="exact"/>
    </w:pPr>
    <w:rPr>
      <w:rFonts w:ascii="Times New Roman" w:eastAsia="Times New Roman" w:hAnsi="Times New Roman" w:cs="Times New Roman"/>
      <w:sz w:val="16"/>
      <w:szCs w:val="15"/>
      <w:lang w:eastAsia="zh-CN"/>
    </w:rPr>
  </w:style>
  <w:style w:type="table" w:styleId="TableGrid">
    <w:name w:val="Table Grid"/>
    <w:basedOn w:val="TableNormal"/>
    <w:uiPriority w:val="59"/>
    <w:rsid w:val="00E2703C"/>
    <w:pPr>
      <w:spacing w:after="0" w:line="240" w:lineRule="auto"/>
    </w:pPr>
    <w:rPr>
      <w:rFonts w:ascii="Calibri" w:eastAsia="SimSu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08-CorrespondingAuthor">
    <w:name w:val="08-Corresponding Author"/>
    <w:qFormat/>
    <w:rsid w:val="00E2703C"/>
    <w:pPr>
      <w:widowControl w:val="0"/>
      <w:adjustRightInd w:val="0"/>
      <w:snapToGrid w:val="0"/>
      <w:spacing w:after="468" w:line="240" w:lineRule="auto"/>
      <w:jc w:val="center"/>
    </w:pPr>
    <w:rPr>
      <w:rFonts w:ascii="Times New Roman" w:eastAsia="Times New Roman" w:hAnsi="Times New Roman" w:cs="Times New Roman"/>
      <w:kern w:val="2"/>
      <w:sz w:val="18"/>
      <w:szCs w:val="21"/>
      <w:lang w:eastAsia="zh-CN"/>
    </w:rPr>
  </w:style>
  <w:style w:type="paragraph" w:customStyle="1" w:styleId="07-Copyright">
    <w:name w:val="07-Copyright"/>
    <w:qFormat/>
    <w:rsid w:val="00E2703C"/>
    <w:pPr>
      <w:widowControl w:val="0"/>
      <w:adjustRightInd w:val="0"/>
      <w:snapToGrid w:val="0"/>
      <w:spacing w:after="312" w:line="200" w:lineRule="exact"/>
    </w:pPr>
    <w:rPr>
      <w:rFonts w:ascii="Times New Roman" w:eastAsia="Times New Roman" w:hAnsi="Times New Roman" w:cs="Times New Roman"/>
      <w:kern w:val="2"/>
      <w:sz w:val="20"/>
      <w:szCs w:val="21"/>
      <w:lang w:eastAsia="zh-CN"/>
    </w:rPr>
  </w:style>
  <w:style w:type="paragraph" w:customStyle="1" w:styleId="12-Footnote">
    <w:name w:val="12-Footnote"/>
    <w:qFormat/>
    <w:rsid w:val="00E2703C"/>
    <w:pPr>
      <w:widowControl w:val="0"/>
      <w:adjustRightInd w:val="0"/>
      <w:snapToGrid w:val="0"/>
      <w:spacing w:after="0" w:line="160" w:lineRule="exact"/>
      <w:jc w:val="both"/>
    </w:pPr>
    <w:rPr>
      <w:rFonts w:ascii="Times New Roman" w:eastAsia="Times New Roman" w:hAnsi="Times New Roman" w:cs="Times New Roman"/>
      <w:kern w:val="2"/>
      <w:sz w:val="16"/>
      <w:szCs w:val="21"/>
      <w:lang w:eastAsia="zh-CN"/>
    </w:rPr>
  </w:style>
  <w:style w:type="paragraph" w:customStyle="1" w:styleId="20-PartialNodes">
    <w:name w:val="20-Partial Nodes"/>
    <w:qFormat/>
    <w:rsid w:val="00E2703C"/>
    <w:pPr>
      <w:numPr>
        <w:numId w:val="8"/>
      </w:numPr>
      <w:adjustRightInd w:val="0"/>
      <w:snapToGrid w:val="0"/>
      <w:spacing w:after="0" w:line="240" w:lineRule="exact"/>
    </w:pPr>
    <w:rPr>
      <w:rFonts w:ascii="Times New Roman" w:eastAsia="Times New Roman" w:hAnsi="Times New Roman" w:cs="Times New Roman"/>
      <w:kern w:val="2"/>
      <w:sz w:val="20"/>
      <w:szCs w:val="21"/>
      <w:lang w:eastAsia="zh-CN"/>
    </w:rPr>
  </w:style>
  <w:style w:type="character" w:styleId="CommentReference">
    <w:name w:val="annotation reference"/>
    <w:uiPriority w:val="99"/>
    <w:semiHidden/>
    <w:unhideWhenUsed/>
    <w:rsid w:val="00E2703C"/>
    <w:rPr>
      <w:sz w:val="16"/>
      <w:szCs w:val="16"/>
    </w:rPr>
  </w:style>
  <w:style w:type="character" w:customStyle="1" w:styleId="CommentTextChar">
    <w:name w:val="Comment Text Char"/>
    <w:basedOn w:val="DefaultParagraphFont"/>
    <w:link w:val="CommentText"/>
    <w:uiPriority w:val="99"/>
    <w:semiHidden/>
    <w:rsid w:val="00E2703C"/>
    <w:rPr>
      <w:rFonts w:ascii="Calibri" w:eastAsia="SimSun" w:hAnsi="Calibri" w:cs="Times New Roman"/>
      <w:sz w:val="20"/>
      <w:szCs w:val="20"/>
      <w:lang w:val="en-GB"/>
    </w:rPr>
  </w:style>
  <w:style w:type="paragraph" w:styleId="CommentText">
    <w:name w:val="annotation text"/>
    <w:basedOn w:val="Normal"/>
    <w:link w:val="CommentTextChar"/>
    <w:uiPriority w:val="99"/>
    <w:semiHidden/>
    <w:unhideWhenUsed/>
    <w:rsid w:val="00E2703C"/>
    <w:pPr>
      <w:jc w:val="left"/>
    </w:pPr>
    <w:rPr>
      <w:rFonts w:eastAsia="SimSun"/>
      <w:sz w:val="20"/>
      <w:szCs w:val="20"/>
      <w:lang w:val="en-GB"/>
    </w:rPr>
  </w:style>
  <w:style w:type="character" w:customStyle="1" w:styleId="CommentSubjectChar">
    <w:name w:val="Comment Subject Char"/>
    <w:basedOn w:val="CommentTextChar"/>
    <w:link w:val="CommentSubject"/>
    <w:uiPriority w:val="99"/>
    <w:semiHidden/>
    <w:rsid w:val="00E2703C"/>
    <w:rPr>
      <w:rFonts w:ascii="Calibri" w:eastAsia="SimSun" w:hAnsi="Calibri" w:cs="Times New Roman"/>
      <w:b/>
      <w:bCs/>
      <w:sz w:val="20"/>
      <w:szCs w:val="20"/>
      <w:lang w:val="en-GB"/>
    </w:rPr>
  </w:style>
  <w:style w:type="paragraph" w:styleId="CommentSubject">
    <w:name w:val="annotation subject"/>
    <w:basedOn w:val="CommentText"/>
    <w:next w:val="CommentText"/>
    <w:link w:val="CommentSubjectChar"/>
    <w:uiPriority w:val="99"/>
    <w:semiHidden/>
    <w:unhideWhenUsed/>
    <w:rsid w:val="00E2703C"/>
    <w:rPr>
      <w:b/>
      <w:bCs/>
    </w:rPr>
  </w:style>
  <w:style w:type="paragraph" w:styleId="HTMLPreformatted">
    <w:name w:val="HTML Preformatted"/>
    <w:basedOn w:val="Normal"/>
    <w:link w:val="HTMLPreformattedChar"/>
    <w:uiPriority w:val="99"/>
    <w:semiHidden/>
    <w:unhideWhenUsed/>
    <w:rsid w:val="00E270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E2703C"/>
    <w:rPr>
      <w:rFonts w:ascii="Courier New" w:eastAsia="Times New Roman" w:hAnsi="Courier New" w:cs="Courier New"/>
      <w:sz w:val="20"/>
      <w:szCs w:val="20"/>
    </w:rPr>
  </w:style>
  <w:style w:type="character" w:styleId="Strong">
    <w:name w:val="Strong"/>
    <w:uiPriority w:val="22"/>
    <w:qFormat/>
    <w:rsid w:val="005539D7"/>
    <w:rPr>
      <w:b/>
      <w:bCs/>
    </w:rPr>
  </w:style>
  <w:style w:type="paragraph" w:customStyle="1" w:styleId="Default">
    <w:name w:val="Default"/>
    <w:rsid w:val="00061DF6"/>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apple-converted-space">
    <w:name w:val="apple-converted-space"/>
    <w:basedOn w:val="DefaultParagraphFont"/>
    <w:rsid w:val="00061DF6"/>
  </w:style>
  <w:style w:type="character" w:styleId="FollowedHyperlink">
    <w:name w:val="FollowedHyperlink"/>
    <w:basedOn w:val="DefaultParagraphFont"/>
    <w:uiPriority w:val="99"/>
    <w:semiHidden/>
    <w:unhideWhenUsed/>
    <w:rsid w:val="00DF254E"/>
    <w:rPr>
      <w:color w:val="800080" w:themeColor="followedHyperlink"/>
      <w:u w:val="single"/>
    </w:rPr>
  </w:style>
  <w:style w:type="paragraph" w:customStyle="1" w:styleId="Pa4">
    <w:name w:val="Pa4"/>
    <w:basedOn w:val="Normal"/>
    <w:next w:val="Normal"/>
    <w:uiPriority w:val="99"/>
    <w:rsid w:val="00DF254E"/>
    <w:pPr>
      <w:autoSpaceDE w:val="0"/>
      <w:autoSpaceDN w:val="0"/>
      <w:adjustRightInd w:val="0"/>
      <w:spacing w:after="0" w:line="281" w:lineRule="atLeast"/>
      <w:jc w:val="left"/>
    </w:pPr>
    <w:rPr>
      <w:rFonts w:ascii="Adobe Garamond Pro" w:hAnsi="Adobe Garamond Pro"/>
      <w:sz w:val="24"/>
      <w:szCs w:val="24"/>
    </w:rPr>
  </w:style>
  <w:style w:type="character" w:styleId="Emphasis">
    <w:name w:val="Emphasis"/>
    <w:basedOn w:val="DefaultParagraphFont"/>
    <w:uiPriority w:val="20"/>
    <w:qFormat/>
    <w:rsid w:val="00DF254E"/>
    <w:rPr>
      <w:i/>
      <w:iCs/>
    </w:rPr>
  </w:style>
  <w:style w:type="paragraph" w:styleId="NormalWeb">
    <w:name w:val="Normal (Web)"/>
    <w:basedOn w:val="Normal"/>
    <w:uiPriority w:val="99"/>
    <w:unhideWhenUsed/>
    <w:rsid w:val="00700D2A"/>
    <w:pPr>
      <w:spacing w:before="100" w:beforeAutospacing="1" w:after="100" w:afterAutospacing="1" w:line="240" w:lineRule="auto"/>
      <w:jc w:val="left"/>
    </w:pPr>
    <w:rPr>
      <w:rFonts w:ascii="Times New Roman" w:eastAsia="Times New Roman" w:hAnsi="Times New Roman"/>
      <w:sz w:val="24"/>
      <w:szCs w:val="24"/>
    </w:rPr>
  </w:style>
  <w:style w:type="paragraph" w:customStyle="1" w:styleId="Standard">
    <w:name w:val="Standard"/>
    <w:basedOn w:val="Default"/>
    <w:next w:val="Default"/>
    <w:uiPriority w:val="99"/>
    <w:rsid w:val="008F55C4"/>
    <w:rPr>
      <w:rFonts w:ascii="HHCDGH+TimesNewRoman,Bold" w:hAnsi="HHCDGH+TimesNewRoman,Bold" w:cs="Arial"/>
      <w:color w:val="auto"/>
    </w:rPr>
  </w:style>
  <w:style w:type="paragraph" w:customStyle="1" w:styleId="Affiliation">
    <w:name w:val="Affiliation"/>
    <w:basedOn w:val="Default"/>
    <w:next w:val="Default"/>
    <w:uiPriority w:val="99"/>
    <w:rsid w:val="008F55C4"/>
    <w:rPr>
      <w:rFonts w:ascii="HHCDGH+TimesNewRoman,Bold" w:hAnsi="HHCDGH+TimesNewRoman,Bold" w:cs="Arial"/>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bls.gov/ncs/ocs/sp/ncbl0062.pdf" TargetMode="External"/><Relationship Id="rId3" Type="http://schemas.openxmlformats.org/officeDocument/2006/relationships/settings" Target="settings.xml"/><Relationship Id="rId7" Type="http://schemas.openxmlformats.org/officeDocument/2006/relationships/hyperlink" Target="mailto:dayobamigbade@gmail.com" TargetMode="External"/><Relationship Id="rId12" Type="http://schemas.openxmlformats.org/officeDocument/2006/relationships/hyperlink" Target="http://www.haygroup.com/downloads/ca/misc/globalreportchangingfaceof%20reward.pd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kellg.northewstern.edu/faculty/coughlan/htm/personalpage_files/Papers/LILIEN%2026AnneT.CoughlanandKissanJoseph.pdf"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labour.gov.za"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www.ilo.org/global/statistics-and-databases/statistics-overview-and-topics/income/current-guidelines/lang--en/index.h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Adobe Garamond Pro"/>
    <w:panose1 w:val="00000000000000000000"/>
    <w:charset w:val="00"/>
    <w:family w:val="roman"/>
    <w:notTrueType/>
    <w:pitch w:val="default"/>
    <w:sig w:usb0="00000003" w:usb1="00000000" w:usb2="00000000" w:usb3="00000000" w:csb0="00000001" w:csb1="00000000"/>
  </w:font>
  <w:font w:name="HHCDGH+TimesNewRoman,Bold">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2C8A"/>
    <w:rsid w:val="002F2C8A"/>
    <w:rsid w:val="003204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17E9842E0334800BC068814C4E79B67">
    <w:name w:val="B17E9842E0334800BC068814C4E79B67"/>
    <w:rsid w:val="002F2C8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987</TotalTime>
  <Pages>11</Pages>
  <Words>3951</Words>
  <Characters>22526</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ABUBAKAR</dc:creator>
  <cp:keywords/>
  <dc:description/>
  <cp:lastModifiedBy>USER</cp:lastModifiedBy>
  <cp:revision>27</cp:revision>
  <dcterms:created xsi:type="dcterms:W3CDTF">2014-11-26T21:21:00Z</dcterms:created>
  <dcterms:modified xsi:type="dcterms:W3CDTF">2018-07-27T15:10:00Z</dcterms:modified>
</cp:coreProperties>
</file>