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drawings/drawing3.xml" ContentType="application/vnd.openxmlformats-officedocument.drawingml.chartshap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6.xml" ContentType="application/vnd.openxmlformats-officedocument.drawingml.chart+xml"/>
  <Override PartName="/word/theme/themeOverride6.xml" ContentType="application/vnd.openxmlformats-officedocument.themeOverride+xml"/>
  <Override PartName="/word/drawings/drawing4.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5.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C74AA" w14:textId="77777777" w:rsidR="00C427D0" w:rsidRDefault="00C427D0" w:rsidP="00C427D0">
      <w:pPr>
        <w:spacing w:after="0" w:line="360" w:lineRule="auto"/>
        <w:rPr>
          <w:rFonts w:ascii="Times New Roman" w:eastAsia="Times New Roman" w:hAnsi="Times New Roman" w:cs="Times New Roman"/>
          <w:b/>
          <w:i/>
          <w:sz w:val="24"/>
          <w:szCs w:val="24"/>
          <w:lang w:val="en-GB"/>
        </w:rPr>
      </w:pPr>
      <w:r w:rsidRPr="00C427D0">
        <w:rPr>
          <w:rFonts w:ascii="Times New Roman" w:eastAsia="Times New Roman" w:hAnsi="Times New Roman" w:cs="Times New Roman"/>
          <w:b/>
          <w:sz w:val="24"/>
          <w:szCs w:val="24"/>
          <w:lang w:val="en-GB"/>
        </w:rPr>
        <w:t xml:space="preserve">Anti-inflammatory and anti-nociceptive activities of the stem bark of </w:t>
      </w:r>
      <w:r>
        <w:rPr>
          <w:rFonts w:ascii="Times New Roman" w:eastAsia="Times New Roman" w:hAnsi="Times New Roman" w:cs="Times New Roman"/>
          <w:b/>
          <w:i/>
          <w:sz w:val="24"/>
          <w:szCs w:val="24"/>
          <w:lang w:val="en-GB"/>
        </w:rPr>
        <w:t>Theobroma cacao</w:t>
      </w:r>
    </w:p>
    <w:p w14:paraId="5CC493FE"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b/>
          <w:i/>
          <w:sz w:val="24"/>
          <w:szCs w:val="24"/>
          <w:lang w:val="en-GB"/>
        </w:rPr>
        <w:t>Linn</w:t>
      </w:r>
      <w:r w:rsidRPr="00C427D0">
        <w:rPr>
          <w:rFonts w:ascii="Times New Roman" w:eastAsia="Times New Roman" w:hAnsi="Times New Roman" w:cs="Times New Roman"/>
          <w:i/>
          <w:sz w:val="24"/>
          <w:szCs w:val="24"/>
          <w:lang w:val="en-GB"/>
        </w:rPr>
        <w:t> </w:t>
      </w:r>
    </w:p>
    <w:p w14:paraId="7C6E6963" w14:textId="77777777" w:rsidR="00C427D0" w:rsidRPr="00C427D0" w:rsidRDefault="00C427D0" w:rsidP="00C427D0">
      <w:pPr>
        <w:spacing w:after="0" w:line="360" w:lineRule="auto"/>
        <w:jc w:val="center"/>
        <w:rPr>
          <w:rFonts w:ascii="Times New Roman" w:eastAsia="Times New Roman" w:hAnsi="Times New Roman" w:cs="Times New Roman"/>
          <w:b/>
          <w:sz w:val="24"/>
          <w:szCs w:val="24"/>
          <w:lang w:val="en-GB"/>
        </w:rPr>
      </w:pPr>
      <w:r w:rsidRPr="00C427D0">
        <w:rPr>
          <w:rFonts w:ascii="Times New Roman" w:eastAsia="Times New Roman" w:hAnsi="Times New Roman" w:cs="Times New Roman"/>
          <w:b/>
          <w:sz w:val="24"/>
          <w:szCs w:val="24"/>
          <w:vertAlign w:val="superscript"/>
          <w:lang w:val="en-GB"/>
        </w:rPr>
        <w:t>1, 2</w:t>
      </w:r>
      <w:r w:rsidRPr="00C427D0">
        <w:rPr>
          <w:rFonts w:ascii="Times New Roman" w:eastAsia="Times New Roman" w:hAnsi="Times New Roman" w:cs="Times New Roman"/>
          <w:b/>
          <w:sz w:val="28"/>
          <w:szCs w:val="24"/>
          <w:vertAlign w:val="superscript"/>
          <w:lang w:val="en-GB"/>
        </w:rPr>
        <w:t>*</w:t>
      </w:r>
      <w:r w:rsidRPr="00C427D0">
        <w:rPr>
          <w:rFonts w:ascii="Times New Roman" w:eastAsia="Times New Roman" w:hAnsi="Times New Roman" w:cs="Times New Roman"/>
          <w:b/>
          <w:sz w:val="24"/>
          <w:szCs w:val="24"/>
          <w:lang w:val="en-GB"/>
        </w:rPr>
        <w:t xml:space="preserve">S.A. Oyeleke*, </w:t>
      </w:r>
      <w:r w:rsidRPr="00C427D0">
        <w:rPr>
          <w:rFonts w:ascii="Times New Roman" w:eastAsia="Times New Roman" w:hAnsi="Times New Roman" w:cs="Times New Roman"/>
          <w:b/>
          <w:sz w:val="24"/>
          <w:szCs w:val="24"/>
          <w:vertAlign w:val="superscript"/>
          <w:lang w:val="en-GB"/>
        </w:rPr>
        <w:t>1</w:t>
      </w:r>
      <w:r w:rsidRPr="00C427D0">
        <w:rPr>
          <w:rFonts w:ascii="Times New Roman" w:eastAsia="Times New Roman" w:hAnsi="Times New Roman" w:cs="Times New Roman"/>
          <w:b/>
          <w:sz w:val="24"/>
          <w:szCs w:val="24"/>
          <w:lang w:val="en-GB"/>
        </w:rPr>
        <w:t xml:space="preserve">S.O. Umukoro, </w:t>
      </w:r>
      <w:r w:rsidRPr="00C427D0">
        <w:rPr>
          <w:rFonts w:ascii="Times New Roman" w:eastAsia="Times New Roman" w:hAnsi="Times New Roman" w:cs="Times New Roman"/>
          <w:b/>
          <w:sz w:val="24"/>
          <w:szCs w:val="24"/>
          <w:vertAlign w:val="superscript"/>
          <w:lang w:val="en-GB"/>
        </w:rPr>
        <w:t>1</w:t>
      </w:r>
      <w:r w:rsidRPr="00C427D0">
        <w:rPr>
          <w:rFonts w:ascii="Times New Roman" w:eastAsia="Times New Roman" w:hAnsi="Times New Roman" w:cs="Times New Roman"/>
          <w:b/>
          <w:sz w:val="24"/>
          <w:szCs w:val="24"/>
          <w:lang w:val="en-GB"/>
        </w:rPr>
        <w:t>A.A. Aderibigbe,</w:t>
      </w:r>
      <w:r w:rsidRPr="00C427D0">
        <w:rPr>
          <w:rFonts w:ascii="Times New Roman" w:eastAsia="Times New Roman" w:hAnsi="Times New Roman" w:cs="Times New Roman"/>
          <w:sz w:val="24"/>
          <w:szCs w:val="24"/>
          <w:lang w:val="en-GB"/>
        </w:rPr>
        <w:t> </w:t>
      </w:r>
      <w:r w:rsidRPr="00C427D0">
        <w:rPr>
          <w:rFonts w:ascii="Times New Roman" w:eastAsia="Times New Roman" w:hAnsi="Times New Roman" w:cs="Times New Roman"/>
          <w:b/>
          <w:sz w:val="24"/>
          <w:szCs w:val="24"/>
          <w:vertAlign w:val="superscript"/>
          <w:lang w:val="en-GB"/>
        </w:rPr>
        <w:t xml:space="preserve"> 1</w:t>
      </w:r>
      <w:r w:rsidRPr="00C427D0">
        <w:rPr>
          <w:rFonts w:ascii="Times New Roman" w:eastAsia="Times New Roman" w:hAnsi="Times New Roman" w:cs="Times New Roman"/>
          <w:b/>
          <w:sz w:val="24"/>
          <w:szCs w:val="24"/>
          <w:lang w:val="en-GB"/>
        </w:rPr>
        <w:t xml:space="preserve">O.G Ademowo, </w:t>
      </w:r>
    </w:p>
    <w:p w14:paraId="32CDED4E" w14:textId="77777777" w:rsidR="00C427D0" w:rsidRPr="00C427D0" w:rsidRDefault="00C427D0" w:rsidP="00C427D0">
      <w:pPr>
        <w:spacing w:after="0" w:line="360" w:lineRule="auto"/>
        <w:jc w:val="center"/>
        <w:rPr>
          <w:rFonts w:ascii="Times New Roman" w:eastAsia="Times New Roman" w:hAnsi="Times New Roman" w:cs="Times New Roman"/>
          <w:sz w:val="24"/>
          <w:szCs w:val="24"/>
          <w:lang w:val="en-GB"/>
        </w:rPr>
      </w:pPr>
    </w:p>
    <w:p w14:paraId="2115AA5F" w14:textId="77777777" w:rsidR="00C427D0" w:rsidRPr="00C427D0" w:rsidRDefault="00C427D0" w:rsidP="00C427D0">
      <w:pPr>
        <w:spacing w:after="0" w:line="360" w:lineRule="auto"/>
        <w:rPr>
          <w:rFonts w:ascii="Times New Roman" w:eastAsia="Times New Roman" w:hAnsi="Times New Roman" w:cs="Times New Roman"/>
          <w:sz w:val="24"/>
          <w:szCs w:val="24"/>
          <w:vertAlign w:val="superscript"/>
          <w:lang w:val="en-GB"/>
        </w:rPr>
      </w:pPr>
    </w:p>
    <w:p w14:paraId="5735BA9A" w14:textId="77777777" w:rsidR="00C427D0" w:rsidRPr="00C427D0" w:rsidRDefault="00C427D0" w:rsidP="00C427D0">
      <w:pPr>
        <w:spacing w:after="0" w:line="360" w:lineRule="auto"/>
        <w:rPr>
          <w:rFonts w:ascii="Times New Roman" w:eastAsia="Times New Roman" w:hAnsi="Times New Roman" w:cs="Times New Roman"/>
          <w:sz w:val="24"/>
          <w:szCs w:val="24"/>
          <w:vertAlign w:val="superscript"/>
          <w:lang w:val="en-GB"/>
        </w:rPr>
      </w:pPr>
    </w:p>
    <w:p w14:paraId="434499B6" w14:textId="77777777" w:rsidR="00C427D0" w:rsidRPr="00C427D0" w:rsidRDefault="00C427D0" w:rsidP="00C427D0">
      <w:pPr>
        <w:spacing w:after="0" w:line="360" w:lineRule="auto"/>
        <w:rPr>
          <w:rFonts w:ascii="Times New Roman" w:eastAsia="Times New Roman" w:hAnsi="Times New Roman" w:cs="Times New Roman"/>
          <w:sz w:val="24"/>
          <w:szCs w:val="24"/>
          <w:vertAlign w:val="superscript"/>
          <w:lang w:val="en-GB"/>
        </w:rPr>
      </w:pPr>
    </w:p>
    <w:p w14:paraId="39C9A6F2" w14:textId="77777777" w:rsidR="00C427D0" w:rsidRPr="00C427D0" w:rsidRDefault="00C427D0" w:rsidP="00C427D0">
      <w:pPr>
        <w:spacing w:after="0" w:line="360" w:lineRule="auto"/>
        <w:rPr>
          <w:rFonts w:ascii="Times New Roman" w:eastAsia="Times New Roman" w:hAnsi="Times New Roman" w:cs="Times New Roman"/>
          <w:sz w:val="24"/>
          <w:szCs w:val="24"/>
          <w:vertAlign w:val="superscript"/>
          <w:lang w:val="en-GB"/>
        </w:rPr>
      </w:pPr>
    </w:p>
    <w:p w14:paraId="081664DD" w14:textId="77777777" w:rsidR="00C427D0" w:rsidRPr="00C427D0" w:rsidRDefault="00C427D0" w:rsidP="00C427D0">
      <w:pPr>
        <w:spacing w:after="0" w:line="360" w:lineRule="auto"/>
        <w:rPr>
          <w:rFonts w:ascii="Times New Roman" w:eastAsia="Times New Roman" w:hAnsi="Times New Roman" w:cs="Times New Roman"/>
          <w:sz w:val="24"/>
          <w:szCs w:val="24"/>
          <w:vertAlign w:val="superscript"/>
          <w:lang w:val="en-GB"/>
        </w:rPr>
      </w:pPr>
    </w:p>
    <w:p w14:paraId="5E2828AE"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vertAlign w:val="superscript"/>
          <w:lang w:val="en-GB"/>
        </w:rPr>
        <w:t>1</w:t>
      </w:r>
      <w:r w:rsidRPr="00C427D0">
        <w:rPr>
          <w:rFonts w:ascii="Times New Roman" w:eastAsia="Times New Roman" w:hAnsi="Times New Roman" w:cs="Times New Roman"/>
          <w:sz w:val="24"/>
          <w:szCs w:val="24"/>
          <w:lang w:val="en-GB"/>
        </w:rPr>
        <w:t xml:space="preserve">Department of Pharmacology &amp; Therapeutics, </w:t>
      </w:r>
    </w:p>
    <w:p w14:paraId="45AD9678"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Faculty of Basic Medical Sciences, </w:t>
      </w:r>
    </w:p>
    <w:p w14:paraId="2F724BB7"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University of Ibadan, Ibadan,</w:t>
      </w:r>
    </w:p>
    <w:p w14:paraId="4ECF8851"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 Oyo State Nigeria. </w:t>
      </w:r>
    </w:p>
    <w:p w14:paraId="0AAD674B"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p>
    <w:p w14:paraId="39604FE2"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vertAlign w:val="superscript"/>
          <w:lang w:val="en-GB"/>
        </w:rPr>
        <w:t>2</w:t>
      </w:r>
      <w:r w:rsidRPr="00C427D0">
        <w:rPr>
          <w:rFonts w:ascii="Times New Roman" w:eastAsia="Times New Roman" w:hAnsi="Times New Roman" w:cs="Times New Roman"/>
          <w:sz w:val="24"/>
          <w:szCs w:val="24"/>
          <w:lang w:val="en-GB"/>
        </w:rPr>
        <w:t xml:space="preserve">*Corresponding Author:  </w:t>
      </w:r>
    </w:p>
    <w:p w14:paraId="3EE56E50"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Department of Pharmacology &amp; Therapeutics, </w:t>
      </w:r>
    </w:p>
    <w:p w14:paraId="02C5CB68"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Faculty of Basic Medical Sciences, </w:t>
      </w:r>
    </w:p>
    <w:p w14:paraId="79190E2C"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College of Health Sciences, </w:t>
      </w:r>
    </w:p>
    <w:p w14:paraId="5141B36F"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University of Ilorin, Ilorin, </w:t>
      </w:r>
    </w:p>
    <w:p w14:paraId="608D870F"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Kwara State, </w:t>
      </w:r>
    </w:p>
    <w:p w14:paraId="30832D35"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Nigeria.  </w:t>
      </w:r>
      <w:hyperlink r:id="rId6" w:history="1">
        <w:r w:rsidRPr="00C427D0">
          <w:rPr>
            <w:rFonts w:ascii="Times New Roman" w:eastAsia="Calibri" w:hAnsi="Times New Roman" w:cs="Times New Roman"/>
            <w:color w:val="0000FF"/>
            <w:sz w:val="24"/>
            <w:szCs w:val="24"/>
            <w:u w:val="single"/>
            <w:lang w:val="en-GB"/>
          </w:rPr>
          <w:t>alakefola@unilorin.edu.ng</w:t>
        </w:r>
      </w:hyperlink>
      <w:r w:rsidRPr="00C427D0">
        <w:rPr>
          <w:rFonts w:ascii="Times New Roman" w:eastAsia="Times New Roman" w:hAnsi="Times New Roman" w:cs="Times New Roman"/>
          <w:sz w:val="24"/>
          <w:szCs w:val="24"/>
          <w:lang w:val="en-GB"/>
        </w:rPr>
        <w:t xml:space="preserve"> and </w:t>
      </w:r>
      <w:hyperlink r:id="rId7" w:history="1">
        <w:r w:rsidRPr="00C427D0">
          <w:rPr>
            <w:rFonts w:ascii="Times New Roman" w:eastAsia="Calibri" w:hAnsi="Times New Roman" w:cs="Times New Roman"/>
            <w:color w:val="0000FF"/>
            <w:sz w:val="24"/>
            <w:szCs w:val="24"/>
            <w:u w:val="single"/>
            <w:lang w:val="en-GB"/>
          </w:rPr>
          <w:t>safoyeleke@yahoo.co.uk</w:t>
        </w:r>
      </w:hyperlink>
      <w:r w:rsidRPr="00C427D0">
        <w:rPr>
          <w:rFonts w:ascii="Times New Roman" w:eastAsia="Times New Roman" w:hAnsi="Times New Roman" w:cs="Times New Roman"/>
          <w:sz w:val="24"/>
          <w:szCs w:val="24"/>
          <w:lang w:val="en-GB"/>
        </w:rPr>
        <w:t xml:space="preserve">  </w:t>
      </w:r>
    </w:p>
    <w:p w14:paraId="336A0D2A"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 GSM NO: +2348030421296</w:t>
      </w:r>
    </w:p>
    <w:p w14:paraId="0687E5F8"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p>
    <w:p w14:paraId="268E092D"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p>
    <w:p w14:paraId="3202D206"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w:t>
      </w:r>
    </w:p>
    <w:p w14:paraId="313FFF61"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p>
    <w:p w14:paraId="7F3505D9"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p>
    <w:p w14:paraId="302E5F54"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p>
    <w:p w14:paraId="7E0BD8FA"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p>
    <w:p w14:paraId="278FE941"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p>
    <w:p w14:paraId="56F434F5"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p>
    <w:p w14:paraId="71A08CBE" w14:textId="77777777" w:rsidR="00C427D0" w:rsidRPr="00C427D0" w:rsidRDefault="00C427D0" w:rsidP="00C427D0">
      <w:pPr>
        <w:spacing w:after="0" w:line="360" w:lineRule="auto"/>
        <w:rPr>
          <w:rFonts w:ascii="Times New Roman" w:eastAsia="Calibri" w:hAnsi="Times New Roman" w:cs="Times New Roman"/>
          <w:b/>
          <w:bCs/>
          <w:sz w:val="24"/>
          <w:szCs w:val="24"/>
          <w:lang w:val="en-GB"/>
        </w:rPr>
      </w:pPr>
    </w:p>
    <w:p w14:paraId="37444AE3" w14:textId="77777777" w:rsidR="00C427D0" w:rsidRPr="00C427D0" w:rsidRDefault="00C427D0" w:rsidP="00C427D0">
      <w:pPr>
        <w:spacing w:after="0" w:line="360" w:lineRule="auto"/>
        <w:rPr>
          <w:rFonts w:ascii="Times New Roman" w:eastAsia="Calibri" w:hAnsi="Times New Roman" w:cs="Times New Roman"/>
          <w:b/>
          <w:bCs/>
          <w:sz w:val="24"/>
          <w:szCs w:val="24"/>
          <w:lang w:val="en-GB"/>
        </w:rPr>
      </w:pPr>
    </w:p>
    <w:p w14:paraId="51F9B5AA" w14:textId="77777777" w:rsidR="00C427D0" w:rsidRPr="00C427D0" w:rsidRDefault="00C427D0" w:rsidP="00C427D0">
      <w:pPr>
        <w:spacing w:after="0" w:line="360" w:lineRule="auto"/>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lastRenderedPageBreak/>
        <w:t>Abstract</w:t>
      </w:r>
    </w:p>
    <w:p w14:paraId="73BB145F" w14:textId="77777777" w:rsidR="00C427D0" w:rsidRPr="00C427D0" w:rsidRDefault="00C427D0" w:rsidP="00C427D0">
      <w:pPr>
        <w:keepNext/>
        <w:spacing w:after="60" w:line="360" w:lineRule="auto"/>
        <w:jc w:val="both"/>
        <w:outlineLvl w:val="3"/>
        <w:rPr>
          <w:rFonts w:ascii="Times New Roman" w:eastAsia="Times New Roman" w:hAnsi="Times New Roman" w:cs="Times New Roman"/>
          <w:b/>
          <w:bCs/>
          <w:sz w:val="24"/>
          <w:szCs w:val="24"/>
          <w:lang w:val="en-GB"/>
        </w:rPr>
      </w:pPr>
      <w:r w:rsidRPr="00C427D0">
        <w:rPr>
          <w:rFonts w:ascii="Times New Roman" w:eastAsia="Times New Roman" w:hAnsi="Times New Roman" w:cs="Times New Roman"/>
          <w:bCs/>
          <w:sz w:val="24"/>
          <w:szCs w:val="24"/>
          <w:lang w:val="en-GB"/>
        </w:rPr>
        <w:t>Ethnopharmacological relevance:</w:t>
      </w:r>
      <w:r w:rsidRPr="00C427D0">
        <w:rPr>
          <w:rFonts w:ascii="Times New Roman" w:eastAsia="Times New Roman" w:hAnsi="Times New Roman" w:cs="Times New Roman"/>
          <w:b/>
          <w:bCs/>
          <w:i/>
          <w:sz w:val="24"/>
          <w:szCs w:val="24"/>
          <w:lang w:val="en-GB"/>
        </w:rPr>
        <w:t xml:space="preserve"> </w:t>
      </w:r>
      <w:r w:rsidRPr="00C427D0">
        <w:rPr>
          <w:rFonts w:ascii="Times New Roman" w:eastAsia="Times New Roman" w:hAnsi="Times New Roman" w:cs="Times New Roman"/>
          <w:bCs/>
          <w:i/>
          <w:sz w:val="24"/>
          <w:szCs w:val="24"/>
          <w:lang w:val="en-GB"/>
        </w:rPr>
        <w:t>Theobroma cacao</w:t>
      </w:r>
      <w:r w:rsidRPr="00C427D0">
        <w:rPr>
          <w:rFonts w:ascii="Times New Roman" w:eastAsia="Times New Roman" w:hAnsi="Times New Roman" w:cs="Times New Roman"/>
          <w:bCs/>
          <w:sz w:val="24"/>
          <w:szCs w:val="24"/>
          <w:lang w:val="en-GB"/>
        </w:rPr>
        <w:t xml:space="preserve"> L. (</w:t>
      </w:r>
      <w:r w:rsidRPr="00C427D0">
        <w:rPr>
          <w:rFonts w:ascii="Calibri" w:eastAsia="Times New Roman" w:hAnsi="Calibri" w:cs="Times New Roman"/>
          <w:bCs/>
          <w:sz w:val="28"/>
          <w:szCs w:val="28"/>
          <w:lang w:val="en-GB"/>
        </w:rPr>
        <w:t>Sterculiaceae</w:t>
      </w:r>
      <w:r w:rsidRPr="00C427D0">
        <w:rPr>
          <w:rFonts w:ascii="Times New Roman" w:eastAsia="Times New Roman" w:hAnsi="Times New Roman" w:cs="Times New Roman"/>
          <w:bCs/>
          <w:sz w:val="24"/>
          <w:szCs w:val="24"/>
          <w:lang w:val="en-GB"/>
        </w:rPr>
        <w:t>) is locally known as ‘koko’ and its stem bark is commonly used for the treatment of a variety of inflammatory painful conditions in Nigerian traditional medicine (personal communication).  This study was designed to evaluate anti-inflammatory and anti-nociceptive activities of the ethanol extract of the stem bark of</w:t>
      </w:r>
      <w:r w:rsidRPr="00C427D0">
        <w:rPr>
          <w:rFonts w:ascii="Times New Roman" w:eastAsia="Times New Roman" w:hAnsi="Times New Roman" w:cs="Times New Roman"/>
          <w:bCs/>
          <w:i/>
          <w:sz w:val="24"/>
          <w:szCs w:val="24"/>
          <w:lang w:val="en-GB"/>
        </w:rPr>
        <w:t xml:space="preserve"> Theobroma cacao</w:t>
      </w:r>
      <w:r w:rsidRPr="00C427D0">
        <w:rPr>
          <w:rFonts w:ascii="Times New Roman" w:eastAsia="Times New Roman" w:hAnsi="Times New Roman" w:cs="Times New Roman"/>
          <w:bCs/>
          <w:sz w:val="24"/>
          <w:szCs w:val="24"/>
          <w:lang w:val="en-GB"/>
        </w:rPr>
        <w:t xml:space="preserve"> (ETC) in rodents.</w:t>
      </w:r>
    </w:p>
    <w:p w14:paraId="6B0963A4" w14:textId="77777777" w:rsidR="00C427D0" w:rsidRPr="00C427D0" w:rsidRDefault="00C427D0" w:rsidP="00C427D0">
      <w:pPr>
        <w:keepNext/>
        <w:spacing w:after="0" w:line="360" w:lineRule="auto"/>
        <w:jc w:val="both"/>
        <w:outlineLvl w:val="3"/>
        <w:rPr>
          <w:rFonts w:ascii="Times New Roman" w:eastAsia="Times New Roman" w:hAnsi="Times New Roman" w:cs="Times New Roman"/>
          <w:b/>
          <w:bCs/>
          <w:sz w:val="24"/>
          <w:szCs w:val="24"/>
          <w:lang w:val="en-GB"/>
        </w:rPr>
      </w:pPr>
      <w:r w:rsidRPr="00C427D0">
        <w:rPr>
          <w:rFonts w:ascii="Times New Roman" w:eastAsia="Times New Roman" w:hAnsi="Times New Roman" w:cs="Times New Roman"/>
          <w:bCs/>
          <w:sz w:val="24"/>
          <w:szCs w:val="24"/>
          <w:lang w:val="en-GB"/>
        </w:rPr>
        <w:t xml:space="preserve">Materials and methods:Anti-inflammatory activity of ETC was assessed using carrageenan- and formaldehyde -induced paw oedema models in rats. Anti-nociceptive effect of ETC was evaluated utilizing mouse writhing, formalin, tail immersion and Randel Selitto pain models in mice and rats. The animals (6 per group) were treated orally with ETC (250, 500 and 1000 mg/kg body weight) 30 min. before induction of inflammation and nociception. Phytochemical screening for active metabolites and acute toxicity study were also investigated using standard methods. </w:t>
      </w:r>
    </w:p>
    <w:p w14:paraId="62407067"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bCs/>
          <w:color w:val="000000"/>
          <w:sz w:val="24"/>
          <w:szCs w:val="24"/>
        </w:rPr>
      </w:pPr>
    </w:p>
    <w:p w14:paraId="5D2519ED"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color w:val="000000"/>
          <w:sz w:val="24"/>
          <w:szCs w:val="24"/>
        </w:rPr>
      </w:pPr>
      <w:r w:rsidRPr="00C427D0">
        <w:rPr>
          <w:rFonts w:ascii="Times New Roman" w:eastAsia="Calibri" w:hAnsi="Times New Roman" w:cs="Times New Roman"/>
          <w:bCs/>
          <w:color w:val="000000"/>
          <w:sz w:val="24"/>
          <w:szCs w:val="24"/>
        </w:rPr>
        <w:t>Results:</w:t>
      </w:r>
      <w:r w:rsidRPr="00C427D0">
        <w:rPr>
          <w:rFonts w:ascii="Times New Roman" w:eastAsia="Calibri" w:hAnsi="Times New Roman" w:cs="Times New Roman"/>
          <w:b/>
          <w:bCs/>
          <w:color w:val="000000"/>
          <w:sz w:val="24"/>
          <w:szCs w:val="24"/>
        </w:rPr>
        <w:t xml:space="preserve"> </w:t>
      </w:r>
      <w:r w:rsidRPr="00C427D0">
        <w:rPr>
          <w:rFonts w:ascii="Times New Roman" w:eastAsia="Calibri" w:hAnsi="Times New Roman" w:cs="Times New Roman"/>
          <w:bCs/>
          <w:color w:val="000000"/>
          <w:sz w:val="24"/>
          <w:szCs w:val="24"/>
        </w:rPr>
        <w:t>Phytochemical screening revealed that ETC contained alkaloids, saponins, terpenoids, flavonoids, cardenolides, steroids and tannins. ETC (250, 500 and 1000 mg/kg, p.o) produced a significant inhibition of oedema formation induced by carrageenan and formaldehyde in rats. ETC also produced a dose-dependent suppression of nociceptive responses induced by acetic acid and formalin in mice. In the Randel Selitto pain model, the extract (250, 500 and 1000 mg/kg, orally) prolonged paw withdrawal latency in both inflamed and non-inflamed hind paw of rats.  However, the extract did not significantly alter the reaction time of mice to noxious heat in the tail immersion test.</w:t>
      </w:r>
      <w:r w:rsidRPr="00C427D0">
        <w:rPr>
          <w:rFonts w:ascii="Times New Roman" w:eastAsia="Calibri" w:hAnsi="Times New Roman" w:cs="Times New Roman"/>
          <w:color w:val="000000"/>
          <w:sz w:val="24"/>
          <w:szCs w:val="24"/>
        </w:rPr>
        <w:t xml:space="preserve"> Acute toxicity study showed that ETC is safe even at a high dose of up to 5,000mg/kg orally in mice. </w:t>
      </w:r>
    </w:p>
    <w:p w14:paraId="73607242"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Conclusion: The ethanol extract of the stem bark of</w:t>
      </w:r>
      <w:r w:rsidRPr="00C427D0">
        <w:rPr>
          <w:rFonts w:ascii="Times New Roman" w:eastAsia="Times New Roman" w:hAnsi="Times New Roman" w:cs="Times New Roman"/>
          <w:b/>
          <w:i/>
          <w:sz w:val="24"/>
          <w:szCs w:val="24"/>
          <w:lang w:val="en-GB"/>
        </w:rPr>
        <w:t xml:space="preserve"> </w:t>
      </w:r>
      <w:r w:rsidRPr="00C427D0">
        <w:rPr>
          <w:rFonts w:ascii="Times New Roman" w:eastAsia="Times New Roman" w:hAnsi="Times New Roman" w:cs="Times New Roman"/>
          <w:i/>
          <w:sz w:val="24"/>
          <w:szCs w:val="24"/>
          <w:lang w:val="en-GB"/>
        </w:rPr>
        <w:t xml:space="preserve">Theobroma cacao contains </w:t>
      </w:r>
      <w:r w:rsidRPr="00C427D0">
        <w:rPr>
          <w:rFonts w:ascii="Times New Roman" w:eastAsia="Calibri" w:hAnsi="Times New Roman" w:cs="Times New Roman"/>
          <w:bCs/>
          <w:sz w:val="24"/>
          <w:szCs w:val="24"/>
          <w:lang w:val="en-GB"/>
        </w:rPr>
        <w:t>phytochemical constituent (s) with anti-inflammatory and anti-nociceptive properties and further support its use for the treatment of ailments associated with inflammation in Nigerian ethnomedicine.</w:t>
      </w:r>
    </w:p>
    <w:p w14:paraId="560C5406" w14:textId="77777777" w:rsidR="00C427D0" w:rsidRPr="00C427D0" w:rsidRDefault="00C427D0" w:rsidP="00C427D0">
      <w:pPr>
        <w:autoSpaceDE w:val="0"/>
        <w:autoSpaceDN w:val="0"/>
        <w:adjustRightInd w:val="0"/>
        <w:spacing w:after="0" w:line="360" w:lineRule="auto"/>
        <w:ind w:left="45"/>
        <w:rPr>
          <w:rFonts w:ascii="Times New Roman" w:eastAsia="Calibri" w:hAnsi="Times New Roman" w:cs="Times New Roman"/>
          <w:sz w:val="24"/>
          <w:szCs w:val="24"/>
          <w:lang w:val="en-GB"/>
        </w:rPr>
      </w:pPr>
      <w:r w:rsidRPr="00C427D0">
        <w:rPr>
          <w:rFonts w:ascii="Times New Roman" w:eastAsia="Calibri" w:hAnsi="Times New Roman" w:cs="Times New Roman"/>
          <w:color w:val="7E653F"/>
          <w:sz w:val="24"/>
          <w:szCs w:val="24"/>
          <w:lang w:val="en-GB"/>
        </w:rPr>
        <w:t xml:space="preserve"> </w:t>
      </w:r>
      <w:r w:rsidRPr="00C427D0">
        <w:rPr>
          <w:rFonts w:ascii="Times New Roman" w:eastAsia="Calibri" w:hAnsi="Times New Roman" w:cs="Times New Roman"/>
          <w:bCs/>
          <w:sz w:val="24"/>
          <w:szCs w:val="24"/>
          <w:lang w:val="en-GB"/>
        </w:rPr>
        <w:t xml:space="preserve">Key words: </w:t>
      </w:r>
      <w:r w:rsidRPr="00C427D0">
        <w:rPr>
          <w:rFonts w:ascii="Times New Roman" w:eastAsia="Calibri" w:hAnsi="Times New Roman" w:cs="Times New Roman"/>
          <w:bCs/>
          <w:i/>
          <w:sz w:val="24"/>
          <w:szCs w:val="24"/>
          <w:lang w:val="en-GB"/>
        </w:rPr>
        <w:t>Theobroma cacao</w:t>
      </w:r>
      <w:r w:rsidRPr="00C427D0">
        <w:rPr>
          <w:rFonts w:ascii="Times New Roman" w:eastAsia="Calibri" w:hAnsi="Times New Roman" w:cs="Times New Roman"/>
          <w:sz w:val="24"/>
          <w:szCs w:val="24"/>
          <w:lang w:val="en-GB"/>
        </w:rPr>
        <w:t>, anti-inflammatory, antinociceptive, carraageenan.</w:t>
      </w:r>
    </w:p>
    <w:p w14:paraId="3200425F" w14:textId="77777777" w:rsidR="00C427D0" w:rsidRPr="00C427D0" w:rsidRDefault="00C427D0" w:rsidP="00C427D0">
      <w:pPr>
        <w:spacing w:after="200" w:line="360" w:lineRule="auto"/>
        <w:rPr>
          <w:rFonts w:ascii="Times New Roman" w:eastAsia="Calibri" w:hAnsi="Times New Roman" w:cs="Times New Roman"/>
          <w:sz w:val="24"/>
          <w:szCs w:val="24"/>
          <w:lang w:val="en-GB"/>
        </w:rPr>
      </w:pPr>
    </w:p>
    <w:p w14:paraId="4EFF0855" w14:textId="77777777" w:rsidR="00C427D0" w:rsidRPr="00C427D0" w:rsidRDefault="00C427D0" w:rsidP="00C427D0">
      <w:pPr>
        <w:spacing w:after="100" w:afterAutospacing="1" w:line="360" w:lineRule="auto"/>
        <w:ind w:left="360"/>
        <w:rPr>
          <w:rFonts w:ascii="Times New Roman" w:eastAsia="Times New Roman" w:hAnsi="Times New Roman" w:cs="Times New Roman"/>
          <w:b/>
          <w:bCs/>
          <w:sz w:val="24"/>
          <w:szCs w:val="24"/>
          <w:lang w:val="en-GB"/>
        </w:rPr>
      </w:pPr>
    </w:p>
    <w:p w14:paraId="28EF8C35" w14:textId="77777777" w:rsidR="00C427D0" w:rsidRPr="00C427D0" w:rsidRDefault="00C427D0" w:rsidP="00C427D0">
      <w:pPr>
        <w:spacing w:after="100" w:afterAutospacing="1" w:line="360" w:lineRule="auto"/>
        <w:ind w:left="360"/>
        <w:rPr>
          <w:rFonts w:ascii="Times New Roman" w:eastAsia="Times New Roman" w:hAnsi="Times New Roman" w:cs="Times New Roman"/>
          <w:b/>
          <w:bCs/>
          <w:sz w:val="24"/>
          <w:szCs w:val="24"/>
          <w:lang w:val="en-GB"/>
        </w:rPr>
      </w:pPr>
    </w:p>
    <w:p w14:paraId="08E2933E" w14:textId="77777777" w:rsidR="00C427D0" w:rsidRPr="00C427D0" w:rsidRDefault="00C427D0" w:rsidP="00C427D0">
      <w:pPr>
        <w:spacing w:after="100" w:afterAutospacing="1" w:line="360" w:lineRule="auto"/>
        <w:ind w:left="360"/>
        <w:rPr>
          <w:rFonts w:ascii="Times New Roman" w:eastAsia="Times New Roman" w:hAnsi="Times New Roman" w:cs="Times New Roman"/>
          <w:b/>
          <w:bCs/>
          <w:sz w:val="24"/>
          <w:szCs w:val="24"/>
          <w:lang w:val="en-GB"/>
        </w:rPr>
      </w:pPr>
    </w:p>
    <w:p w14:paraId="773757A9" w14:textId="77777777" w:rsidR="00C427D0" w:rsidRPr="00C427D0" w:rsidRDefault="00C427D0" w:rsidP="00C427D0">
      <w:pPr>
        <w:spacing w:after="100" w:afterAutospacing="1" w:line="360" w:lineRule="auto"/>
        <w:ind w:left="360"/>
        <w:rPr>
          <w:rFonts w:ascii="Times New Roman" w:eastAsia="Times New Roman" w:hAnsi="Times New Roman" w:cs="Times New Roman"/>
          <w:b/>
          <w:bCs/>
          <w:sz w:val="24"/>
          <w:szCs w:val="24"/>
          <w:lang w:val="en-GB"/>
        </w:rPr>
      </w:pPr>
    </w:p>
    <w:p w14:paraId="212AD9B2" w14:textId="77777777" w:rsidR="00C427D0" w:rsidRPr="00C427D0" w:rsidRDefault="00C427D0" w:rsidP="00C427D0">
      <w:pPr>
        <w:numPr>
          <w:ilvl w:val="0"/>
          <w:numId w:val="4"/>
        </w:numPr>
        <w:spacing w:after="0" w:line="360" w:lineRule="auto"/>
        <w:rPr>
          <w:rFonts w:ascii="Times New Roman" w:eastAsia="Times New Roman" w:hAnsi="Times New Roman" w:cs="Times New Roman"/>
          <w:b/>
          <w:bCs/>
          <w:sz w:val="24"/>
          <w:szCs w:val="24"/>
          <w:lang w:val="en-GB"/>
        </w:rPr>
      </w:pPr>
      <w:r w:rsidRPr="00C427D0">
        <w:rPr>
          <w:rFonts w:ascii="Times New Roman" w:eastAsia="Times New Roman" w:hAnsi="Times New Roman" w:cs="Times New Roman"/>
          <w:b/>
          <w:bCs/>
          <w:sz w:val="24"/>
          <w:szCs w:val="24"/>
          <w:lang w:val="en-GB"/>
        </w:rPr>
        <w:t>Introduction</w:t>
      </w:r>
    </w:p>
    <w:p w14:paraId="03EE3957" w14:textId="77777777" w:rsidR="00C427D0" w:rsidRPr="00C427D0" w:rsidRDefault="00C427D0" w:rsidP="00C427D0">
      <w:pPr>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Inflammation is regarded as an important signal of ongoing pathological conditions that usually arrest the attention of the patients (van Kempen et al., 2006; Rang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2007). It is associated with tissue injury, which triggers the release of chemical mediators; which in turns</w:t>
      </w:r>
      <w:r w:rsidRPr="00C427D0">
        <w:rPr>
          <w:rFonts w:ascii="Times New Roman" w:eastAsia="Calibri" w:hAnsi="Times New Roman" w:cs="Times New Roman"/>
          <w:bCs/>
          <w:sz w:val="24"/>
          <w:szCs w:val="24"/>
          <w:lang w:val="en-GB"/>
        </w:rPr>
        <w:t xml:space="preserve"> causes pain and</w:t>
      </w:r>
      <w:r w:rsidRPr="00C427D0">
        <w:rPr>
          <w:rFonts w:ascii="Times New Roman" w:eastAsia="Calibri" w:hAnsi="Times New Roman" w:cs="Times New Roman"/>
          <w:sz w:val="24"/>
          <w:szCs w:val="24"/>
          <w:lang w:val="en-GB"/>
        </w:rPr>
        <w:t xml:space="preserve"> drives the i</w:t>
      </w:r>
      <w:r w:rsidRPr="00C427D0">
        <w:rPr>
          <w:rFonts w:ascii="Times New Roman" w:eastAsia="Calibri" w:hAnsi="Times New Roman" w:cs="Times New Roman"/>
          <w:bCs/>
          <w:sz w:val="24"/>
          <w:szCs w:val="24"/>
          <w:lang w:val="en-GB"/>
        </w:rPr>
        <w:t xml:space="preserve">nflammatory processes.  </w:t>
      </w:r>
      <w:r w:rsidRPr="00C427D0">
        <w:rPr>
          <w:rFonts w:ascii="Times New Roman" w:eastAsia="Calibri" w:hAnsi="Times New Roman" w:cs="Times New Roman"/>
          <w:sz w:val="24"/>
          <w:szCs w:val="24"/>
          <w:lang w:val="en-GB"/>
        </w:rPr>
        <w:t>Rheumatoid arthritis (RA) is one of the most common debilitating chronic inflammatory disorders</w:t>
      </w:r>
      <w:r w:rsidRPr="00C427D0">
        <w:rPr>
          <w:rFonts w:ascii="Times New Roman" w:eastAsia="Calibri" w:hAnsi="Times New Roman" w:cs="Times New Roman"/>
          <w:bCs/>
          <w:sz w:val="24"/>
          <w:szCs w:val="24"/>
          <w:lang w:val="en-GB"/>
        </w:rPr>
        <w:t xml:space="preserve"> that are still imposing a major</w:t>
      </w:r>
      <w:r w:rsidRPr="00C427D0">
        <w:rPr>
          <w:rFonts w:ascii="Times New Roman" w:eastAsia="Calibri" w:hAnsi="Times New Roman" w:cs="Times New Roman"/>
          <w:sz w:val="24"/>
          <w:szCs w:val="24"/>
          <w:lang w:val="en-GB"/>
        </w:rPr>
        <w:t xml:space="preserve"> challenge to modern medicine.  RA is known to impair the quality of life of the sufferers and affect the </w:t>
      </w:r>
      <w:r w:rsidRPr="00C427D0">
        <w:rPr>
          <w:rFonts w:ascii="Times New Roman" w:eastAsia="Calibri" w:hAnsi="Times New Roman" w:cs="Times New Roman"/>
          <w:bCs/>
          <w:sz w:val="24"/>
          <w:szCs w:val="24"/>
          <w:lang w:val="en-GB"/>
        </w:rPr>
        <w:t>g</w:t>
      </w:r>
      <w:r w:rsidRPr="00C427D0">
        <w:rPr>
          <w:rFonts w:ascii="Times New Roman" w:eastAsia="Calibri" w:hAnsi="Times New Roman" w:cs="Times New Roman"/>
          <w:sz w:val="24"/>
          <w:szCs w:val="24"/>
          <w:lang w:val="en-GB"/>
        </w:rPr>
        <w:t>eneral productivity of the individuals (</w:t>
      </w:r>
      <w:r w:rsidRPr="00C427D0">
        <w:rPr>
          <w:rFonts w:ascii="Times New Roman" w:eastAsia="Calibri" w:hAnsi="Times New Roman" w:cs="Times New Roman"/>
          <w:color w:val="000000"/>
          <w:sz w:val="24"/>
          <w:szCs w:val="24"/>
          <w:lang w:val="en-GB"/>
        </w:rPr>
        <w:t xml:space="preserve">Ciezaa and Stucki, 2004; </w:t>
      </w:r>
      <w:r w:rsidRPr="00C427D0">
        <w:rPr>
          <w:rFonts w:ascii="Times New Roman" w:eastAsia="Calibri" w:hAnsi="Times New Roman" w:cs="Times New Roman"/>
          <w:sz w:val="24"/>
          <w:szCs w:val="24"/>
          <w:lang w:val="en-GB"/>
        </w:rPr>
        <w:t xml:space="preserve">Haroon et al., 2007). Inhibition of the release of chemical mediators is the key therapeutic target for the treatment of inflammatory diseases like RA. Therefore, current therapeutic approach in the therapy of RA is generally based on the inhibition of release of inflammatory mediators especially prostaglandins (Roberts and Morrow, 2001).   However, the clinical efficacy of these drugs especially for prolonged use has been compromised by incidence of serious adverse effects such as severe gastrointestinal and cardiovascular complications which necessitates the need to search for newer agents that are safer and more tolerable for the treatment of inflammation and pains (Vane and Botting, 1998; Emery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1999).</w:t>
      </w:r>
    </w:p>
    <w:p w14:paraId="651A7081" w14:textId="77777777" w:rsidR="00C427D0" w:rsidRPr="00C427D0" w:rsidRDefault="00C427D0" w:rsidP="00C427D0">
      <w:pPr>
        <w:spacing w:after="0" w:line="360" w:lineRule="auto"/>
        <w:jc w:val="both"/>
        <w:rPr>
          <w:rFonts w:ascii="Times New Roman" w:eastAsia="Times New Roman" w:hAnsi="Times New Roman" w:cs="Times New Roman"/>
          <w:i/>
          <w:sz w:val="24"/>
          <w:szCs w:val="24"/>
          <w:lang w:val="en-GB"/>
        </w:rPr>
      </w:pPr>
      <w:r w:rsidRPr="00C427D0">
        <w:rPr>
          <w:rFonts w:ascii="Times New Roman" w:eastAsia="Calibri" w:hAnsi="Times New Roman" w:cs="Times New Roman"/>
          <w:sz w:val="24"/>
          <w:szCs w:val="24"/>
          <w:lang w:val="en-GB"/>
        </w:rPr>
        <w:t xml:space="preserve"> In this context, the search for new medicines are now focused on the development of bioactive compounds from medicinal plants that are generally believed to be safer and cheaper for the treatment of inflammatory disorders (Vandebroek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2004). There are various Nigerian ethno-botanical plants that are widely prescribed by traditional medical practitioners for the management of patients with RA in Nigerian (Talhouk et al., 2007; Akah and Nwambie, 1994).</w:t>
      </w:r>
      <w:r w:rsidRPr="00C427D0">
        <w:rPr>
          <w:rFonts w:ascii="Times New Roman" w:eastAsia="Times New Roman" w:hAnsi="Times New Roman" w:cs="Times New Roman"/>
          <w:i/>
          <w:sz w:val="24"/>
          <w:szCs w:val="24"/>
          <w:lang w:val="en-GB"/>
        </w:rPr>
        <w:t xml:space="preserve"> </w:t>
      </w:r>
    </w:p>
    <w:p w14:paraId="425B0404"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sz w:val="24"/>
          <w:szCs w:val="24"/>
          <w:lang w:val="en-GB"/>
        </w:rPr>
      </w:pPr>
      <w:r w:rsidRPr="00C427D0">
        <w:rPr>
          <w:rFonts w:ascii="Times New Roman" w:eastAsia="Times New Roman" w:hAnsi="Times New Roman" w:cs="Times New Roman"/>
          <w:i/>
          <w:sz w:val="24"/>
          <w:szCs w:val="24"/>
          <w:lang w:val="en-GB"/>
        </w:rPr>
        <w:t>Theobroma cacao L, (</w:t>
      </w:r>
      <w:r w:rsidRPr="00C427D0">
        <w:rPr>
          <w:rFonts w:ascii="Times New Roman" w:eastAsia="Times New Roman" w:hAnsi="Times New Roman" w:cs="Times New Roman"/>
          <w:sz w:val="24"/>
          <w:szCs w:val="24"/>
          <w:lang w:val="en-GB"/>
        </w:rPr>
        <w:t>Sterculiaceae) is commonly known as</w:t>
      </w:r>
      <w:r w:rsidRPr="00C427D0">
        <w:rPr>
          <w:rFonts w:ascii="Times New Roman" w:eastAsia="Times New Roman" w:hAnsi="Times New Roman" w:cs="Times New Roman"/>
          <w:i/>
          <w:sz w:val="24"/>
          <w:szCs w:val="24"/>
          <w:lang w:val="en-GB"/>
        </w:rPr>
        <w:t xml:space="preserve"> </w:t>
      </w:r>
      <w:r w:rsidRPr="00C427D0">
        <w:rPr>
          <w:rFonts w:ascii="Times New Roman" w:eastAsia="Times New Roman" w:hAnsi="Times New Roman" w:cs="Times New Roman"/>
          <w:sz w:val="24"/>
          <w:szCs w:val="24"/>
          <w:lang w:val="en-GB"/>
        </w:rPr>
        <w:t xml:space="preserve">Cocoa tree with indigenous names as </w:t>
      </w:r>
      <w:r w:rsidRPr="00C427D0">
        <w:rPr>
          <w:rFonts w:ascii="Times New Roman" w:eastAsia="Times New Roman" w:hAnsi="Times New Roman" w:cs="Times New Roman"/>
          <w:i/>
          <w:sz w:val="24"/>
          <w:szCs w:val="24"/>
          <w:lang w:val="en-GB"/>
        </w:rPr>
        <w:t>“Koko”</w:t>
      </w:r>
      <w:r w:rsidRPr="00C427D0">
        <w:rPr>
          <w:rFonts w:ascii="Times New Roman" w:eastAsia="Times New Roman" w:hAnsi="Times New Roman" w:cs="Times New Roman"/>
          <w:sz w:val="24"/>
          <w:szCs w:val="24"/>
          <w:lang w:val="en-GB"/>
        </w:rPr>
        <w:t xml:space="preserve"> in Yoruba and </w:t>
      </w:r>
      <w:r w:rsidRPr="00C427D0">
        <w:rPr>
          <w:rFonts w:ascii="Times New Roman" w:eastAsia="Calibri" w:hAnsi="Times New Roman" w:cs="Times New Roman"/>
          <w:sz w:val="24"/>
          <w:szCs w:val="24"/>
          <w:lang w:val="en-GB"/>
        </w:rPr>
        <w:t xml:space="preserve">is cultivated in the tropical regions of the world for its nutritional and medicinal values (Wood and Lass, 2001). The leaves, seeds, fruit and root bark of the cocoa tree contain several chemical constituents and the extracts from these parts are used to treat anxiety, malaria, depression, fatigue, fever, coughs, kidney stones, inflammatory disorders, cardiovascular diseases and infections (Ding et al., 2006; Taubert et al., 2007; Mizpah, 2010; Idowu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2010). </w:t>
      </w:r>
    </w:p>
    <w:p w14:paraId="38B5F0A9" w14:textId="77777777" w:rsidR="00C427D0" w:rsidRPr="00C427D0" w:rsidRDefault="00C427D0" w:rsidP="00C427D0">
      <w:pPr>
        <w:autoSpaceDE w:val="0"/>
        <w:autoSpaceDN w:val="0"/>
        <w:adjustRightInd w:val="0"/>
        <w:spacing w:after="0" w:line="240" w:lineRule="auto"/>
        <w:jc w:val="both"/>
        <w:rPr>
          <w:rFonts w:ascii="Times New Roman" w:eastAsia="Calibri" w:hAnsi="Times New Roman" w:cs="Times New Roman"/>
          <w:sz w:val="24"/>
          <w:szCs w:val="24"/>
          <w:lang w:val="en-GB"/>
        </w:rPr>
      </w:pPr>
    </w:p>
    <w:p w14:paraId="36DE49C1"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Anti-inflammatory effect and membrane stabilizing activity of the root extract of </w:t>
      </w:r>
      <w:r w:rsidRPr="00C427D0">
        <w:rPr>
          <w:rFonts w:ascii="Times New Roman" w:eastAsia="Calibri" w:hAnsi="Times New Roman" w:cs="Times New Roman"/>
          <w:i/>
          <w:iCs/>
          <w:sz w:val="24"/>
          <w:szCs w:val="24"/>
          <w:lang w:val="en-GB"/>
        </w:rPr>
        <w:t>Theobroma cacao</w:t>
      </w:r>
      <w:r w:rsidRPr="00C427D0">
        <w:rPr>
          <w:rFonts w:ascii="Times New Roman" w:eastAsia="Calibri" w:hAnsi="Times New Roman" w:cs="Times New Roman"/>
          <w:sz w:val="24"/>
          <w:szCs w:val="24"/>
          <w:lang w:val="en-GB"/>
        </w:rPr>
        <w:t xml:space="preserve"> has been reported in literature (Oyedapo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2004; Falade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2005).  Abrokwah </w:t>
      </w:r>
      <w:r w:rsidRPr="00C427D0">
        <w:rPr>
          <w:rFonts w:ascii="Times New Roman" w:eastAsia="Calibri" w:hAnsi="Times New Roman" w:cs="Times New Roman"/>
          <w:i/>
          <w:sz w:val="24"/>
          <w:szCs w:val="24"/>
          <w:lang w:val="en-GB"/>
        </w:rPr>
        <w:t xml:space="preserve">et </w:t>
      </w:r>
      <w:r w:rsidRPr="00C427D0">
        <w:rPr>
          <w:rFonts w:ascii="Times New Roman" w:eastAsia="Calibri" w:hAnsi="Times New Roman" w:cs="Times New Roman"/>
          <w:i/>
          <w:sz w:val="24"/>
          <w:szCs w:val="24"/>
          <w:lang w:val="en-GB"/>
        </w:rPr>
        <w:lastRenderedPageBreak/>
        <w:t>al</w:t>
      </w:r>
      <w:r w:rsidRPr="00C427D0">
        <w:rPr>
          <w:rFonts w:ascii="Times New Roman" w:eastAsia="Calibri" w:hAnsi="Times New Roman" w:cs="Times New Roman"/>
          <w:sz w:val="24"/>
          <w:szCs w:val="24"/>
          <w:lang w:val="en-GB"/>
        </w:rPr>
        <w:t xml:space="preserve">. (2009) reported a significant increase in total cholesterol, low density lipoprotein (LDL) and a significant increase in the white blood cells, in experimental rats fed with cocoa powder. In vivo antimalarial properties have been established with cocoa powder in </w:t>
      </w:r>
      <w:r w:rsidRPr="00C427D0">
        <w:rPr>
          <w:rFonts w:ascii="Times New Roman" w:eastAsia="Calibri" w:hAnsi="Times New Roman" w:cs="Times New Roman"/>
          <w:i/>
          <w:sz w:val="24"/>
          <w:szCs w:val="24"/>
          <w:lang w:val="en-GB"/>
        </w:rPr>
        <w:t>P. beghei</w:t>
      </w:r>
      <w:r w:rsidRPr="00C427D0">
        <w:rPr>
          <w:rFonts w:ascii="Times New Roman" w:eastAsia="Calibri" w:hAnsi="Times New Roman" w:cs="Times New Roman"/>
          <w:sz w:val="24"/>
          <w:szCs w:val="24"/>
          <w:lang w:val="en-GB"/>
        </w:rPr>
        <w:t xml:space="preserve"> in murine model (Jaiyeola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2011). Significant suppression of the growth of periodontal pathogenic bacteria by cocoa in concentration- and incubation time-dependent manners and prevention of dental cary have also been reported by some workers (Chinami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2010).</w:t>
      </w:r>
    </w:p>
    <w:p w14:paraId="08C03A19"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 Numerous other works have been done (including clinical trials) using cocoa root stem bark (Oyedapo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2004) powder and chocolate consumption as the main foci to demonstrate anti-inflammatory, cardio protective properties of cocoa flavanols (</w:t>
      </w:r>
      <w:r w:rsidRPr="00C427D0">
        <w:rPr>
          <w:rFonts w:ascii="Times New Roman" w:eastAsia="Calibri" w:hAnsi="Times New Roman" w:cs="Times New Roman"/>
          <w:color w:val="FF0000"/>
          <w:sz w:val="24"/>
          <w:szCs w:val="24"/>
          <w:lang w:val="en-GB"/>
        </w:rPr>
        <w:t xml:space="preserve"> </w:t>
      </w:r>
      <w:r w:rsidRPr="00C427D0">
        <w:rPr>
          <w:rFonts w:ascii="Times New Roman" w:eastAsia="Calibri" w:hAnsi="Times New Roman" w:cs="Times New Roman"/>
          <w:sz w:val="24"/>
          <w:szCs w:val="24"/>
          <w:lang w:val="en-GB"/>
        </w:rPr>
        <w:t xml:space="preserve">Monagas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2009) respectively.</w:t>
      </w:r>
    </w:p>
    <w:p w14:paraId="51818169"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Literature survey of previous studies revealed numerous scientific investigations on ethno-medicinal uses of cocoa beans but apparently no information on the use of the stem bark of</w:t>
      </w:r>
      <w:r w:rsidRPr="00C427D0">
        <w:rPr>
          <w:rFonts w:ascii="Times New Roman" w:eastAsia="Calibri" w:hAnsi="Times New Roman" w:cs="Times New Roman"/>
          <w:i/>
          <w:sz w:val="24"/>
          <w:szCs w:val="24"/>
          <w:lang w:val="en-GB"/>
        </w:rPr>
        <w:t xml:space="preserve"> T. cacao </w:t>
      </w:r>
      <w:r w:rsidRPr="00C427D0">
        <w:rPr>
          <w:rFonts w:ascii="Times New Roman" w:eastAsia="Calibri" w:hAnsi="Times New Roman" w:cs="Times New Roman"/>
          <w:sz w:val="24"/>
          <w:szCs w:val="24"/>
          <w:lang w:val="en-GB"/>
        </w:rPr>
        <w:t xml:space="preserve">for the treatment of inflammatory disorders. </w:t>
      </w:r>
    </w:p>
    <w:p w14:paraId="704E790D"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color w:val="000000"/>
          <w:sz w:val="24"/>
          <w:szCs w:val="24"/>
        </w:rPr>
      </w:pPr>
      <w:r w:rsidRPr="00C427D0">
        <w:rPr>
          <w:rFonts w:ascii="Times New Roman" w:eastAsia="Calibri" w:hAnsi="Times New Roman" w:cs="Times New Roman"/>
          <w:color w:val="000000"/>
          <w:sz w:val="24"/>
          <w:szCs w:val="24"/>
        </w:rPr>
        <w:t xml:space="preserve"> The main objective of the present study was to evaluate the anti-inflammatory and anti-nociceptive activities of the bark extract of </w:t>
      </w:r>
      <w:r w:rsidRPr="00C427D0">
        <w:rPr>
          <w:rFonts w:ascii="Times New Roman" w:eastAsia="Calibri" w:hAnsi="Times New Roman" w:cs="Times New Roman"/>
          <w:i/>
          <w:color w:val="000000"/>
          <w:sz w:val="24"/>
          <w:szCs w:val="24"/>
        </w:rPr>
        <w:t>T. cacao</w:t>
      </w:r>
      <w:r w:rsidRPr="00C427D0">
        <w:rPr>
          <w:rFonts w:ascii="Times New Roman" w:eastAsia="Calibri" w:hAnsi="Times New Roman" w:cs="Times New Roman"/>
          <w:color w:val="000000"/>
          <w:sz w:val="24"/>
          <w:szCs w:val="24"/>
        </w:rPr>
        <w:t xml:space="preserve"> in animal models in view of its use in the local treatment of some painful inflammatory conditions.</w:t>
      </w:r>
    </w:p>
    <w:p w14:paraId="0D86D4BF" w14:textId="77777777" w:rsidR="00C427D0" w:rsidRPr="00C427D0" w:rsidRDefault="00C427D0" w:rsidP="00C427D0">
      <w:pPr>
        <w:numPr>
          <w:ilvl w:val="0"/>
          <w:numId w:val="4"/>
        </w:numPr>
        <w:spacing w:after="0" w:line="36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Materials and methods</w:t>
      </w:r>
    </w:p>
    <w:p w14:paraId="089C61F5" w14:textId="77777777" w:rsidR="00C427D0" w:rsidRPr="00C427D0" w:rsidRDefault="00C427D0" w:rsidP="00C427D0">
      <w:pPr>
        <w:spacing w:after="0" w:line="36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sz w:val="24"/>
          <w:szCs w:val="24"/>
          <w:lang w:val="en-GB"/>
        </w:rPr>
        <w:t xml:space="preserve">2.1 Laboratory </w:t>
      </w:r>
      <w:r w:rsidRPr="00C427D0">
        <w:rPr>
          <w:rFonts w:ascii="Times New Roman" w:eastAsia="Calibri" w:hAnsi="Times New Roman" w:cs="Times New Roman"/>
          <w:b/>
          <w:bCs/>
          <w:sz w:val="24"/>
          <w:szCs w:val="24"/>
          <w:lang w:val="en-GB"/>
        </w:rPr>
        <w:t xml:space="preserve">animals </w:t>
      </w:r>
    </w:p>
    <w:p w14:paraId="72669AD0" w14:textId="77777777" w:rsidR="00C427D0" w:rsidRPr="00C427D0" w:rsidRDefault="00C427D0" w:rsidP="00C427D0">
      <w:pPr>
        <w:spacing w:after="0" w:line="360" w:lineRule="auto"/>
        <w:jc w:val="center"/>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Male &amp; female Swiss albino mice (18-22 g)</w:t>
      </w:r>
      <w:r w:rsidRPr="00C427D0">
        <w:rPr>
          <w:rFonts w:ascii="Times New Roman" w:eastAsia="Calibri" w:hAnsi="Times New Roman" w:cs="Times New Roman"/>
          <w:color w:val="000000"/>
          <w:sz w:val="24"/>
          <w:szCs w:val="24"/>
          <w:lang w:val="en-GB"/>
        </w:rPr>
        <w:t xml:space="preserve"> and male Wistar</w:t>
      </w:r>
      <w:r w:rsidRPr="00C427D0">
        <w:rPr>
          <w:rFonts w:ascii="Times New Roman" w:eastAsia="Calibri" w:hAnsi="Times New Roman" w:cs="Times New Roman"/>
          <w:color w:val="FF0000"/>
          <w:sz w:val="24"/>
          <w:szCs w:val="24"/>
          <w:lang w:val="en-GB"/>
        </w:rPr>
        <w:t xml:space="preserve"> </w:t>
      </w:r>
      <w:r w:rsidRPr="00C427D0">
        <w:rPr>
          <w:rFonts w:ascii="Times New Roman" w:eastAsia="Calibri" w:hAnsi="Times New Roman" w:cs="Times New Roman"/>
          <w:color w:val="000000"/>
          <w:sz w:val="24"/>
          <w:szCs w:val="24"/>
          <w:lang w:val="en-GB"/>
        </w:rPr>
        <w:t>rats (150-200 g)</w:t>
      </w:r>
      <w:r w:rsidRPr="00C427D0">
        <w:rPr>
          <w:rFonts w:ascii="Times New Roman" w:eastAsia="Calibri" w:hAnsi="Times New Roman" w:cs="Times New Roman"/>
          <w:sz w:val="24"/>
          <w:szCs w:val="24"/>
          <w:lang w:val="en-GB"/>
        </w:rPr>
        <w:t xml:space="preserve"> used for the study were purchased from the central animal house, University of Ibadan, Nigeria. They were kept in a well-ventilated environment with free access to food (rodent pellets from Ladokun Feeds) and water </w:t>
      </w:r>
      <w:r w:rsidRPr="00C427D0">
        <w:rPr>
          <w:rFonts w:ascii="Times New Roman" w:eastAsia="Calibri" w:hAnsi="Times New Roman" w:cs="Times New Roman"/>
          <w:i/>
          <w:sz w:val="24"/>
          <w:szCs w:val="24"/>
          <w:lang w:val="en-GB"/>
        </w:rPr>
        <w:t>ad libitum</w:t>
      </w:r>
      <w:r w:rsidRPr="00C427D0">
        <w:rPr>
          <w:rFonts w:ascii="Times New Roman" w:eastAsia="Calibri" w:hAnsi="Times New Roman" w:cs="Times New Roman"/>
          <w:sz w:val="24"/>
          <w:szCs w:val="24"/>
          <w:lang w:val="en-GB"/>
        </w:rPr>
        <w:t>. Experimental protocols were carried out in compliance with the guidelines of the University of Ibadan Ethical Committee on use of laboratory animals (</w:t>
      </w:r>
      <w:r w:rsidRPr="00C427D0">
        <w:rPr>
          <w:rFonts w:ascii="Times New Roman" w:eastAsia="Times New Roman" w:hAnsi="Times New Roman" w:cs="Times New Roman"/>
          <w:sz w:val="24"/>
          <w:szCs w:val="24"/>
          <w:lang w:val="en-GB"/>
        </w:rPr>
        <w:t>Ethical Approval No:UI-ACUREC/App/2014/007</w:t>
      </w:r>
      <w:r w:rsidRPr="00C427D0">
        <w:rPr>
          <w:rFonts w:ascii="Times New Roman" w:eastAsia="Calibri" w:hAnsi="Times New Roman" w:cs="Times New Roman"/>
          <w:sz w:val="24"/>
          <w:szCs w:val="24"/>
          <w:lang w:val="en-GB"/>
        </w:rPr>
        <w:t xml:space="preserve">). </w:t>
      </w:r>
    </w:p>
    <w:p w14:paraId="654E2136"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
          <w:bCs/>
          <w:sz w:val="24"/>
          <w:szCs w:val="24"/>
          <w:lang w:val="en-GB"/>
        </w:rPr>
        <w:t>2.2 Drugs and chemicals</w:t>
      </w:r>
      <w:r w:rsidRPr="00C427D0">
        <w:rPr>
          <w:rFonts w:ascii="Times New Roman" w:eastAsia="Calibri" w:hAnsi="Times New Roman" w:cs="Times New Roman"/>
          <w:bCs/>
          <w:sz w:val="24"/>
          <w:szCs w:val="24"/>
          <w:lang w:val="en-GB"/>
        </w:rPr>
        <w:t xml:space="preserve"> </w:t>
      </w:r>
    </w:p>
    <w:p w14:paraId="015CF401"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Chemical substances studied in this article</w:t>
      </w:r>
    </w:p>
    <w:p w14:paraId="6609869B" w14:textId="77777777" w:rsidR="00C427D0" w:rsidRPr="00C427D0" w:rsidRDefault="00C427D0" w:rsidP="00C427D0">
      <w:pPr>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Acetic acid ( BDH, England; PubChem CID: 176), Acetylsalicylic acid (BDH, England; PubChem CID: 2244) Morphine(PubChem CID: 5288826) Ethanol (PubChem CID: 702), Formaldehyde(BDH, England; PubChem CID: 712) and Dimethylsulfoxide (ANALAR, BDH, England; PubChem CID: 679) and Carrageenan were used in the study.</w:t>
      </w:r>
    </w:p>
    <w:p w14:paraId="167DC3A6" w14:textId="77777777" w:rsidR="00C427D0" w:rsidRPr="00C427D0" w:rsidRDefault="00C427D0" w:rsidP="00C427D0">
      <w:pPr>
        <w:spacing w:after="0" w:line="36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sz w:val="24"/>
          <w:szCs w:val="24"/>
          <w:lang w:val="en-GB"/>
        </w:rPr>
        <w:t xml:space="preserve">  </w:t>
      </w:r>
      <w:r w:rsidRPr="00C427D0">
        <w:rPr>
          <w:rFonts w:ascii="Times New Roman" w:eastAsia="Calibri" w:hAnsi="Times New Roman" w:cs="Times New Roman"/>
          <w:b/>
          <w:bCs/>
          <w:sz w:val="24"/>
          <w:szCs w:val="24"/>
          <w:lang w:val="en-GB"/>
        </w:rPr>
        <w:t xml:space="preserve">2.3 Plant materials and extraction procedures </w:t>
      </w:r>
    </w:p>
    <w:p w14:paraId="71C7865A" w14:textId="77777777" w:rsidR="00C427D0" w:rsidRPr="00C427D0" w:rsidRDefault="00C427D0" w:rsidP="00C427D0">
      <w:pPr>
        <w:tabs>
          <w:tab w:val="left" w:pos="1170"/>
        </w:tabs>
        <w:spacing w:after="0" w:line="36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sz w:val="24"/>
          <w:szCs w:val="24"/>
          <w:lang w:val="en-GB"/>
        </w:rPr>
        <w:t xml:space="preserve">Plant samples (stem bark) of </w:t>
      </w:r>
      <w:r w:rsidRPr="00C427D0">
        <w:rPr>
          <w:rFonts w:ascii="Times New Roman" w:eastAsia="Calibri" w:hAnsi="Times New Roman" w:cs="Times New Roman"/>
          <w:i/>
          <w:sz w:val="24"/>
          <w:szCs w:val="24"/>
          <w:lang w:val="en-GB"/>
        </w:rPr>
        <w:t xml:space="preserve">Theobroma cacao L., </w:t>
      </w:r>
      <w:r w:rsidRPr="00C427D0">
        <w:rPr>
          <w:rFonts w:ascii="Times New Roman" w:eastAsia="Calibri" w:hAnsi="Times New Roman" w:cs="Times New Roman"/>
          <w:sz w:val="24"/>
          <w:szCs w:val="24"/>
          <w:lang w:val="en-GB"/>
        </w:rPr>
        <w:t xml:space="preserve">were collected from Akungba, Akoko, Ondo State of Nigeria and were identified by Mr. Shasanya, O.S., of the Forestry Research Institute </w:t>
      </w:r>
      <w:r w:rsidRPr="00C427D0">
        <w:rPr>
          <w:rFonts w:ascii="Times New Roman" w:eastAsia="Calibri" w:hAnsi="Times New Roman" w:cs="Times New Roman"/>
          <w:sz w:val="24"/>
          <w:szCs w:val="24"/>
          <w:lang w:val="en-GB"/>
        </w:rPr>
        <w:lastRenderedPageBreak/>
        <w:t xml:space="preserve">of Nigeria (FRIN), </w:t>
      </w:r>
      <w:r w:rsidRPr="00C427D0">
        <w:rPr>
          <w:rFonts w:ascii="Times New Roman" w:eastAsia="Calibri" w:hAnsi="Times New Roman" w:cs="Times New Roman"/>
          <w:color w:val="000000"/>
          <w:sz w:val="24"/>
          <w:szCs w:val="24"/>
          <w:lang w:val="en-GB"/>
        </w:rPr>
        <w:t>Ibadan,</w:t>
      </w:r>
      <w:r w:rsidRPr="00C427D0">
        <w:rPr>
          <w:rFonts w:ascii="Times New Roman" w:eastAsia="Calibri" w:hAnsi="Times New Roman" w:cs="Times New Roman"/>
          <w:sz w:val="24"/>
          <w:szCs w:val="24"/>
          <w:lang w:val="en-GB"/>
        </w:rPr>
        <w:t xml:space="preserve"> where a</w:t>
      </w:r>
      <w:r w:rsidRPr="00C427D0">
        <w:rPr>
          <w:rFonts w:ascii="Times New Roman" w:eastAsia="Calibri" w:hAnsi="Times New Roman" w:cs="Times New Roman"/>
          <w:color w:val="000000"/>
          <w:sz w:val="24"/>
          <w:szCs w:val="24"/>
          <w:lang w:val="en-GB"/>
        </w:rPr>
        <w:t xml:space="preserve"> voucher specimen (Number FHI 109896)</w:t>
      </w:r>
      <w:r w:rsidRPr="00C427D0">
        <w:rPr>
          <w:rFonts w:ascii="Times New Roman" w:eastAsia="Calibri" w:hAnsi="Times New Roman" w:cs="Times New Roman"/>
          <w:color w:val="C00000"/>
          <w:sz w:val="24"/>
          <w:szCs w:val="24"/>
          <w:lang w:val="en-GB"/>
        </w:rPr>
        <w:t xml:space="preserve"> </w:t>
      </w:r>
      <w:r w:rsidRPr="00C427D0">
        <w:rPr>
          <w:rFonts w:ascii="Times New Roman" w:eastAsia="Calibri" w:hAnsi="Times New Roman" w:cs="Times New Roman"/>
          <w:color w:val="000000"/>
          <w:sz w:val="24"/>
          <w:szCs w:val="24"/>
          <w:lang w:val="en-GB"/>
        </w:rPr>
        <w:t xml:space="preserve">was deposited.  </w:t>
      </w:r>
      <w:r w:rsidRPr="00C427D0">
        <w:rPr>
          <w:rFonts w:ascii="Times New Roman" w:eastAsia="Calibri" w:hAnsi="Times New Roman" w:cs="Times New Roman"/>
          <w:sz w:val="24"/>
          <w:szCs w:val="24"/>
          <w:lang w:val="en-GB"/>
        </w:rPr>
        <w:t>The stem bark was cut into small pieces after washing with water and thereafter dried in</w:t>
      </w:r>
      <w:r w:rsidRPr="00C427D0">
        <w:rPr>
          <w:rFonts w:ascii="Times New Roman" w:eastAsia="Calibri" w:hAnsi="Times New Roman" w:cs="Times New Roman"/>
          <w:color w:val="C00000"/>
          <w:sz w:val="24"/>
          <w:szCs w:val="24"/>
          <w:lang w:val="en-GB"/>
        </w:rPr>
        <w:t xml:space="preserve"> </w:t>
      </w:r>
      <w:r w:rsidRPr="00C427D0">
        <w:rPr>
          <w:rFonts w:ascii="Times New Roman" w:eastAsia="Calibri" w:hAnsi="Times New Roman" w:cs="Times New Roman"/>
          <w:sz w:val="24"/>
          <w:szCs w:val="24"/>
          <w:lang w:val="en-GB"/>
        </w:rPr>
        <w:t>an EXCALIBUR</w:t>
      </w:r>
      <w:r w:rsidRPr="00C427D0">
        <w:rPr>
          <w:rFonts w:ascii="Times New Roman" w:eastAsia="Calibri" w:hAnsi="Times New Roman" w:cs="Times New Roman"/>
          <w:sz w:val="24"/>
          <w:szCs w:val="24"/>
          <w:vertAlign w:val="superscript"/>
          <w:lang w:val="en-GB"/>
        </w:rPr>
        <w:t>®</w:t>
      </w:r>
      <w:r w:rsidRPr="00C427D0">
        <w:rPr>
          <w:rFonts w:ascii="Times New Roman" w:eastAsia="Calibri" w:hAnsi="Times New Roman" w:cs="Times New Roman"/>
          <w:sz w:val="24"/>
          <w:szCs w:val="24"/>
          <w:lang w:val="en-GB"/>
        </w:rPr>
        <w:t xml:space="preserve"> (an electric desiccator) at a temperature of 37</w:t>
      </w:r>
      <w:r w:rsidRPr="00C427D0">
        <w:rPr>
          <w:rFonts w:ascii="Times New Roman" w:eastAsia="Calibri" w:hAnsi="Times New Roman" w:cs="Times New Roman"/>
          <w:sz w:val="24"/>
          <w:szCs w:val="24"/>
          <w:vertAlign w:val="superscript"/>
          <w:lang w:val="en-GB"/>
        </w:rPr>
        <w:t>o</w:t>
      </w:r>
      <w:r w:rsidRPr="00C427D0">
        <w:rPr>
          <w:rFonts w:ascii="Times New Roman" w:eastAsia="Calibri" w:hAnsi="Times New Roman" w:cs="Times New Roman"/>
          <w:sz w:val="24"/>
          <w:szCs w:val="24"/>
          <w:lang w:val="en-GB"/>
        </w:rPr>
        <w:t xml:space="preserve">C for 3 days (Rates 2001). The dried plant materials were ground into coarse particles using electric blender and extraction was by cold maceration with 70%v/v ethanol.  One thousand grams of the plant material was soaked in 7.5 L of 70%v/v ethanol for 2 days. The mixture was stirred intermittently (30 minutes) for three hours and allowed to stand at room temperature for 48 hours. The mixture was then filtered and concentrated using a rotary evaporator. The concentrate was dried in a desiccator at a temperature of 37°C. The sample (dried ethanol extract henceforth referred to as ETC) was then stored in airtight container in a freezer </w:t>
      </w:r>
      <w:r w:rsidRPr="00C427D0">
        <w:rPr>
          <w:rFonts w:ascii="Times New Roman" w:eastAsia="Calibri" w:hAnsi="Times New Roman" w:cs="Times New Roman"/>
          <w:color w:val="000000"/>
          <w:sz w:val="24"/>
          <w:szCs w:val="24"/>
          <w:lang w:val="en-GB"/>
        </w:rPr>
        <w:t xml:space="preserve">till when needed. Reconstitution of ETC for further studies was done using 5% </w:t>
      </w:r>
      <w:r w:rsidRPr="00C427D0">
        <w:rPr>
          <w:rFonts w:ascii="Times New Roman" w:eastAsia="Calibri" w:hAnsi="Times New Roman" w:cs="Times New Roman"/>
          <w:sz w:val="24"/>
          <w:szCs w:val="24"/>
          <w:lang w:val="en-GB"/>
        </w:rPr>
        <w:t>Dimethylsulfoxide (DMSO) in distilled water.</w:t>
      </w:r>
      <w:r w:rsidRPr="00C427D0">
        <w:rPr>
          <w:rFonts w:ascii="Times New Roman" w:eastAsia="Calibri" w:hAnsi="Times New Roman" w:cs="Times New Roman"/>
          <w:color w:val="000000"/>
          <w:sz w:val="24"/>
          <w:szCs w:val="24"/>
          <w:lang w:val="en-GB"/>
        </w:rPr>
        <w:t xml:space="preserve"> </w:t>
      </w:r>
    </w:p>
    <w:p w14:paraId="0E7A1CBD"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sz w:val="24"/>
          <w:szCs w:val="24"/>
          <w:lang w:val="en-GB"/>
        </w:rPr>
        <w:t xml:space="preserve">2.4 Phytochemical </w:t>
      </w:r>
      <w:r w:rsidRPr="00C427D0">
        <w:rPr>
          <w:rFonts w:ascii="Times New Roman" w:eastAsia="Calibri" w:hAnsi="Times New Roman" w:cs="Times New Roman"/>
          <w:b/>
          <w:bCs/>
          <w:sz w:val="24"/>
          <w:szCs w:val="24"/>
          <w:lang w:val="en-GB"/>
        </w:rPr>
        <w:t xml:space="preserve">screening. </w:t>
      </w:r>
    </w:p>
    <w:p w14:paraId="7DAD43D1"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Ethanol extract of </w:t>
      </w:r>
      <w:r w:rsidRPr="00C427D0">
        <w:rPr>
          <w:rFonts w:ascii="Times New Roman" w:eastAsia="Calibri" w:hAnsi="Times New Roman" w:cs="Times New Roman"/>
          <w:i/>
          <w:sz w:val="24"/>
          <w:szCs w:val="24"/>
          <w:lang w:val="en-GB"/>
        </w:rPr>
        <w:t>Theobroma cacao</w:t>
      </w:r>
      <w:r w:rsidRPr="00C427D0">
        <w:rPr>
          <w:rFonts w:ascii="Times New Roman" w:eastAsia="Calibri" w:hAnsi="Times New Roman" w:cs="Times New Roman"/>
          <w:sz w:val="24"/>
          <w:szCs w:val="24"/>
          <w:lang w:val="en-GB"/>
        </w:rPr>
        <w:t xml:space="preserve"> stem bark (ETC)was screened for the presence of alkaloids, anthraquinones, cardenolides,  flavonoids,  proteins,  saponins, steroids and  tannins was carried out according standard procedures previously described (Harborne, 1973; Sofowora, 1993; Trease and Evans 2002)</w:t>
      </w:r>
    </w:p>
    <w:p w14:paraId="7B0F9BDD" w14:textId="77777777" w:rsidR="00C427D0" w:rsidRPr="00C427D0" w:rsidRDefault="00C427D0" w:rsidP="00C427D0">
      <w:pPr>
        <w:spacing w:after="0" w:line="36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2.5. Acute Toxicity Study</w:t>
      </w:r>
    </w:p>
    <w:p w14:paraId="20DB5FB4"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sz w:val="24"/>
          <w:szCs w:val="24"/>
          <w:lang w:val="en-GB"/>
        </w:rPr>
        <w:t xml:space="preserve"> The method of Lorke, 1983 was employed. The test was done in two batches. Mice (both sexes) weighing 18-22g were randomly allotted to 7 treatment groups. The first batch consisted of 4 groups (n=1); the first 3 groups received 62.5, 125, and 250 mg/kg, while the 4</w:t>
      </w:r>
      <w:r w:rsidRPr="00C427D0">
        <w:rPr>
          <w:rFonts w:ascii="Times New Roman" w:eastAsia="Calibri" w:hAnsi="Times New Roman" w:cs="Times New Roman"/>
          <w:sz w:val="24"/>
          <w:szCs w:val="24"/>
          <w:vertAlign w:val="superscript"/>
          <w:lang w:val="en-GB"/>
        </w:rPr>
        <w:t>th</w:t>
      </w:r>
      <w:r w:rsidRPr="00C427D0">
        <w:rPr>
          <w:rFonts w:ascii="Times New Roman" w:eastAsia="Calibri" w:hAnsi="Times New Roman" w:cs="Times New Roman"/>
          <w:sz w:val="24"/>
          <w:szCs w:val="24"/>
          <w:lang w:val="en-GB"/>
        </w:rPr>
        <w:t xml:space="preserve"> (the control group) was given 10 mL/kg of 5% DMSO in distilled water. The animals were observed for 48 hours for any toxicity symptoms or mortality. The second stage involved 3 groups (n=3) of using 1000, 29000, and 5000 mg/kg per animal in group 5, 6, and seven respectfully. Experimental procedures were as for the first stage. The choice of doses was guided by an earlier pilot study. Drug administration was by the oral route.  </w:t>
      </w:r>
    </w:p>
    <w:p w14:paraId="1AF33DF5" w14:textId="77777777" w:rsidR="00C427D0" w:rsidRPr="00C427D0" w:rsidRDefault="00C427D0" w:rsidP="00C427D0">
      <w:pPr>
        <w:spacing w:after="0" w:line="36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Cs/>
          <w:sz w:val="24"/>
          <w:szCs w:val="24"/>
          <w:lang w:val="en-GB"/>
        </w:rPr>
        <w:t>The doses used in this study were chosen based on the results obtained from preliminary investigations.</w:t>
      </w:r>
    </w:p>
    <w:p w14:paraId="009C9103" w14:textId="77777777" w:rsidR="00C427D0" w:rsidRPr="00C427D0" w:rsidRDefault="00C427D0" w:rsidP="00C427D0">
      <w:pPr>
        <w:spacing w:after="0" w:line="240" w:lineRule="auto"/>
        <w:jc w:val="both"/>
        <w:rPr>
          <w:rFonts w:ascii="Times New Roman" w:eastAsia="Calibri" w:hAnsi="Times New Roman" w:cs="Times New Roman"/>
          <w:b/>
          <w:bCs/>
          <w:sz w:val="24"/>
          <w:szCs w:val="24"/>
          <w:lang w:val="en-GB"/>
        </w:rPr>
      </w:pPr>
    </w:p>
    <w:p w14:paraId="1173CBA0" w14:textId="77777777" w:rsidR="00C427D0" w:rsidRPr="00C427D0" w:rsidRDefault="00C427D0" w:rsidP="00C427D0">
      <w:pPr>
        <w:spacing w:after="0" w:line="36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 xml:space="preserve">2.6 Anti-inflammatory effects of ethanol extract of </w:t>
      </w:r>
      <w:r w:rsidRPr="00C427D0">
        <w:rPr>
          <w:rFonts w:ascii="Times New Roman" w:eastAsia="Calibri" w:hAnsi="Times New Roman" w:cs="Times New Roman"/>
          <w:b/>
          <w:bCs/>
          <w:i/>
          <w:sz w:val="24"/>
          <w:szCs w:val="24"/>
          <w:lang w:val="en-GB"/>
        </w:rPr>
        <w:t>T. cacao</w:t>
      </w:r>
      <w:r w:rsidRPr="00C427D0">
        <w:rPr>
          <w:rFonts w:ascii="Times New Roman" w:eastAsia="Calibri" w:hAnsi="Times New Roman" w:cs="Times New Roman"/>
          <w:b/>
          <w:bCs/>
          <w:sz w:val="24"/>
          <w:szCs w:val="24"/>
          <w:lang w:val="en-GB"/>
        </w:rPr>
        <w:t xml:space="preserve"> stem bark</w:t>
      </w:r>
    </w:p>
    <w:p w14:paraId="2257810F" w14:textId="77777777" w:rsidR="00C427D0" w:rsidRPr="00C427D0" w:rsidRDefault="00C427D0" w:rsidP="00C427D0">
      <w:pPr>
        <w:spacing w:after="0" w:line="36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2.6.1 Effect on carraageenan-induced acute inflammation</w:t>
      </w:r>
    </w:p>
    <w:p w14:paraId="11FEE9D1"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 xml:space="preserve">Carraageenan-induced paw oedema in rats was employed as an animal model for the evaluation of anti-inflammatory property of ETC   according to a modified procedure </w:t>
      </w:r>
      <w:r w:rsidRPr="00C427D0">
        <w:rPr>
          <w:rFonts w:ascii="Times New Roman" w:eastAsia="Calibri" w:hAnsi="Times New Roman" w:cs="Times New Roman"/>
          <w:sz w:val="24"/>
          <w:szCs w:val="24"/>
          <w:lang w:val="en-GB"/>
        </w:rPr>
        <w:t xml:space="preserve">described by Moody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2006.  Twenty five male Wistar rats were randomly allotted to five treatment groups </w:t>
      </w:r>
      <w:r w:rsidRPr="00C427D0">
        <w:rPr>
          <w:rFonts w:ascii="Times New Roman" w:eastAsia="Calibri" w:hAnsi="Times New Roman" w:cs="Times New Roman"/>
          <w:sz w:val="24"/>
          <w:szCs w:val="24"/>
          <w:lang w:val="en-GB"/>
        </w:rPr>
        <w:lastRenderedPageBreak/>
        <w:t>(n=5). The animals in the first group were treated wit</w:t>
      </w:r>
      <w:r w:rsidRPr="00C427D0">
        <w:rPr>
          <w:rFonts w:ascii="Times New Roman" w:eastAsia="Calibri" w:hAnsi="Times New Roman" w:cs="Times New Roman"/>
          <w:bCs/>
          <w:sz w:val="24"/>
          <w:szCs w:val="24"/>
          <w:lang w:val="en-GB"/>
        </w:rPr>
        <w:t>h</w:t>
      </w:r>
      <w:r w:rsidRPr="00C427D0">
        <w:rPr>
          <w:rFonts w:ascii="Times New Roman" w:eastAsia="Calibri" w:hAnsi="Times New Roman" w:cs="Times New Roman"/>
          <w:sz w:val="24"/>
          <w:szCs w:val="24"/>
          <w:lang w:val="en-GB"/>
        </w:rPr>
        <w:t xml:space="preserve"> the vehicle (10 mL/kg</w:t>
      </w:r>
      <w:r w:rsidRPr="00C427D0">
        <w:rPr>
          <w:rFonts w:ascii="Times New Roman" w:eastAsia="Calibri" w:hAnsi="Times New Roman" w:cs="Times New Roman"/>
          <w:sz w:val="24"/>
          <w:szCs w:val="24"/>
          <w:vertAlign w:val="superscript"/>
          <w:lang w:val="en-GB"/>
        </w:rPr>
        <w:t xml:space="preserve"> </w:t>
      </w:r>
      <w:r w:rsidRPr="00C427D0">
        <w:rPr>
          <w:rFonts w:ascii="Times New Roman" w:eastAsia="Calibri" w:hAnsi="Times New Roman" w:cs="Times New Roman"/>
          <w:sz w:val="24"/>
          <w:szCs w:val="24"/>
          <w:lang w:val="en-GB"/>
        </w:rPr>
        <w:t>of 5%</w:t>
      </w:r>
      <w:r w:rsidRPr="00C427D0">
        <w:rPr>
          <w:rFonts w:ascii="Times New Roman" w:eastAsia="Calibri" w:hAnsi="Times New Roman" w:cs="Times New Roman"/>
          <w:color w:val="C00000"/>
          <w:sz w:val="24"/>
          <w:szCs w:val="24"/>
          <w:lang w:val="en-GB"/>
        </w:rPr>
        <w:t xml:space="preserve"> </w:t>
      </w:r>
      <w:r w:rsidRPr="00C427D0">
        <w:rPr>
          <w:rFonts w:ascii="Times New Roman" w:eastAsia="Calibri" w:hAnsi="Times New Roman" w:cs="Times New Roman"/>
          <w:sz w:val="24"/>
          <w:szCs w:val="24"/>
          <w:lang w:val="en-GB"/>
        </w:rPr>
        <w:t>DMSO, p.o) whereas the second, third, fourth groups received ETC (250, 500, and 1000 mg kg, orally). The fifth group received acetylsalicylic acid (ASA) (100 mg/ kg, p.o).  One hour later, each rat</w:t>
      </w:r>
      <w:r w:rsidRPr="00C427D0">
        <w:rPr>
          <w:rFonts w:ascii="Times New Roman" w:eastAsia="Calibri" w:hAnsi="Times New Roman" w:cs="Times New Roman"/>
          <w:color w:val="C00000"/>
          <w:sz w:val="24"/>
          <w:szCs w:val="24"/>
          <w:lang w:val="en-GB"/>
        </w:rPr>
        <w:t xml:space="preserve"> </w:t>
      </w:r>
      <w:r w:rsidRPr="00C427D0">
        <w:rPr>
          <w:rFonts w:ascii="Times New Roman" w:eastAsia="Calibri" w:hAnsi="Times New Roman" w:cs="Times New Roman"/>
          <w:sz w:val="24"/>
          <w:szCs w:val="24"/>
          <w:lang w:val="en-GB"/>
        </w:rPr>
        <w:t xml:space="preserve">received sub-plantar injection of 0.1 ml of 1% carraageenan into the right hind paw  and paw volume was measured  using Plethysmometer (Ugo Basile, Italy) at 3 h after induction of inflammation </w:t>
      </w:r>
      <w:r w:rsidRPr="00C427D0">
        <w:rPr>
          <w:rFonts w:ascii="Times New Roman" w:eastAsia="Calibri" w:hAnsi="Times New Roman" w:cs="Times New Roman"/>
          <w:color w:val="000000"/>
          <w:sz w:val="24"/>
          <w:szCs w:val="24"/>
          <w:lang w:val="en-GB"/>
        </w:rPr>
        <w:t>(Umukoro and Ashorobi, 2006).</w:t>
      </w:r>
      <w:r w:rsidRPr="00C427D0">
        <w:rPr>
          <w:rFonts w:ascii="Times New Roman" w:eastAsia="Calibri" w:hAnsi="Times New Roman" w:cs="Times New Roman"/>
          <w:color w:val="C00000"/>
          <w:sz w:val="24"/>
          <w:szCs w:val="24"/>
          <w:lang w:val="en-GB"/>
        </w:rPr>
        <w:t xml:space="preserve">  </w:t>
      </w:r>
      <w:r w:rsidRPr="00C427D0">
        <w:rPr>
          <w:rFonts w:ascii="Times New Roman" w:eastAsia="Calibri" w:hAnsi="Times New Roman" w:cs="Times New Roman"/>
          <w:bCs/>
          <w:sz w:val="24"/>
          <w:szCs w:val="24"/>
          <w:lang w:val="en-GB"/>
        </w:rPr>
        <w:t>The</w:t>
      </w:r>
      <w:r w:rsidRPr="00C427D0">
        <w:rPr>
          <w:rFonts w:ascii="Times New Roman" w:eastAsia="Calibri" w:hAnsi="Times New Roman" w:cs="Times New Roman"/>
          <w:bCs/>
          <w:color w:val="C00000"/>
          <w:sz w:val="24"/>
          <w:szCs w:val="24"/>
          <w:lang w:val="en-GB"/>
        </w:rPr>
        <w:t xml:space="preserve"> </w:t>
      </w:r>
      <w:r w:rsidRPr="00C427D0">
        <w:rPr>
          <w:rFonts w:ascii="Times New Roman" w:eastAsia="Calibri" w:hAnsi="Times New Roman" w:cs="Times New Roman"/>
          <w:bCs/>
          <w:color w:val="000000"/>
          <w:sz w:val="24"/>
          <w:szCs w:val="24"/>
          <w:lang w:val="en-GB"/>
        </w:rPr>
        <w:t>percentage inhibition of inflammation was calculated according to</w:t>
      </w:r>
      <w:r w:rsidRPr="00C427D0">
        <w:rPr>
          <w:rFonts w:ascii="Times New Roman" w:eastAsia="Calibri" w:hAnsi="Times New Roman" w:cs="Times New Roman"/>
          <w:color w:val="000000"/>
          <w:sz w:val="24"/>
          <w:szCs w:val="24"/>
          <w:lang w:val="en-GB"/>
        </w:rPr>
        <w:t xml:space="preserve"> the</w:t>
      </w:r>
      <w:r w:rsidRPr="00C427D0">
        <w:rPr>
          <w:rFonts w:ascii="Times New Roman" w:eastAsia="Calibri" w:hAnsi="Times New Roman" w:cs="Times New Roman"/>
          <w:bCs/>
          <w:color w:val="000000"/>
          <w:sz w:val="24"/>
          <w:szCs w:val="24"/>
          <w:lang w:val="en-GB"/>
        </w:rPr>
        <w:t xml:space="preserve"> modification of earlier formula described by Umukoro and Ashorobi, 2006.</w:t>
      </w:r>
      <w:r w:rsidRPr="00C427D0">
        <w:rPr>
          <w:rFonts w:ascii="Times New Roman" w:eastAsia="Calibri" w:hAnsi="Times New Roman" w:cs="Times New Roman"/>
          <w:bCs/>
          <w:color w:val="C00000"/>
          <w:sz w:val="24"/>
          <w:szCs w:val="24"/>
          <w:lang w:val="en-GB"/>
        </w:rPr>
        <w:t xml:space="preserve"> </w:t>
      </w:r>
      <w:r w:rsidRPr="00C427D0">
        <w:rPr>
          <w:rFonts w:ascii="Times New Roman" w:eastAsia="Calibri" w:hAnsi="Times New Roman" w:cs="Times New Roman"/>
          <w:bCs/>
          <w:sz w:val="24"/>
          <w:szCs w:val="24"/>
          <w:lang w:val="en-GB"/>
        </w:rPr>
        <w:t xml:space="preserve">The increase in paw volume was calculated for each group for each measurement. The increase in paw volume for each group at a particular time was the difference between mean paw volume for that time and the mean paw volume for zero hour for that group. </w:t>
      </w:r>
    </w:p>
    <w:p w14:paraId="7B5CAC16"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p>
    <w:p w14:paraId="2D42B02E"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p>
    <w:p w14:paraId="726DB165"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The %inhibition was calculated as follow:</w:t>
      </w:r>
    </w:p>
    <w:p w14:paraId="753B63FA"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(Vo–Vt)/Vo x 100% where Vo is volume of oedema of control (DMSO treated) rats, while Vt is volume of oedema of standard (acetyl salicylic acid) or ETC treated rats at time t.</w:t>
      </w:r>
    </w:p>
    <w:p w14:paraId="02776A6E" w14:textId="77777777" w:rsidR="00C427D0" w:rsidRPr="00C427D0" w:rsidRDefault="00C427D0" w:rsidP="00C427D0">
      <w:pPr>
        <w:spacing w:after="0" w:line="240" w:lineRule="auto"/>
        <w:jc w:val="both"/>
        <w:rPr>
          <w:rFonts w:ascii="Times New Roman" w:eastAsia="Calibri" w:hAnsi="Times New Roman" w:cs="Times New Roman"/>
          <w:b/>
          <w:sz w:val="24"/>
          <w:szCs w:val="24"/>
          <w:lang w:val="en-GB"/>
        </w:rPr>
      </w:pPr>
    </w:p>
    <w:p w14:paraId="3A3AB423"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b/>
          <w:sz w:val="24"/>
          <w:szCs w:val="24"/>
          <w:lang w:val="en-GB"/>
        </w:rPr>
        <w:t xml:space="preserve">2.6.2 Effect on sub-acute inflammation induced by formalin  </w:t>
      </w:r>
    </w:p>
    <w:p w14:paraId="791D62B4" w14:textId="77777777" w:rsidR="00C427D0" w:rsidRPr="00C427D0" w:rsidRDefault="00C427D0" w:rsidP="00C427D0">
      <w:pPr>
        <w:spacing w:after="0" w:line="360" w:lineRule="auto"/>
        <w:jc w:val="both"/>
        <w:rPr>
          <w:rFonts w:ascii="Times New Roman" w:eastAsia="Calibri" w:hAnsi="Times New Roman" w:cs="Times New Roman"/>
          <w:bCs/>
          <w:color w:val="C00000"/>
          <w:sz w:val="24"/>
          <w:szCs w:val="24"/>
          <w:lang w:val="en-GB"/>
        </w:rPr>
      </w:pPr>
      <w:r w:rsidRPr="00C427D0">
        <w:rPr>
          <w:rFonts w:ascii="Times New Roman" w:eastAsia="Calibri" w:hAnsi="Times New Roman" w:cs="Times New Roman"/>
          <w:sz w:val="24"/>
          <w:szCs w:val="24"/>
          <w:lang w:val="en-GB"/>
        </w:rPr>
        <w:t>Formalin-induced sub-acute inflammation</w:t>
      </w: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sz w:val="24"/>
          <w:szCs w:val="24"/>
          <w:lang w:val="en-GB"/>
        </w:rPr>
        <w:t>model was further employed to</w:t>
      </w: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bCs/>
          <w:sz w:val="24"/>
          <w:szCs w:val="24"/>
          <w:lang w:val="en-GB"/>
        </w:rPr>
        <w:t xml:space="preserve">evaluate anti-inflammatory property of ETC according to the procedure earlier </w:t>
      </w:r>
      <w:r w:rsidRPr="00C427D0">
        <w:rPr>
          <w:rFonts w:ascii="Times New Roman" w:eastAsia="Calibri" w:hAnsi="Times New Roman" w:cs="Times New Roman"/>
          <w:color w:val="000000"/>
          <w:sz w:val="24"/>
          <w:szCs w:val="24"/>
          <w:lang w:val="en-GB"/>
        </w:rPr>
        <w:t xml:space="preserve">described </w:t>
      </w:r>
      <w:r w:rsidRPr="00C427D0">
        <w:rPr>
          <w:rFonts w:ascii="Times New Roman" w:eastAsia="Calibri" w:hAnsi="Times New Roman" w:cs="Times New Roman"/>
          <w:sz w:val="24"/>
          <w:szCs w:val="24"/>
          <w:lang w:val="en-GB"/>
        </w:rPr>
        <w:t xml:space="preserve">by Moody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2006.  Rats were randomly distributed into five treatment groups (n=5). Rats in the first 3 groups were treated with ETC (250, 500 and 1000 mg/kg, orally) while those in groups 4 and 5 received ASA (100 mg/kg,</w:t>
      </w:r>
      <w:r w:rsidRPr="00C427D0">
        <w:rPr>
          <w:rFonts w:ascii="Calibri" w:eastAsia="Calibri" w:hAnsi="Calibri" w:cs="Times New Roman"/>
          <w:lang w:val="en-GB"/>
        </w:rPr>
        <w:t xml:space="preserve"> </w:t>
      </w:r>
      <w:r w:rsidRPr="00C427D0">
        <w:rPr>
          <w:rFonts w:ascii="Times New Roman" w:eastAsia="Calibri" w:hAnsi="Times New Roman" w:cs="Times New Roman"/>
          <w:sz w:val="24"/>
          <w:szCs w:val="24"/>
          <w:lang w:val="en-GB"/>
        </w:rPr>
        <w:t xml:space="preserve">orally.) and DMSO (10 mL/kg, orally) respectively. One hour later, each rat received sub-plantar injection of 20 µL of 2.5%formalin into the right hind paw  and paw volume was measured using Plethysmometer (Ugo Basile, Italy) at 3 h after induction of inflammation </w:t>
      </w:r>
      <w:r w:rsidRPr="00C427D0">
        <w:rPr>
          <w:rFonts w:ascii="Times New Roman" w:eastAsia="Calibri" w:hAnsi="Times New Roman" w:cs="Times New Roman"/>
          <w:color w:val="000000"/>
          <w:sz w:val="24"/>
          <w:szCs w:val="24"/>
          <w:lang w:val="en-GB"/>
        </w:rPr>
        <w:t>(Umukoro and Ashorobi, 2006).</w:t>
      </w:r>
      <w:r w:rsidRPr="00C427D0">
        <w:rPr>
          <w:rFonts w:ascii="Times New Roman" w:eastAsia="Calibri" w:hAnsi="Times New Roman" w:cs="Times New Roman"/>
          <w:color w:val="C00000"/>
          <w:sz w:val="24"/>
          <w:szCs w:val="24"/>
          <w:lang w:val="en-GB"/>
        </w:rPr>
        <w:t xml:space="preserve">  </w:t>
      </w:r>
      <w:r w:rsidRPr="00C427D0">
        <w:rPr>
          <w:rFonts w:ascii="Times New Roman" w:eastAsia="Calibri" w:hAnsi="Times New Roman" w:cs="Times New Roman"/>
          <w:bCs/>
          <w:sz w:val="24"/>
          <w:szCs w:val="24"/>
          <w:lang w:val="en-GB"/>
        </w:rPr>
        <w:t>The</w:t>
      </w:r>
      <w:r w:rsidRPr="00C427D0">
        <w:rPr>
          <w:rFonts w:ascii="Times New Roman" w:eastAsia="Calibri" w:hAnsi="Times New Roman" w:cs="Times New Roman"/>
          <w:bCs/>
          <w:color w:val="C00000"/>
          <w:sz w:val="24"/>
          <w:szCs w:val="24"/>
          <w:lang w:val="en-GB"/>
        </w:rPr>
        <w:t xml:space="preserve"> </w:t>
      </w:r>
      <w:r w:rsidRPr="00C427D0">
        <w:rPr>
          <w:rFonts w:ascii="Times New Roman" w:eastAsia="Calibri" w:hAnsi="Times New Roman" w:cs="Times New Roman"/>
          <w:bCs/>
          <w:color w:val="000000"/>
          <w:sz w:val="24"/>
          <w:szCs w:val="24"/>
          <w:lang w:val="en-GB"/>
        </w:rPr>
        <w:t>percentage inhibition of inflammation was calculated according to</w:t>
      </w:r>
      <w:r w:rsidRPr="00C427D0">
        <w:rPr>
          <w:rFonts w:ascii="Times New Roman" w:eastAsia="Calibri" w:hAnsi="Times New Roman" w:cs="Times New Roman"/>
          <w:color w:val="000000"/>
          <w:sz w:val="24"/>
          <w:szCs w:val="24"/>
          <w:lang w:val="en-GB"/>
        </w:rPr>
        <w:t xml:space="preserve"> the</w:t>
      </w:r>
      <w:r w:rsidRPr="00C427D0">
        <w:rPr>
          <w:rFonts w:ascii="Times New Roman" w:eastAsia="Calibri" w:hAnsi="Times New Roman" w:cs="Times New Roman"/>
          <w:bCs/>
          <w:color w:val="000000"/>
          <w:sz w:val="24"/>
          <w:szCs w:val="24"/>
          <w:lang w:val="en-GB"/>
        </w:rPr>
        <w:t xml:space="preserve"> formula earlier described </w:t>
      </w:r>
      <w:r w:rsidRPr="00C427D0">
        <w:rPr>
          <w:rFonts w:ascii="Times New Roman" w:eastAsia="Calibri" w:hAnsi="Times New Roman" w:cs="Times New Roman"/>
          <w:color w:val="000000"/>
          <w:sz w:val="24"/>
          <w:szCs w:val="24"/>
          <w:lang w:val="en-GB"/>
        </w:rPr>
        <w:t>(Umukoro and Ashorobi, 2006)</w:t>
      </w:r>
      <w:r w:rsidRPr="00C427D0">
        <w:rPr>
          <w:rFonts w:ascii="Times New Roman" w:eastAsia="Calibri" w:hAnsi="Times New Roman" w:cs="Times New Roman"/>
          <w:bCs/>
          <w:color w:val="000000"/>
          <w:sz w:val="24"/>
          <w:szCs w:val="24"/>
          <w:lang w:val="en-GB"/>
        </w:rPr>
        <w:t xml:space="preserve"> </w:t>
      </w:r>
    </w:p>
    <w:p w14:paraId="776088E0"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The %increase in paw volume was calculated as for carrageenan above.</w:t>
      </w:r>
    </w:p>
    <w:p w14:paraId="4D6FF262" w14:textId="77777777" w:rsidR="00C427D0" w:rsidRPr="00C427D0" w:rsidRDefault="00C427D0" w:rsidP="00C427D0">
      <w:pPr>
        <w:spacing w:after="0" w:line="240" w:lineRule="auto"/>
        <w:rPr>
          <w:rFonts w:ascii="Times New Roman" w:eastAsia="Calibri" w:hAnsi="Times New Roman" w:cs="Times New Roman"/>
          <w:b/>
          <w:bCs/>
          <w:sz w:val="24"/>
          <w:szCs w:val="24"/>
          <w:lang w:val="en-GB"/>
        </w:rPr>
      </w:pPr>
    </w:p>
    <w:p w14:paraId="5AB280ED" w14:textId="77777777" w:rsidR="00C427D0" w:rsidRPr="00C427D0" w:rsidRDefault="00C427D0" w:rsidP="00C427D0">
      <w:pPr>
        <w:spacing w:after="0" w:line="360" w:lineRule="auto"/>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 xml:space="preserve">2.7 Analgesic effects of ethanol extract of </w:t>
      </w:r>
      <w:r w:rsidRPr="00C427D0">
        <w:rPr>
          <w:rFonts w:ascii="Times New Roman" w:eastAsia="Calibri" w:hAnsi="Times New Roman" w:cs="Times New Roman"/>
          <w:b/>
          <w:bCs/>
          <w:i/>
          <w:sz w:val="24"/>
          <w:szCs w:val="24"/>
          <w:lang w:val="en-GB"/>
        </w:rPr>
        <w:t>T. cacao</w:t>
      </w:r>
      <w:r w:rsidRPr="00C427D0">
        <w:rPr>
          <w:rFonts w:ascii="Times New Roman" w:eastAsia="Calibri" w:hAnsi="Times New Roman" w:cs="Times New Roman"/>
          <w:b/>
          <w:bCs/>
          <w:sz w:val="24"/>
          <w:szCs w:val="24"/>
          <w:lang w:val="en-GB"/>
        </w:rPr>
        <w:t xml:space="preserve"> stem bark </w:t>
      </w:r>
    </w:p>
    <w:p w14:paraId="0D08F073" w14:textId="77777777" w:rsidR="00C427D0" w:rsidRPr="00C427D0" w:rsidRDefault="00C427D0" w:rsidP="00C427D0">
      <w:pPr>
        <w:spacing w:after="0" w:line="360" w:lineRule="auto"/>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 xml:space="preserve">2.7.1 Effect on acetic acid-induced </w:t>
      </w:r>
      <w:r w:rsidRPr="00C427D0">
        <w:rPr>
          <w:rFonts w:ascii="Times New Roman" w:eastAsia="Calibri" w:hAnsi="Times New Roman" w:cs="Times New Roman"/>
          <w:b/>
          <w:sz w:val="24"/>
          <w:szCs w:val="24"/>
          <w:lang w:val="en-GB"/>
        </w:rPr>
        <w:t xml:space="preserve">abdominal constrictions  </w:t>
      </w:r>
      <w:r w:rsidRPr="00C427D0">
        <w:rPr>
          <w:rFonts w:ascii="Times New Roman" w:eastAsia="Calibri" w:hAnsi="Times New Roman" w:cs="Times New Roman"/>
          <w:b/>
          <w:bCs/>
          <w:sz w:val="24"/>
          <w:szCs w:val="24"/>
          <w:lang w:val="en-GB"/>
        </w:rPr>
        <w:t xml:space="preserve"> </w:t>
      </w:r>
    </w:p>
    <w:p w14:paraId="2AFD11EB"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bCs/>
          <w:sz w:val="24"/>
          <w:szCs w:val="24"/>
          <w:lang w:val="en-GB"/>
        </w:rPr>
        <w:t xml:space="preserve">Analgesic effect of ETC was evaluated using </w:t>
      </w:r>
      <w:r w:rsidRPr="00C427D0">
        <w:rPr>
          <w:rFonts w:ascii="Times New Roman" w:eastAsia="Calibri" w:hAnsi="Times New Roman" w:cs="Times New Roman"/>
          <w:sz w:val="24"/>
          <w:szCs w:val="24"/>
          <w:lang w:val="en-GB"/>
        </w:rPr>
        <w:t xml:space="preserve">acetic acid-induced abdominal constrictions according to the method of Koster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(1959).</w:t>
      </w:r>
      <w:r w:rsidRPr="00C427D0">
        <w:rPr>
          <w:rFonts w:ascii="Times New Roman" w:eastAsia="Calibri" w:hAnsi="Times New Roman" w:cs="Times New Roman"/>
          <w:bCs/>
          <w:sz w:val="24"/>
          <w:szCs w:val="24"/>
          <w:lang w:val="en-GB"/>
        </w:rPr>
        <w:t xml:space="preserve"> Male albino mice were randomly allotted to five treatment groups (n=5). Mice in the first 3</w:t>
      </w:r>
      <w:r w:rsidRPr="00C427D0">
        <w:rPr>
          <w:rFonts w:ascii="Times New Roman" w:eastAsia="Calibri" w:hAnsi="Times New Roman" w:cs="Times New Roman"/>
          <w:bCs/>
          <w:color w:val="C00000"/>
          <w:sz w:val="24"/>
          <w:szCs w:val="24"/>
          <w:lang w:val="en-GB"/>
        </w:rPr>
        <w:t xml:space="preserve"> </w:t>
      </w:r>
      <w:r w:rsidRPr="00C427D0">
        <w:rPr>
          <w:rFonts w:ascii="Times New Roman" w:eastAsia="Calibri" w:hAnsi="Times New Roman" w:cs="Times New Roman"/>
          <w:bCs/>
          <w:sz w:val="24"/>
          <w:szCs w:val="24"/>
          <w:lang w:val="en-GB"/>
        </w:rPr>
        <w:t xml:space="preserve">groups received ETC (250, 500, 1000 mg/kg, orally.) while those in the fourth and fifth groups were treated with 5% DMSO (10 mL/kg, </w:t>
      </w:r>
      <w:r w:rsidRPr="00C427D0">
        <w:rPr>
          <w:rFonts w:ascii="Times New Roman" w:eastAsia="Calibri" w:hAnsi="Times New Roman" w:cs="Times New Roman"/>
          <w:bCs/>
          <w:sz w:val="24"/>
          <w:szCs w:val="24"/>
          <w:lang w:val="en-GB"/>
        </w:rPr>
        <w:lastRenderedPageBreak/>
        <w:t xml:space="preserve">orally) and ASA (150 mg/kg, orally.) respectively. </w:t>
      </w:r>
      <w:r w:rsidRPr="00C427D0">
        <w:rPr>
          <w:rFonts w:ascii="Times New Roman" w:eastAsia="Calibri" w:hAnsi="Times New Roman" w:cs="Times New Roman"/>
          <w:sz w:val="24"/>
          <w:szCs w:val="24"/>
          <w:lang w:val="en-GB"/>
        </w:rPr>
        <w:t>One hour after treatment, each animal received intra-peritoneal injection of 0.6% acetic acid (10 mL/kg). Thereafter, the number of abdominal constrictions or writhes was measured for a period of 15 minutes after the initial 5 minutes delay.</w:t>
      </w:r>
    </w:p>
    <w:p w14:paraId="49A5294E" w14:textId="77777777" w:rsidR="00C427D0" w:rsidRPr="00C427D0" w:rsidRDefault="00C427D0" w:rsidP="00C427D0">
      <w:pPr>
        <w:spacing w:after="0" w:line="36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 xml:space="preserve">2.7.2 Effect on noxious </w:t>
      </w:r>
      <w:r w:rsidRPr="00C427D0">
        <w:rPr>
          <w:rFonts w:ascii="Times New Roman" w:eastAsia="Calibri" w:hAnsi="Times New Roman" w:cs="Times New Roman"/>
          <w:bCs/>
          <w:sz w:val="24"/>
          <w:szCs w:val="24"/>
          <w:lang w:val="en-GB"/>
        </w:rPr>
        <w:t>h</w:t>
      </w:r>
      <w:r w:rsidRPr="00C427D0">
        <w:rPr>
          <w:rFonts w:ascii="Times New Roman" w:eastAsia="Calibri" w:hAnsi="Times New Roman" w:cs="Times New Roman"/>
          <w:b/>
          <w:bCs/>
          <w:sz w:val="24"/>
          <w:szCs w:val="24"/>
          <w:lang w:val="en-GB"/>
        </w:rPr>
        <w:t xml:space="preserve">eat in the tail immersion test </w:t>
      </w:r>
    </w:p>
    <w:p w14:paraId="602E735F"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The effect of ETC on acute</w:t>
      </w:r>
      <w:r w:rsidRPr="00C427D0">
        <w:rPr>
          <w:rFonts w:ascii="Times New Roman" w:eastAsia="Calibri" w:hAnsi="Times New Roman" w:cs="Times New Roman"/>
          <w:sz w:val="24"/>
          <w:szCs w:val="24"/>
          <w:lang w:val="en-GB"/>
        </w:rPr>
        <w:t xml:space="preserve"> nociception was assessed using the tail immersion pain model as earlier described by Vogel and Vogel (1997). Briefly</w:t>
      </w:r>
      <w:r w:rsidRPr="00C427D0">
        <w:rPr>
          <w:rFonts w:ascii="Times New Roman" w:eastAsia="Calibri" w:hAnsi="Times New Roman" w:cs="Times New Roman"/>
          <w:color w:val="000000"/>
          <w:sz w:val="24"/>
          <w:szCs w:val="24"/>
          <w:lang w:val="en-GB"/>
        </w:rPr>
        <w:t>,</w:t>
      </w:r>
      <w:r w:rsidRPr="00C427D0">
        <w:rPr>
          <w:rFonts w:ascii="Times New Roman" w:eastAsia="Calibri" w:hAnsi="Times New Roman" w:cs="Times New Roman"/>
          <w:sz w:val="24"/>
          <w:szCs w:val="24"/>
          <w:lang w:val="en-GB"/>
        </w:rPr>
        <w:t xml:space="preserve"> about 3 cm portion of the mouse’s tail was dipped in water maintained at a temperature of 55.0 ± 0.5°C. The tail withdrawal latency (s) to the noxious stimulus was measured as the reaction time to pain. </w:t>
      </w:r>
      <w:r w:rsidRPr="00C427D0">
        <w:rPr>
          <w:rFonts w:ascii="Times New Roman" w:eastAsia="Calibri" w:hAnsi="Times New Roman" w:cs="Times New Roman"/>
          <w:bCs/>
          <w:sz w:val="24"/>
          <w:szCs w:val="24"/>
          <w:lang w:val="en-GB"/>
        </w:rPr>
        <w:t xml:space="preserve">Mice were randomly allotted to </w:t>
      </w:r>
      <w:r w:rsidRPr="00C427D0">
        <w:rPr>
          <w:rFonts w:ascii="Times New Roman" w:eastAsia="Calibri" w:hAnsi="Times New Roman" w:cs="Times New Roman"/>
          <w:bCs/>
          <w:color w:val="000000"/>
          <w:sz w:val="24"/>
          <w:szCs w:val="24"/>
          <w:lang w:val="en-GB"/>
        </w:rPr>
        <w:t>6</w:t>
      </w:r>
      <w:r w:rsidRPr="00C427D0">
        <w:rPr>
          <w:rFonts w:ascii="Times New Roman" w:eastAsia="Calibri" w:hAnsi="Times New Roman" w:cs="Times New Roman"/>
          <w:bCs/>
          <w:color w:val="C00000"/>
          <w:sz w:val="24"/>
          <w:szCs w:val="24"/>
          <w:lang w:val="en-GB"/>
        </w:rPr>
        <w:t xml:space="preserve"> </w:t>
      </w:r>
      <w:r w:rsidRPr="00C427D0">
        <w:rPr>
          <w:rFonts w:ascii="Times New Roman" w:eastAsia="Calibri" w:hAnsi="Times New Roman" w:cs="Times New Roman"/>
          <w:bCs/>
          <w:sz w:val="24"/>
          <w:szCs w:val="24"/>
          <w:lang w:val="en-GB"/>
        </w:rPr>
        <w:t>treatment groups (n=5). Mice in the first 3 groups received ETC (250, 500 and 1000 mg/kg, p.o.) whereas those in the fourth</w:t>
      </w:r>
      <w:r w:rsidRPr="00C427D0">
        <w:rPr>
          <w:rFonts w:ascii="Times New Roman" w:eastAsia="Calibri" w:hAnsi="Times New Roman" w:cs="Times New Roman"/>
          <w:bCs/>
          <w:color w:val="000000"/>
          <w:sz w:val="24"/>
          <w:szCs w:val="24"/>
          <w:lang w:val="en-GB"/>
        </w:rPr>
        <w:t>,</w:t>
      </w:r>
      <w:r w:rsidRPr="00C427D0">
        <w:rPr>
          <w:rFonts w:ascii="Times New Roman" w:eastAsia="Calibri" w:hAnsi="Times New Roman" w:cs="Times New Roman"/>
          <w:bCs/>
          <w:sz w:val="24"/>
          <w:szCs w:val="24"/>
          <w:lang w:val="en-GB"/>
        </w:rPr>
        <w:t xml:space="preserve"> </w:t>
      </w:r>
      <w:r w:rsidRPr="00C427D0">
        <w:rPr>
          <w:rFonts w:ascii="Times New Roman" w:eastAsia="Calibri" w:hAnsi="Times New Roman" w:cs="Times New Roman"/>
          <w:bCs/>
          <w:color w:val="000000"/>
          <w:sz w:val="24"/>
          <w:szCs w:val="24"/>
          <w:lang w:val="en-GB"/>
        </w:rPr>
        <w:t>fifth</w:t>
      </w:r>
      <w:r w:rsidRPr="00C427D0">
        <w:rPr>
          <w:rFonts w:ascii="Times New Roman" w:eastAsia="Calibri" w:hAnsi="Times New Roman" w:cs="Times New Roman"/>
          <w:bCs/>
          <w:sz w:val="24"/>
          <w:szCs w:val="24"/>
          <w:lang w:val="en-GB"/>
        </w:rPr>
        <w:t xml:space="preserve"> and </w:t>
      </w:r>
      <w:r w:rsidRPr="00C427D0">
        <w:rPr>
          <w:rFonts w:ascii="Times New Roman" w:eastAsia="Calibri" w:hAnsi="Times New Roman" w:cs="Times New Roman"/>
          <w:bCs/>
          <w:color w:val="000000"/>
          <w:sz w:val="24"/>
          <w:szCs w:val="24"/>
          <w:lang w:val="en-GB"/>
        </w:rPr>
        <w:t xml:space="preserve">sixth groups were pre-treated with 5% DMSO (10 mL/kg, p.o), ASA (150 mg/kg) and </w:t>
      </w:r>
      <w:r w:rsidRPr="00C427D0">
        <w:rPr>
          <w:rFonts w:ascii="Times New Roman" w:eastAsia="Calibri" w:hAnsi="Times New Roman" w:cs="Times New Roman"/>
          <w:color w:val="000000"/>
          <w:sz w:val="24"/>
          <w:szCs w:val="24"/>
          <w:lang w:val="en-GB"/>
        </w:rPr>
        <w:t>morphine (5 mg/kg, intra-peritoneally.)</w:t>
      </w:r>
      <w:r w:rsidRPr="00C427D0">
        <w:rPr>
          <w:rFonts w:ascii="Times New Roman" w:eastAsia="Calibri" w:hAnsi="Times New Roman" w:cs="Times New Roman"/>
          <w:bCs/>
          <w:color w:val="000000"/>
          <w:sz w:val="24"/>
          <w:szCs w:val="24"/>
          <w:lang w:val="en-GB"/>
        </w:rPr>
        <w:t xml:space="preserve"> respectively.</w:t>
      </w:r>
      <w:r w:rsidRPr="00C427D0">
        <w:rPr>
          <w:rFonts w:ascii="Times New Roman" w:eastAsia="Calibri" w:hAnsi="Times New Roman" w:cs="Times New Roman"/>
          <w:bCs/>
          <w:sz w:val="24"/>
          <w:szCs w:val="24"/>
          <w:lang w:val="en-GB"/>
        </w:rPr>
        <w:t xml:space="preserve"> One hour later, t</w:t>
      </w:r>
      <w:r w:rsidRPr="00C427D0">
        <w:rPr>
          <w:rFonts w:ascii="Times New Roman" w:eastAsia="Calibri" w:hAnsi="Times New Roman" w:cs="Times New Roman"/>
          <w:sz w:val="24"/>
          <w:szCs w:val="24"/>
          <w:lang w:val="en-GB"/>
        </w:rPr>
        <w:t>he reaction time to pain was measured and a cut off time of 10 seconds was imposed to prevent tissue damage.</w:t>
      </w:r>
      <w:r w:rsidRPr="00C427D0">
        <w:rPr>
          <w:rFonts w:ascii="Times New Roman" w:eastAsia="Calibri" w:hAnsi="Times New Roman" w:cs="Times New Roman"/>
          <w:bCs/>
          <w:sz w:val="24"/>
          <w:szCs w:val="24"/>
          <w:lang w:val="en-GB"/>
        </w:rPr>
        <w:t xml:space="preserve"> </w:t>
      </w:r>
    </w:p>
    <w:p w14:paraId="710CDBC6" w14:textId="77777777" w:rsidR="00C427D0" w:rsidRPr="00C427D0" w:rsidRDefault="00C427D0" w:rsidP="00C427D0">
      <w:pPr>
        <w:spacing w:after="0" w:line="360" w:lineRule="auto"/>
        <w:jc w:val="both"/>
        <w:rPr>
          <w:rFonts w:ascii="Times New Roman" w:eastAsia="Calibri" w:hAnsi="Times New Roman" w:cs="Times New Roman"/>
          <w:b/>
          <w:sz w:val="24"/>
          <w:szCs w:val="24"/>
          <w:lang w:val="en-GB"/>
        </w:rPr>
      </w:pPr>
    </w:p>
    <w:p w14:paraId="15583A16" w14:textId="77777777" w:rsidR="00C427D0" w:rsidRPr="00C427D0" w:rsidRDefault="00C427D0" w:rsidP="00C427D0">
      <w:pPr>
        <w:spacing w:after="0" w:line="36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2.7.3 Effect on formalin-induced nociception in mice   </w:t>
      </w:r>
    </w:p>
    <w:p w14:paraId="74B91AE8" w14:textId="77777777" w:rsidR="00C427D0" w:rsidRPr="00C427D0" w:rsidRDefault="00C427D0" w:rsidP="00C427D0">
      <w:pPr>
        <w:spacing w:after="0" w:line="360" w:lineRule="auto"/>
        <w:jc w:val="both"/>
        <w:rPr>
          <w:rFonts w:ascii="Times New Roman" w:eastAsia="Calibri" w:hAnsi="Times New Roman" w:cs="Times New Roman"/>
          <w:bCs/>
          <w:color w:val="C00000"/>
          <w:sz w:val="24"/>
          <w:szCs w:val="24"/>
          <w:lang w:val="en-GB"/>
        </w:rPr>
      </w:pPr>
      <w:r w:rsidRPr="00C427D0">
        <w:rPr>
          <w:rFonts w:ascii="Times New Roman" w:eastAsia="Calibri" w:hAnsi="Times New Roman" w:cs="Times New Roman"/>
          <w:sz w:val="24"/>
          <w:szCs w:val="24"/>
          <w:lang w:val="en-GB"/>
        </w:rPr>
        <w:t>F</w:t>
      </w:r>
      <w:r w:rsidRPr="00C427D0">
        <w:rPr>
          <w:rFonts w:ascii="Times New Roman" w:eastAsia="Calibri" w:hAnsi="Times New Roman" w:cs="Times New Roman"/>
          <w:bCs/>
          <w:sz w:val="24"/>
          <w:szCs w:val="24"/>
          <w:lang w:val="en-GB"/>
        </w:rPr>
        <w:t xml:space="preserve">ormalin-induced paw licking test was also employed as an animal pain model for the evaluation of the analgesic property of ETC according to the procedure </w:t>
      </w:r>
      <w:r w:rsidRPr="00C427D0">
        <w:rPr>
          <w:rFonts w:ascii="Times New Roman" w:eastAsia="Calibri" w:hAnsi="Times New Roman" w:cs="Times New Roman"/>
          <w:sz w:val="24"/>
          <w:szCs w:val="24"/>
          <w:lang w:val="en-GB"/>
        </w:rPr>
        <w:t xml:space="preserve">described by Correa and Calixto (1993).  Mice were randomly allotted to five treatment groups (n=5). Mice in the first </w:t>
      </w:r>
      <w:r w:rsidRPr="00C427D0">
        <w:rPr>
          <w:rFonts w:ascii="Times New Roman" w:eastAsia="Calibri" w:hAnsi="Times New Roman" w:cs="Times New Roman"/>
          <w:color w:val="000000"/>
          <w:sz w:val="24"/>
          <w:szCs w:val="24"/>
          <w:lang w:val="en-GB"/>
        </w:rPr>
        <w:t>3</w:t>
      </w:r>
      <w:r w:rsidRPr="00C427D0">
        <w:rPr>
          <w:rFonts w:ascii="Times New Roman" w:eastAsia="Calibri" w:hAnsi="Times New Roman" w:cs="Times New Roman"/>
          <w:color w:val="C00000"/>
          <w:sz w:val="24"/>
          <w:szCs w:val="24"/>
          <w:lang w:val="en-GB"/>
        </w:rPr>
        <w:t xml:space="preserve"> </w:t>
      </w:r>
      <w:r w:rsidRPr="00C427D0">
        <w:rPr>
          <w:rFonts w:ascii="Times New Roman" w:eastAsia="Calibri" w:hAnsi="Times New Roman" w:cs="Times New Roman"/>
          <w:sz w:val="24"/>
          <w:szCs w:val="24"/>
          <w:lang w:val="en-GB"/>
        </w:rPr>
        <w:t>groups were treated with ETC (250, 500 and 1000 mg/kg, orally.) while those in groups 5 and 6 received ASA (150 mg/kg, orally.) and DMSO (10 mL/kg, orally.) respectively. One hour later, each mouse received sub-plantar injection of 20 µL of 2.5% formalin into the right hind paw. The duration of paw licking was recorded for 0-5 minutes and 20-30 minutes after formalin injection.</w:t>
      </w:r>
      <w:r w:rsidRPr="00C427D0">
        <w:rPr>
          <w:rFonts w:ascii="Times New Roman" w:eastAsia="Calibri" w:hAnsi="Times New Roman" w:cs="Times New Roman"/>
          <w:bCs/>
          <w:color w:val="C00000"/>
          <w:sz w:val="24"/>
          <w:szCs w:val="24"/>
          <w:lang w:val="en-GB"/>
        </w:rPr>
        <w:t xml:space="preserve">  </w:t>
      </w:r>
    </w:p>
    <w:p w14:paraId="7C4A29F8" w14:textId="77777777" w:rsidR="00C427D0" w:rsidRPr="00C427D0" w:rsidRDefault="00C427D0" w:rsidP="00C427D0">
      <w:pPr>
        <w:spacing w:after="0" w:line="240" w:lineRule="auto"/>
        <w:jc w:val="both"/>
        <w:rPr>
          <w:rFonts w:ascii="Times New Roman" w:eastAsia="Calibri" w:hAnsi="Times New Roman" w:cs="Times New Roman"/>
          <w:bCs/>
          <w:color w:val="C00000"/>
          <w:sz w:val="24"/>
          <w:szCs w:val="24"/>
          <w:lang w:val="en-GB"/>
        </w:rPr>
      </w:pPr>
    </w:p>
    <w:p w14:paraId="4438FA51" w14:textId="77777777" w:rsidR="00C427D0" w:rsidRPr="00C427D0" w:rsidRDefault="00C427D0" w:rsidP="00C427D0">
      <w:pPr>
        <w:widowControl w:val="0"/>
        <w:spacing w:after="0" w:line="360" w:lineRule="auto"/>
        <w:jc w:val="both"/>
        <w:rPr>
          <w:rFonts w:ascii="Times New Roman" w:eastAsia="Calibri" w:hAnsi="Times New Roman" w:cs="Times New Roman"/>
          <w:b/>
          <w:snapToGrid w:val="0"/>
          <w:sz w:val="24"/>
          <w:szCs w:val="24"/>
          <w:lang w:val="en-GB"/>
        </w:rPr>
      </w:pPr>
      <w:r w:rsidRPr="00C427D0">
        <w:rPr>
          <w:rFonts w:ascii="Times New Roman" w:eastAsia="Calibri" w:hAnsi="Times New Roman" w:cs="Times New Roman"/>
          <w:b/>
          <w:snapToGrid w:val="0"/>
          <w:sz w:val="24"/>
          <w:szCs w:val="24"/>
          <w:lang w:val="en-GB"/>
        </w:rPr>
        <w:t>2.7.4 Effect on mechanical hyperalgesia in rats</w:t>
      </w:r>
    </w:p>
    <w:p w14:paraId="58E7CC91" w14:textId="77777777" w:rsidR="00C427D0" w:rsidRPr="00C427D0" w:rsidRDefault="00C427D0" w:rsidP="00C427D0">
      <w:pPr>
        <w:widowControl w:val="0"/>
        <w:spacing w:after="0" w:line="360" w:lineRule="auto"/>
        <w:jc w:val="both"/>
        <w:rPr>
          <w:rFonts w:ascii="Times New Roman" w:eastAsia="Calibri" w:hAnsi="Times New Roman" w:cs="Times New Roman"/>
          <w:snapToGrid w:val="0"/>
          <w:sz w:val="24"/>
          <w:szCs w:val="24"/>
          <w:lang w:val="en-GB"/>
        </w:rPr>
      </w:pPr>
      <w:r w:rsidRPr="00C427D0">
        <w:rPr>
          <w:rFonts w:ascii="Times New Roman" w:eastAsia="Calibri" w:hAnsi="Times New Roman" w:cs="Times New Roman"/>
          <w:bCs/>
          <w:sz w:val="24"/>
          <w:szCs w:val="24"/>
          <w:lang w:val="en-GB"/>
        </w:rPr>
        <w:t>The analgesic activity of ETC was further evaluated using car</w:t>
      </w:r>
      <w:r w:rsidRPr="00C427D0">
        <w:rPr>
          <w:rFonts w:ascii="Times New Roman" w:eastAsia="Calibri" w:hAnsi="Times New Roman" w:cs="Times New Roman"/>
          <w:snapToGrid w:val="0"/>
          <w:sz w:val="24"/>
          <w:szCs w:val="24"/>
          <w:lang w:val="en-GB"/>
        </w:rPr>
        <w:t xml:space="preserve">rageenan-induced mechanical hyperalgesia as previously described by Randall and Selitto (1957). Rats were randomly allotted to six treatment groups (n=5). Rats in groups 1, 2, and 3 were given ETC (250, 500 and 1000 mg/kg, orally.) while those in groups 4, 5 and 6 were given ASA (100 mg/kg, orally), morphine (1 mg/kg, i.p.) and 5% DMSO (10 ml/kg, orally) respectively. One hour later, 0.1 ml of 0.1% carrageenan in sterile normal saline was injected into the sub-plantar surface of each rat right hind paw. Three hours after carrageenan injection, the nociceptive response to </w:t>
      </w:r>
      <w:r w:rsidRPr="00C427D0">
        <w:rPr>
          <w:rFonts w:ascii="Times New Roman" w:eastAsia="Calibri" w:hAnsi="Times New Roman" w:cs="Times New Roman"/>
          <w:snapToGrid w:val="0"/>
          <w:sz w:val="24"/>
          <w:szCs w:val="24"/>
          <w:lang w:val="en-GB"/>
        </w:rPr>
        <w:lastRenderedPageBreak/>
        <w:t xml:space="preserve">mechanical stimulus was determined (Randall and Selitto, 1957). The nociceptive threshold, expressed in grams, was that force applied to the dorsal surface of the normal and inflamed hind paw, which caused each animal to withdraw the paw. The commercial version of Randall and Selitto device, analgesymeter (Ugo Basile, Italy) was used to deliver the mechanical force. A cut-off of 300 g was imposed to avoid tissue damage. </w:t>
      </w:r>
    </w:p>
    <w:p w14:paraId="4F9FBA08" w14:textId="77777777" w:rsidR="00C427D0" w:rsidRPr="00C427D0" w:rsidRDefault="00C427D0" w:rsidP="00C427D0">
      <w:pPr>
        <w:keepNext/>
        <w:keepLines/>
        <w:spacing w:after="0" w:line="240" w:lineRule="auto"/>
        <w:jc w:val="both"/>
        <w:outlineLvl w:val="2"/>
        <w:rPr>
          <w:rFonts w:ascii="Times New Roman" w:eastAsia="Times New Roman" w:hAnsi="Times New Roman" w:cs="Times New Roman"/>
          <w:b/>
          <w:bCs/>
          <w:color w:val="000000"/>
          <w:sz w:val="24"/>
          <w:szCs w:val="24"/>
          <w:lang w:val="en-GB"/>
        </w:rPr>
      </w:pPr>
    </w:p>
    <w:p w14:paraId="3DB09933" w14:textId="77777777" w:rsidR="00C427D0" w:rsidRPr="00C427D0" w:rsidRDefault="00C427D0" w:rsidP="00C427D0">
      <w:pPr>
        <w:keepNext/>
        <w:keepLines/>
        <w:spacing w:after="0" w:line="360" w:lineRule="auto"/>
        <w:jc w:val="both"/>
        <w:outlineLvl w:val="2"/>
        <w:rPr>
          <w:rFonts w:ascii="Times New Roman" w:eastAsia="Times New Roman" w:hAnsi="Times New Roman" w:cs="Times New Roman"/>
          <w:b/>
          <w:bCs/>
          <w:sz w:val="24"/>
          <w:szCs w:val="24"/>
          <w:lang w:val="en-GB"/>
        </w:rPr>
      </w:pPr>
      <w:r w:rsidRPr="00C427D0">
        <w:rPr>
          <w:rFonts w:ascii="Times New Roman" w:eastAsia="Times New Roman" w:hAnsi="Times New Roman" w:cs="Times New Roman"/>
          <w:b/>
          <w:bCs/>
          <w:color w:val="000000"/>
          <w:sz w:val="24"/>
          <w:szCs w:val="24"/>
          <w:lang w:val="en-GB"/>
        </w:rPr>
        <w:t>2.8 Statistical</w:t>
      </w:r>
      <w:r w:rsidRPr="00C427D0">
        <w:rPr>
          <w:rFonts w:ascii="Times New Roman" w:eastAsia="Times New Roman" w:hAnsi="Times New Roman" w:cs="Times New Roman"/>
          <w:b/>
          <w:bCs/>
          <w:sz w:val="24"/>
          <w:szCs w:val="24"/>
          <w:lang w:val="en-GB"/>
        </w:rPr>
        <w:t xml:space="preserve"> analysis</w:t>
      </w:r>
    </w:p>
    <w:p w14:paraId="3AF220A1"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Data were analysed using Graph Pad Prism software version 4.00 and were expressed as mean ± S.E.M. Statistical analysis was carried out using one way ANOVA, followed by Newman-Keuls Multiple Comparison Test for comparison between groups. P-values less than 0.05 were considered to be statistically significant. </w:t>
      </w:r>
    </w:p>
    <w:p w14:paraId="75DA97ED" w14:textId="77777777" w:rsidR="00C427D0" w:rsidRPr="00C427D0" w:rsidRDefault="00C427D0" w:rsidP="00C427D0">
      <w:pPr>
        <w:autoSpaceDE w:val="0"/>
        <w:autoSpaceDN w:val="0"/>
        <w:adjustRightInd w:val="0"/>
        <w:spacing w:after="0" w:line="360" w:lineRule="auto"/>
        <w:ind w:left="360"/>
        <w:jc w:val="both"/>
        <w:rPr>
          <w:rFonts w:ascii="Times New Roman" w:eastAsia="Calibri" w:hAnsi="Times New Roman" w:cs="Times New Roman"/>
          <w:b/>
          <w:sz w:val="24"/>
          <w:szCs w:val="24"/>
          <w:lang w:val="en-GB"/>
        </w:rPr>
      </w:pPr>
    </w:p>
    <w:p w14:paraId="5E035E53" w14:textId="77777777" w:rsidR="00C427D0" w:rsidRPr="00C427D0" w:rsidRDefault="00C427D0" w:rsidP="00C427D0">
      <w:pPr>
        <w:autoSpaceDE w:val="0"/>
        <w:autoSpaceDN w:val="0"/>
        <w:adjustRightInd w:val="0"/>
        <w:spacing w:after="0" w:line="360" w:lineRule="auto"/>
        <w:ind w:left="360"/>
        <w:jc w:val="both"/>
        <w:rPr>
          <w:rFonts w:ascii="Times New Roman" w:eastAsia="Calibri" w:hAnsi="Times New Roman" w:cs="Times New Roman"/>
          <w:b/>
          <w:sz w:val="24"/>
          <w:szCs w:val="24"/>
          <w:lang w:val="en-GB"/>
        </w:rPr>
      </w:pPr>
    </w:p>
    <w:p w14:paraId="4246807A" w14:textId="77777777" w:rsidR="00C427D0" w:rsidRPr="00C427D0" w:rsidRDefault="00C427D0" w:rsidP="00C427D0">
      <w:pPr>
        <w:numPr>
          <w:ilvl w:val="0"/>
          <w:numId w:val="4"/>
        </w:numPr>
        <w:autoSpaceDE w:val="0"/>
        <w:autoSpaceDN w:val="0"/>
        <w:adjustRightInd w:val="0"/>
        <w:spacing w:after="0" w:line="36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Results</w:t>
      </w:r>
    </w:p>
    <w:p w14:paraId="25BB987F"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b/>
          <w:bCs/>
          <w:i/>
          <w:sz w:val="24"/>
          <w:szCs w:val="24"/>
          <w:lang w:val="en-GB"/>
        </w:rPr>
      </w:pPr>
      <w:r w:rsidRPr="00C427D0">
        <w:rPr>
          <w:rFonts w:ascii="Times New Roman" w:eastAsia="Calibri" w:hAnsi="Times New Roman" w:cs="Times New Roman"/>
          <w:b/>
          <w:bCs/>
          <w:sz w:val="24"/>
          <w:szCs w:val="24"/>
          <w:lang w:val="en-GB"/>
        </w:rPr>
        <w:t xml:space="preserve">3.1 Phytochemical constituents of the ethanol extract of stem bark of </w:t>
      </w:r>
      <w:r w:rsidRPr="00C427D0">
        <w:rPr>
          <w:rFonts w:ascii="Times New Roman" w:eastAsia="Calibri" w:hAnsi="Times New Roman" w:cs="Times New Roman"/>
          <w:b/>
          <w:bCs/>
          <w:i/>
          <w:sz w:val="24"/>
          <w:szCs w:val="24"/>
          <w:lang w:val="en-GB"/>
        </w:rPr>
        <w:t>Theobroma cacao</w:t>
      </w:r>
    </w:p>
    <w:p w14:paraId="28D60140" w14:textId="77777777" w:rsidR="00C427D0" w:rsidRPr="00C427D0" w:rsidRDefault="00C427D0" w:rsidP="00C427D0">
      <w:pPr>
        <w:spacing w:after="0" w:line="360" w:lineRule="auto"/>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Phytochemical</w:t>
      </w:r>
      <w:r w:rsidRPr="00C427D0">
        <w:rPr>
          <w:rFonts w:ascii="Times New Roman" w:eastAsia="Calibri" w:hAnsi="Times New Roman" w:cs="Times New Roman"/>
          <w:b/>
          <w:bCs/>
          <w:sz w:val="24"/>
          <w:szCs w:val="24"/>
          <w:lang w:val="en-GB"/>
        </w:rPr>
        <w:t xml:space="preserve"> </w:t>
      </w:r>
      <w:r w:rsidRPr="00C427D0">
        <w:rPr>
          <w:rFonts w:ascii="Times New Roman" w:eastAsia="Calibri" w:hAnsi="Times New Roman" w:cs="Times New Roman"/>
          <w:bCs/>
          <w:sz w:val="24"/>
          <w:szCs w:val="24"/>
          <w:lang w:val="en-GB"/>
        </w:rPr>
        <w:t xml:space="preserve">analysis revealed the presence of alkaloids, anthraquinones, cardenolide, flavonoids, protein, saponin, steroids, tannins and terpinoids in ETC. The proportions of each in these constituents are shown in </w:t>
      </w:r>
    </w:p>
    <w:p w14:paraId="34FAC82C" w14:textId="77777777" w:rsidR="00C427D0" w:rsidRPr="00C427D0" w:rsidRDefault="00C427D0" w:rsidP="00C427D0">
      <w:pPr>
        <w:spacing w:after="0" w:line="360" w:lineRule="auto"/>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Table1.</w:t>
      </w:r>
    </w:p>
    <w:p w14:paraId="13DE043F" w14:textId="77777777" w:rsidR="00C427D0" w:rsidRPr="00C427D0" w:rsidRDefault="00C427D0" w:rsidP="00C427D0">
      <w:pPr>
        <w:spacing w:after="0" w:line="360" w:lineRule="auto"/>
        <w:rPr>
          <w:rFonts w:ascii="Times New Roman" w:eastAsia="Calibri" w:hAnsi="Times New Roman" w:cs="Times New Roman"/>
          <w:bCs/>
          <w:sz w:val="24"/>
          <w:szCs w:val="24"/>
          <w:lang w:val="en-GB"/>
        </w:rPr>
      </w:pPr>
    </w:p>
    <w:p w14:paraId="4755AA92" w14:textId="77777777" w:rsidR="00C427D0" w:rsidRPr="00C427D0" w:rsidRDefault="00C427D0" w:rsidP="00C427D0">
      <w:pPr>
        <w:spacing w:after="0" w:line="240" w:lineRule="auto"/>
        <w:rPr>
          <w:rFonts w:ascii="Times New Roman" w:eastAsia="Calibri" w:hAnsi="Times New Roman" w:cs="Times New Roman"/>
          <w:bCs/>
          <w:sz w:val="24"/>
          <w:szCs w:val="24"/>
          <w:lang w:val="en-GB"/>
        </w:rPr>
      </w:pPr>
    </w:p>
    <w:p w14:paraId="3C7D7A08" w14:textId="77777777" w:rsidR="00C427D0" w:rsidRPr="00C427D0" w:rsidRDefault="00C427D0" w:rsidP="00C427D0">
      <w:pPr>
        <w:spacing w:after="0" w:line="24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 xml:space="preserve">Table 1 Phytochemical constituents of ethanol extract of </w:t>
      </w:r>
      <w:r w:rsidRPr="00C427D0">
        <w:rPr>
          <w:rFonts w:ascii="Times New Roman" w:eastAsia="Calibri" w:hAnsi="Times New Roman" w:cs="Times New Roman"/>
          <w:b/>
          <w:bCs/>
          <w:i/>
          <w:sz w:val="24"/>
          <w:szCs w:val="24"/>
          <w:lang w:val="en-GB"/>
        </w:rPr>
        <w:t>Theobroma cacao</w:t>
      </w:r>
      <w:r w:rsidRPr="00C427D0">
        <w:rPr>
          <w:rFonts w:ascii="Times New Roman" w:eastAsia="Calibri" w:hAnsi="Times New Roman" w:cs="Times New Roman"/>
          <w:b/>
          <w:bCs/>
          <w:sz w:val="24"/>
          <w:szCs w:val="24"/>
          <w:lang w:val="en-GB"/>
        </w:rPr>
        <w:t xml:space="preserve"> stem bark</w:t>
      </w:r>
    </w:p>
    <w:p w14:paraId="34BF5A53" w14:textId="77777777" w:rsidR="00C427D0" w:rsidRPr="00C427D0" w:rsidRDefault="00C427D0" w:rsidP="00C427D0">
      <w:pPr>
        <w:spacing w:after="0" w:line="24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8"/>
        <w:gridCol w:w="4040"/>
      </w:tblGrid>
      <w:tr w:rsidR="00C427D0" w:rsidRPr="00C427D0" w14:paraId="28C5D15E" w14:textId="77777777" w:rsidTr="00C427D0">
        <w:tc>
          <w:tcPr>
            <w:tcW w:w="4618" w:type="dxa"/>
            <w:tcBorders>
              <w:top w:val="single" w:sz="4" w:space="0" w:color="000000"/>
              <w:left w:val="single" w:sz="4" w:space="0" w:color="000000"/>
              <w:bottom w:val="single" w:sz="4" w:space="0" w:color="000000"/>
              <w:right w:val="single" w:sz="4" w:space="0" w:color="000000"/>
            </w:tcBorders>
            <w:hideMark/>
          </w:tcPr>
          <w:p w14:paraId="2BF8FEB1"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bCs/>
                <w:sz w:val="24"/>
                <w:szCs w:val="24"/>
                <w:lang w:val="en-GB"/>
              </w:rPr>
              <w:t>Phytochemical groups</w:t>
            </w:r>
          </w:p>
        </w:tc>
        <w:tc>
          <w:tcPr>
            <w:tcW w:w="4040" w:type="dxa"/>
            <w:tcBorders>
              <w:top w:val="single" w:sz="4" w:space="0" w:color="000000"/>
              <w:left w:val="single" w:sz="4" w:space="0" w:color="000000"/>
              <w:bottom w:val="single" w:sz="4" w:space="0" w:color="000000"/>
              <w:right w:val="single" w:sz="4" w:space="0" w:color="000000"/>
            </w:tcBorders>
            <w:hideMark/>
          </w:tcPr>
          <w:p w14:paraId="0A4F8C4B"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Amount of constituents (%)</w:t>
            </w:r>
          </w:p>
        </w:tc>
      </w:tr>
      <w:tr w:rsidR="00C427D0" w:rsidRPr="00C427D0" w14:paraId="5EF12FC9" w14:textId="77777777" w:rsidTr="00C427D0">
        <w:tc>
          <w:tcPr>
            <w:tcW w:w="4618" w:type="dxa"/>
            <w:tcBorders>
              <w:top w:val="single" w:sz="4" w:space="0" w:color="000000"/>
              <w:left w:val="single" w:sz="4" w:space="0" w:color="000000"/>
              <w:bottom w:val="single" w:sz="4" w:space="0" w:color="000000"/>
              <w:right w:val="single" w:sz="4" w:space="0" w:color="000000"/>
            </w:tcBorders>
            <w:hideMark/>
          </w:tcPr>
          <w:p w14:paraId="47FDDEDC"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bCs/>
                <w:sz w:val="24"/>
                <w:szCs w:val="24"/>
                <w:lang w:val="en-GB"/>
              </w:rPr>
              <w:t xml:space="preserve">Alkaloids    </w:t>
            </w:r>
          </w:p>
        </w:tc>
        <w:tc>
          <w:tcPr>
            <w:tcW w:w="4040" w:type="dxa"/>
            <w:tcBorders>
              <w:top w:val="single" w:sz="4" w:space="0" w:color="000000"/>
              <w:left w:val="single" w:sz="4" w:space="0" w:color="000000"/>
              <w:bottom w:val="single" w:sz="4" w:space="0" w:color="000000"/>
              <w:right w:val="single" w:sz="4" w:space="0" w:color="000000"/>
            </w:tcBorders>
            <w:hideMark/>
          </w:tcPr>
          <w:p w14:paraId="715B8459"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bCs/>
                <w:sz w:val="24"/>
                <w:szCs w:val="24"/>
                <w:lang w:val="en-GB"/>
              </w:rPr>
              <w:t>0.867</w:t>
            </w:r>
          </w:p>
        </w:tc>
      </w:tr>
      <w:tr w:rsidR="00C427D0" w:rsidRPr="00C427D0" w14:paraId="512AB3AB" w14:textId="77777777" w:rsidTr="00C427D0">
        <w:tc>
          <w:tcPr>
            <w:tcW w:w="4618" w:type="dxa"/>
            <w:tcBorders>
              <w:top w:val="single" w:sz="4" w:space="0" w:color="000000"/>
              <w:left w:val="single" w:sz="4" w:space="0" w:color="000000"/>
              <w:bottom w:val="single" w:sz="4" w:space="0" w:color="000000"/>
              <w:right w:val="single" w:sz="4" w:space="0" w:color="000000"/>
            </w:tcBorders>
            <w:hideMark/>
          </w:tcPr>
          <w:p w14:paraId="65C309C2"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 xml:space="preserve">Anthraquinones   </w:t>
            </w:r>
          </w:p>
        </w:tc>
        <w:tc>
          <w:tcPr>
            <w:tcW w:w="4040" w:type="dxa"/>
            <w:tcBorders>
              <w:top w:val="single" w:sz="4" w:space="0" w:color="000000"/>
              <w:left w:val="single" w:sz="4" w:space="0" w:color="000000"/>
              <w:bottom w:val="single" w:sz="4" w:space="0" w:color="000000"/>
              <w:right w:val="single" w:sz="4" w:space="0" w:color="000000"/>
            </w:tcBorders>
            <w:hideMark/>
          </w:tcPr>
          <w:p w14:paraId="065A4C38"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0.0043</w:t>
            </w:r>
          </w:p>
        </w:tc>
      </w:tr>
      <w:tr w:rsidR="00C427D0" w:rsidRPr="00C427D0" w14:paraId="4FFC2E5F" w14:textId="77777777" w:rsidTr="00C427D0">
        <w:trPr>
          <w:trHeight w:val="278"/>
        </w:trPr>
        <w:tc>
          <w:tcPr>
            <w:tcW w:w="4618" w:type="dxa"/>
            <w:tcBorders>
              <w:top w:val="single" w:sz="4" w:space="0" w:color="000000"/>
              <w:left w:val="single" w:sz="4" w:space="0" w:color="000000"/>
              <w:bottom w:val="single" w:sz="4" w:space="0" w:color="000000"/>
              <w:right w:val="single" w:sz="4" w:space="0" w:color="000000"/>
            </w:tcBorders>
            <w:hideMark/>
          </w:tcPr>
          <w:p w14:paraId="6E3B9138"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Cardenolide</w:t>
            </w:r>
          </w:p>
        </w:tc>
        <w:tc>
          <w:tcPr>
            <w:tcW w:w="4040" w:type="dxa"/>
            <w:tcBorders>
              <w:top w:val="single" w:sz="4" w:space="0" w:color="000000"/>
              <w:left w:val="single" w:sz="4" w:space="0" w:color="000000"/>
              <w:bottom w:val="single" w:sz="4" w:space="0" w:color="000000"/>
              <w:right w:val="single" w:sz="4" w:space="0" w:color="000000"/>
            </w:tcBorders>
            <w:hideMark/>
          </w:tcPr>
          <w:p w14:paraId="7E3EF2F9"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0.105</w:t>
            </w:r>
          </w:p>
        </w:tc>
      </w:tr>
      <w:tr w:rsidR="00C427D0" w:rsidRPr="00C427D0" w14:paraId="0A9C718B" w14:textId="77777777" w:rsidTr="00C427D0">
        <w:tc>
          <w:tcPr>
            <w:tcW w:w="4618" w:type="dxa"/>
            <w:tcBorders>
              <w:top w:val="single" w:sz="4" w:space="0" w:color="000000"/>
              <w:left w:val="single" w:sz="4" w:space="0" w:color="000000"/>
              <w:bottom w:val="single" w:sz="4" w:space="0" w:color="000000"/>
              <w:right w:val="single" w:sz="4" w:space="0" w:color="000000"/>
            </w:tcBorders>
            <w:hideMark/>
          </w:tcPr>
          <w:p w14:paraId="188BCC5A"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Flavonoids</w:t>
            </w:r>
          </w:p>
        </w:tc>
        <w:tc>
          <w:tcPr>
            <w:tcW w:w="4040" w:type="dxa"/>
            <w:tcBorders>
              <w:top w:val="single" w:sz="4" w:space="0" w:color="000000"/>
              <w:left w:val="single" w:sz="4" w:space="0" w:color="000000"/>
              <w:bottom w:val="single" w:sz="4" w:space="0" w:color="000000"/>
              <w:right w:val="single" w:sz="4" w:space="0" w:color="000000"/>
            </w:tcBorders>
            <w:hideMark/>
          </w:tcPr>
          <w:p w14:paraId="462B6A5E"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0.004</w:t>
            </w:r>
          </w:p>
        </w:tc>
      </w:tr>
      <w:tr w:rsidR="00C427D0" w:rsidRPr="00C427D0" w14:paraId="00063C54" w14:textId="77777777" w:rsidTr="00C427D0">
        <w:tc>
          <w:tcPr>
            <w:tcW w:w="4618" w:type="dxa"/>
            <w:tcBorders>
              <w:top w:val="single" w:sz="4" w:space="0" w:color="000000"/>
              <w:left w:val="single" w:sz="4" w:space="0" w:color="000000"/>
              <w:bottom w:val="single" w:sz="4" w:space="0" w:color="000000"/>
              <w:right w:val="single" w:sz="4" w:space="0" w:color="000000"/>
            </w:tcBorders>
            <w:hideMark/>
          </w:tcPr>
          <w:p w14:paraId="2EBC895C"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 xml:space="preserve">Protein  </w:t>
            </w:r>
          </w:p>
        </w:tc>
        <w:tc>
          <w:tcPr>
            <w:tcW w:w="4040" w:type="dxa"/>
            <w:tcBorders>
              <w:top w:val="single" w:sz="4" w:space="0" w:color="000000"/>
              <w:left w:val="single" w:sz="4" w:space="0" w:color="000000"/>
              <w:bottom w:val="single" w:sz="4" w:space="0" w:color="000000"/>
              <w:right w:val="single" w:sz="4" w:space="0" w:color="000000"/>
            </w:tcBorders>
            <w:hideMark/>
          </w:tcPr>
          <w:p w14:paraId="11EE5A2D"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6.380</w:t>
            </w:r>
          </w:p>
        </w:tc>
      </w:tr>
      <w:tr w:rsidR="00C427D0" w:rsidRPr="00C427D0" w14:paraId="43AC46AE" w14:textId="77777777" w:rsidTr="00C427D0">
        <w:tc>
          <w:tcPr>
            <w:tcW w:w="4618" w:type="dxa"/>
            <w:tcBorders>
              <w:top w:val="single" w:sz="4" w:space="0" w:color="000000"/>
              <w:left w:val="single" w:sz="4" w:space="0" w:color="000000"/>
              <w:bottom w:val="single" w:sz="4" w:space="0" w:color="000000"/>
              <w:right w:val="single" w:sz="4" w:space="0" w:color="000000"/>
            </w:tcBorders>
            <w:hideMark/>
          </w:tcPr>
          <w:p w14:paraId="0A451D0A"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 xml:space="preserve">Saponin                                                    </w:t>
            </w:r>
          </w:p>
        </w:tc>
        <w:tc>
          <w:tcPr>
            <w:tcW w:w="4040" w:type="dxa"/>
            <w:tcBorders>
              <w:top w:val="single" w:sz="4" w:space="0" w:color="000000"/>
              <w:left w:val="single" w:sz="4" w:space="0" w:color="000000"/>
              <w:bottom w:val="single" w:sz="4" w:space="0" w:color="000000"/>
              <w:right w:val="single" w:sz="4" w:space="0" w:color="000000"/>
            </w:tcBorders>
            <w:hideMark/>
          </w:tcPr>
          <w:p w14:paraId="1877B6CB"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0.312</w:t>
            </w:r>
          </w:p>
        </w:tc>
      </w:tr>
      <w:tr w:rsidR="00C427D0" w:rsidRPr="00C427D0" w14:paraId="1ABBCB59" w14:textId="77777777" w:rsidTr="00C427D0">
        <w:tc>
          <w:tcPr>
            <w:tcW w:w="4618" w:type="dxa"/>
            <w:tcBorders>
              <w:top w:val="single" w:sz="4" w:space="0" w:color="000000"/>
              <w:left w:val="single" w:sz="4" w:space="0" w:color="000000"/>
              <w:bottom w:val="single" w:sz="4" w:space="0" w:color="000000"/>
              <w:right w:val="single" w:sz="4" w:space="0" w:color="000000"/>
            </w:tcBorders>
            <w:hideMark/>
          </w:tcPr>
          <w:p w14:paraId="43206D0D"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 xml:space="preserve">Steroids                                                 </w:t>
            </w:r>
          </w:p>
        </w:tc>
        <w:tc>
          <w:tcPr>
            <w:tcW w:w="4040" w:type="dxa"/>
            <w:tcBorders>
              <w:top w:val="single" w:sz="4" w:space="0" w:color="000000"/>
              <w:left w:val="single" w:sz="4" w:space="0" w:color="000000"/>
              <w:bottom w:val="single" w:sz="4" w:space="0" w:color="000000"/>
              <w:right w:val="single" w:sz="4" w:space="0" w:color="000000"/>
            </w:tcBorders>
            <w:hideMark/>
          </w:tcPr>
          <w:p w14:paraId="4E046C4E"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0.029</w:t>
            </w:r>
          </w:p>
        </w:tc>
      </w:tr>
      <w:tr w:rsidR="00C427D0" w:rsidRPr="00C427D0" w14:paraId="6553E078" w14:textId="77777777" w:rsidTr="00C427D0">
        <w:tc>
          <w:tcPr>
            <w:tcW w:w="4618" w:type="dxa"/>
            <w:tcBorders>
              <w:top w:val="single" w:sz="4" w:space="0" w:color="000000"/>
              <w:left w:val="single" w:sz="4" w:space="0" w:color="000000"/>
              <w:bottom w:val="single" w:sz="4" w:space="0" w:color="000000"/>
              <w:right w:val="single" w:sz="4" w:space="0" w:color="000000"/>
            </w:tcBorders>
            <w:hideMark/>
          </w:tcPr>
          <w:p w14:paraId="3174D519"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 xml:space="preserve">Tannins  </w:t>
            </w:r>
          </w:p>
        </w:tc>
        <w:tc>
          <w:tcPr>
            <w:tcW w:w="4040" w:type="dxa"/>
            <w:tcBorders>
              <w:top w:val="single" w:sz="4" w:space="0" w:color="000000"/>
              <w:left w:val="single" w:sz="4" w:space="0" w:color="000000"/>
              <w:bottom w:val="single" w:sz="4" w:space="0" w:color="000000"/>
              <w:right w:val="single" w:sz="4" w:space="0" w:color="000000"/>
            </w:tcBorders>
            <w:hideMark/>
          </w:tcPr>
          <w:p w14:paraId="6A1FE9A9"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0.023</w:t>
            </w:r>
          </w:p>
        </w:tc>
      </w:tr>
      <w:tr w:rsidR="00C427D0" w:rsidRPr="00C427D0" w14:paraId="5726BD4C" w14:textId="77777777" w:rsidTr="00C427D0">
        <w:tc>
          <w:tcPr>
            <w:tcW w:w="4618" w:type="dxa"/>
            <w:tcBorders>
              <w:top w:val="single" w:sz="4" w:space="0" w:color="000000"/>
              <w:left w:val="single" w:sz="4" w:space="0" w:color="000000"/>
              <w:bottom w:val="single" w:sz="4" w:space="0" w:color="000000"/>
              <w:right w:val="single" w:sz="4" w:space="0" w:color="000000"/>
            </w:tcBorders>
            <w:hideMark/>
          </w:tcPr>
          <w:p w14:paraId="5DD740E5"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Terpinoids</w:t>
            </w:r>
          </w:p>
        </w:tc>
        <w:tc>
          <w:tcPr>
            <w:tcW w:w="4040" w:type="dxa"/>
            <w:tcBorders>
              <w:top w:val="single" w:sz="4" w:space="0" w:color="000000"/>
              <w:left w:val="single" w:sz="4" w:space="0" w:color="000000"/>
              <w:bottom w:val="single" w:sz="4" w:space="0" w:color="000000"/>
              <w:right w:val="single" w:sz="4" w:space="0" w:color="000000"/>
            </w:tcBorders>
            <w:hideMark/>
          </w:tcPr>
          <w:p w14:paraId="25E18136" w14:textId="77777777" w:rsidR="00C427D0" w:rsidRPr="00C427D0" w:rsidRDefault="00C427D0" w:rsidP="00C427D0">
            <w:pPr>
              <w:spacing w:after="0" w:line="24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0.048</w:t>
            </w:r>
          </w:p>
        </w:tc>
      </w:tr>
    </w:tbl>
    <w:p w14:paraId="0438EDCC" w14:textId="77777777" w:rsidR="00C427D0" w:rsidRPr="00C427D0" w:rsidRDefault="00C427D0" w:rsidP="00C427D0">
      <w:pPr>
        <w:spacing w:after="0" w:line="24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 xml:space="preserve">      </w:t>
      </w:r>
    </w:p>
    <w:p w14:paraId="17074EC7" w14:textId="77777777" w:rsidR="00C427D0" w:rsidRPr="00C427D0" w:rsidRDefault="00C427D0" w:rsidP="00C427D0">
      <w:pPr>
        <w:spacing w:after="0" w:line="360" w:lineRule="auto"/>
        <w:jc w:val="both"/>
        <w:rPr>
          <w:rFonts w:ascii="Times New Roman" w:eastAsia="Calibri" w:hAnsi="Times New Roman" w:cs="Times New Roman"/>
          <w:b/>
          <w:bCs/>
          <w:sz w:val="24"/>
          <w:szCs w:val="24"/>
          <w:lang w:val="en-GB"/>
        </w:rPr>
      </w:pPr>
    </w:p>
    <w:p w14:paraId="0E65ED75" w14:textId="77777777" w:rsidR="00C427D0" w:rsidRPr="00C427D0" w:rsidRDefault="00C427D0" w:rsidP="00C427D0">
      <w:pPr>
        <w:spacing w:after="0" w:line="36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3.2 Acute toxicity tests</w:t>
      </w:r>
    </w:p>
    <w:p w14:paraId="775347B7" w14:textId="77777777" w:rsidR="00C427D0" w:rsidRPr="00C427D0" w:rsidRDefault="00C427D0" w:rsidP="00C427D0">
      <w:pPr>
        <w:spacing w:after="0" w:line="360" w:lineRule="auto"/>
        <w:jc w:val="both"/>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lastRenderedPageBreak/>
        <w:t>Acute toxicity test carried out in mice revealed that ETC (</w:t>
      </w:r>
      <w:r w:rsidRPr="00C427D0">
        <w:rPr>
          <w:rFonts w:ascii="Times New Roman" w:eastAsia="Calibri" w:hAnsi="Times New Roman" w:cs="Times New Roman"/>
          <w:sz w:val="24"/>
          <w:szCs w:val="24"/>
          <w:lang w:val="en-GB"/>
        </w:rPr>
        <w:t>62.5, 125, 500, 1000, 2000 and 5000 mg/kg, p.o</w:t>
      </w:r>
      <w:r w:rsidRPr="00C427D0">
        <w:rPr>
          <w:rFonts w:ascii="Times New Roman" w:eastAsia="Calibri" w:hAnsi="Times New Roman" w:cs="Times New Roman"/>
          <w:bCs/>
          <w:sz w:val="24"/>
          <w:szCs w:val="24"/>
          <w:lang w:val="en-GB"/>
        </w:rPr>
        <w:t>) was well tolerated by the animals as no death was observed at these doses within the experimental period of 48 hr.</w:t>
      </w:r>
    </w:p>
    <w:p w14:paraId="50F329BF" w14:textId="77777777" w:rsidR="00C427D0" w:rsidRPr="00C427D0" w:rsidRDefault="00C427D0" w:rsidP="00C427D0">
      <w:pPr>
        <w:spacing w:after="0" w:line="360" w:lineRule="auto"/>
        <w:jc w:val="both"/>
        <w:rPr>
          <w:rFonts w:ascii="Times New Roman" w:eastAsia="Calibri" w:hAnsi="Times New Roman" w:cs="Times New Roman"/>
          <w:b/>
          <w:bCs/>
          <w:sz w:val="24"/>
          <w:szCs w:val="24"/>
          <w:lang w:val="en-GB"/>
        </w:rPr>
      </w:pPr>
    </w:p>
    <w:p w14:paraId="1B955E61" w14:textId="77777777" w:rsidR="00C427D0" w:rsidRPr="00C427D0" w:rsidRDefault="00C427D0" w:rsidP="00C427D0">
      <w:pPr>
        <w:spacing w:after="0" w:line="360" w:lineRule="auto"/>
        <w:jc w:val="both"/>
        <w:rPr>
          <w:rFonts w:ascii="Times New Roman" w:eastAsia="Calibri" w:hAnsi="Times New Roman" w:cs="Times New Roman"/>
          <w:b/>
          <w:bCs/>
          <w:sz w:val="24"/>
          <w:szCs w:val="24"/>
          <w:lang w:val="en-GB"/>
        </w:rPr>
      </w:pPr>
      <w:r w:rsidRPr="00C427D0">
        <w:rPr>
          <w:rFonts w:ascii="Times New Roman" w:eastAsia="Calibri" w:hAnsi="Times New Roman" w:cs="Times New Roman"/>
          <w:b/>
          <w:bCs/>
          <w:sz w:val="24"/>
          <w:szCs w:val="24"/>
          <w:lang w:val="en-GB"/>
        </w:rPr>
        <w:t xml:space="preserve">3.3 Anti-inflammatory effect of </w:t>
      </w:r>
      <w:r w:rsidRPr="00C427D0">
        <w:rPr>
          <w:rFonts w:ascii="Times New Roman" w:eastAsia="Calibri" w:hAnsi="Times New Roman" w:cs="Times New Roman"/>
          <w:b/>
          <w:i/>
          <w:sz w:val="24"/>
          <w:szCs w:val="24"/>
          <w:lang w:val="en-GB"/>
        </w:rPr>
        <w:t>Theobroma cacao</w:t>
      </w:r>
      <w:r w:rsidRPr="00C427D0">
        <w:rPr>
          <w:rFonts w:ascii="Times New Roman" w:eastAsia="Calibri" w:hAnsi="Times New Roman" w:cs="Times New Roman"/>
          <w:b/>
          <w:sz w:val="24"/>
          <w:szCs w:val="24"/>
          <w:lang w:val="en-GB"/>
        </w:rPr>
        <w:t xml:space="preserve"> </w:t>
      </w:r>
    </w:p>
    <w:p w14:paraId="4C52687C"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The increased paw volume induced by 0.1% carrageenan was significantly (p &lt; 0.05) and dose-dependently reduced by ETC (250, 500 and 1000 mg/kg, orally.) in comparison with vehicle, which suggests anti-inflammatory property (Fig 1a &amp; 1b) .  As shown in Fig 2a &amp; 2b, ETC (250, 500 and 1000 mg/kg, orally) also reduced the oedema paw volume induced by formalin, which further indicates anti-inflammatory activity. In a similar manner, ASA (100 mg/kg) also produced a significant reduction in oedema volumes induced by carrageenan or formalin (p &lt; 0.05) inhibition of inflammatory oedema induced by the phlogistic agents (Fig 1a 2a and 3). However, ETC and ASA were more effective against inflammation evoked by carrageenan in rats than that evoked by formalin (Figs 1a &amp; b and Fig2a &amp; b). </w:t>
      </w:r>
    </w:p>
    <w:p w14:paraId="107F2E33" w14:textId="77777777" w:rsidR="00C427D0" w:rsidRPr="00C427D0" w:rsidRDefault="00C427D0" w:rsidP="00C427D0">
      <w:pPr>
        <w:spacing w:after="0" w:line="276"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p>
    <w:p w14:paraId="7A1C0323"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1FB140CA" w14:textId="77777777" w:rsidR="00C427D0" w:rsidRPr="00C427D0" w:rsidRDefault="00C427D0" w:rsidP="00C427D0">
      <w:pPr>
        <w:spacing w:after="0" w:line="36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b/>
          <w:noProof/>
          <w:sz w:val="24"/>
          <w:szCs w:val="24"/>
        </w:rPr>
        <w:drawing>
          <wp:inline distT="0" distB="0" distL="0" distR="0" wp14:anchorId="6097EA9F" wp14:editId="3F10D2D1">
            <wp:extent cx="4362451" cy="3419476"/>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E0F4E96" w14:textId="77777777" w:rsidR="00C427D0" w:rsidRPr="00C427D0" w:rsidRDefault="00C427D0" w:rsidP="00C427D0">
      <w:pPr>
        <w:spacing w:after="0" w:line="36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p>
    <w:p w14:paraId="5C46BC16" w14:textId="77777777" w:rsidR="00C427D0" w:rsidRPr="00C427D0" w:rsidRDefault="00C427D0" w:rsidP="00C427D0">
      <w:pPr>
        <w:spacing w:after="0" w:line="276"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Fig 1a Effect of ethanol extract of </w:t>
      </w:r>
      <w:r w:rsidRPr="00C427D0">
        <w:rPr>
          <w:rFonts w:ascii="Times New Roman" w:eastAsia="Calibri" w:hAnsi="Times New Roman" w:cs="Times New Roman"/>
          <w:b/>
          <w:i/>
          <w:sz w:val="24"/>
          <w:szCs w:val="24"/>
          <w:lang w:val="en-GB"/>
        </w:rPr>
        <w:t>Theobroma cacao</w:t>
      </w:r>
      <w:r w:rsidRPr="00C427D0">
        <w:rPr>
          <w:rFonts w:ascii="Times New Roman" w:eastAsia="Calibri" w:hAnsi="Times New Roman" w:cs="Times New Roman"/>
          <w:b/>
          <w:sz w:val="24"/>
          <w:szCs w:val="24"/>
          <w:lang w:val="en-GB"/>
        </w:rPr>
        <w:t xml:space="preserve"> stem bark on</w:t>
      </w:r>
    </w:p>
    <w:p w14:paraId="20AA91E7" w14:textId="77777777" w:rsidR="00C427D0" w:rsidRPr="00C427D0" w:rsidRDefault="00C427D0" w:rsidP="00C427D0">
      <w:pPr>
        <w:spacing w:after="0" w:line="36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Carrageenan induced Paw Oedema in the rats</w:t>
      </w:r>
    </w:p>
    <w:p w14:paraId="4AAC12B3" w14:textId="77777777" w:rsidR="00C427D0" w:rsidRPr="00C427D0" w:rsidRDefault="00C427D0" w:rsidP="00C427D0">
      <w:pPr>
        <w:spacing w:after="0" w:line="276"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p>
    <w:p w14:paraId="46563751"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7494F38B"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11500287"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457D9F3A"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7F525805"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1507C3DC"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65F19521"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7FF2F464"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2696A5A1"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7C5CCA5B"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0ECC0018"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432C5616"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16EF5AC5"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7779E3B2"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1A212358"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0455AE3B"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6609B6F1"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1DBC2D85" w14:textId="77777777" w:rsidR="00C427D0" w:rsidRPr="00C427D0" w:rsidRDefault="00C427D0" w:rsidP="00C427D0">
      <w:pPr>
        <w:spacing w:after="0" w:line="276"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p>
    <w:p w14:paraId="572B055B"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28795D2F" w14:textId="77777777" w:rsidR="00C427D0" w:rsidRPr="00C427D0" w:rsidRDefault="00C427D0" w:rsidP="00C427D0">
      <w:pPr>
        <w:spacing w:after="0" w:line="276" w:lineRule="auto"/>
        <w:rPr>
          <w:rFonts w:ascii="Times New Roman" w:eastAsia="Calibri" w:hAnsi="Times New Roman" w:cs="Times New Roman"/>
          <w:b/>
          <w:sz w:val="24"/>
          <w:szCs w:val="24"/>
          <w:lang w:val="en-GB"/>
        </w:rPr>
      </w:pPr>
    </w:p>
    <w:p w14:paraId="52F8A7D8" w14:textId="77777777" w:rsidR="00C427D0" w:rsidRPr="00C427D0" w:rsidRDefault="00C427D0" w:rsidP="00C427D0">
      <w:pPr>
        <w:spacing w:after="0" w:line="36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b/>
          <w:noProof/>
          <w:sz w:val="24"/>
          <w:szCs w:val="24"/>
        </w:rPr>
        <w:drawing>
          <wp:inline distT="0" distB="0" distL="0" distR="0" wp14:anchorId="03747BD7" wp14:editId="26BF8767">
            <wp:extent cx="4191000" cy="3429001"/>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84BE628" w14:textId="77777777" w:rsidR="00C427D0" w:rsidRPr="00C427D0" w:rsidRDefault="00C427D0" w:rsidP="00C427D0">
      <w:pPr>
        <w:spacing w:after="0" w:line="276"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Fig 1b   % Oedema inhibition by ethanol extract of </w:t>
      </w:r>
      <w:r w:rsidRPr="00C427D0">
        <w:rPr>
          <w:rFonts w:ascii="Times New Roman" w:eastAsia="Calibri" w:hAnsi="Times New Roman" w:cs="Times New Roman"/>
          <w:b/>
          <w:i/>
          <w:sz w:val="24"/>
          <w:szCs w:val="24"/>
          <w:lang w:val="en-GB"/>
        </w:rPr>
        <w:t>Theobroma cacao</w:t>
      </w:r>
      <w:r w:rsidRPr="00C427D0">
        <w:rPr>
          <w:rFonts w:ascii="Times New Roman" w:eastAsia="Calibri" w:hAnsi="Times New Roman" w:cs="Times New Roman"/>
          <w:b/>
          <w:sz w:val="24"/>
          <w:szCs w:val="24"/>
          <w:lang w:val="en-GB"/>
        </w:rPr>
        <w:t xml:space="preserve"> stem </w:t>
      </w:r>
    </w:p>
    <w:p w14:paraId="02C95A76" w14:textId="77777777" w:rsidR="00C427D0" w:rsidRPr="00C427D0" w:rsidRDefault="00C427D0" w:rsidP="00C427D0">
      <w:pPr>
        <w:spacing w:after="0" w:line="36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bark on Carrageenan induced Oedema in rats</w:t>
      </w:r>
    </w:p>
    <w:p w14:paraId="01A010C0" w14:textId="77777777" w:rsidR="00C427D0" w:rsidRPr="00C427D0" w:rsidRDefault="00C427D0" w:rsidP="00C427D0">
      <w:pPr>
        <w:spacing w:after="0" w:line="360" w:lineRule="auto"/>
        <w:rPr>
          <w:rFonts w:ascii="Times New Roman" w:eastAsia="Calibri" w:hAnsi="Times New Roman" w:cs="Times New Roman"/>
          <w:b/>
          <w:sz w:val="24"/>
          <w:szCs w:val="24"/>
          <w:lang w:val="en-GB"/>
        </w:rPr>
      </w:pPr>
    </w:p>
    <w:p w14:paraId="74AF4BD9"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Calibri" w:eastAsia="Calibri" w:hAnsi="Calibri" w:cs="Times New Roman"/>
          <w:noProof/>
        </w:rPr>
        <w:lastRenderedPageBreak/>
        <w:drawing>
          <wp:inline distT="0" distB="0" distL="0" distR="0" wp14:anchorId="1CBA38E9" wp14:editId="2F2608DB">
            <wp:extent cx="4257675" cy="334327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3FDBA38"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       Fig 2a Effect of ethanol extract of Theobroma cacao stem bark on</w:t>
      </w:r>
    </w:p>
    <w:p w14:paraId="37DD967D"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                           Formalin-induced Paw Oedema in the rats</w:t>
      </w:r>
    </w:p>
    <w:p w14:paraId="4AE31054"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        </w:t>
      </w:r>
    </w:p>
    <w:p w14:paraId="03F634F8"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Calibri" w:eastAsia="Calibri" w:hAnsi="Calibri" w:cs="Times New Roman"/>
          <w:noProof/>
        </w:rPr>
        <w:drawing>
          <wp:inline distT="0" distB="0" distL="0" distR="0" wp14:anchorId="612E749A" wp14:editId="4E3C16E1">
            <wp:extent cx="5575412" cy="33718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75AC864"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Fig 2b   % inhibition by ethanol extract of Theobroma cacao stem </w:t>
      </w:r>
    </w:p>
    <w:p w14:paraId="10C663F2"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                         bark on Carrageenan induced Oedema in rats</w:t>
      </w:r>
    </w:p>
    <w:p w14:paraId="25F4F68F" w14:textId="77777777" w:rsidR="00C427D0" w:rsidRPr="00C427D0" w:rsidRDefault="00C427D0" w:rsidP="00C427D0">
      <w:pPr>
        <w:spacing w:after="0" w:line="360" w:lineRule="auto"/>
        <w:rPr>
          <w:rFonts w:ascii="Times New Roman" w:eastAsia="Calibri" w:hAnsi="Times New Roman" w:cs="Times New Roman"/>
          <w:b/>
          <w:sz w:val="24"/>
          <w:szCs w:val="24"/>
          <w:lang w:val="en-GB"/>
        </w:rPr>
      </w:pPr>
    </w:p>
    <w:p w14:paraId="41A395E7" w14:textId="77777777" w:rsidR="00C427D0" w:rsidRPr="00C427D0" w:rsidRDefault="00C427D0" w:rsidP="00C427D0">
      <w:pPr>
        <w:spacing w:after="0" w:line="36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bCs/>
          <w:sz w:val="24"/>
          <w:szCs w:val="24"/>
          <w:lang w:val="en-GB"/>
        </w:rPr>
        <w:t xml:space="preserve">3.4 Anti-nociceptive effects of </w:t>
      </w:r>
      <w:r w:rsidRPr="00C427D0">
        <w:rPr>
          <w:rFonts w:ascii="Times New Roman" w:eastAsia="Calibri" w:hAnsi="Times New Roman" w:cs="Times New Roman"/>
          <w:b/>
          <w:bCs/>
          <w:i/>
          <w:sz w:val="24"/>
          <w:szCs w:val="24"/>
          <w:lang w:val="en-GB"/>
        </w:rPr>
        <w:t>Theobroma cacao</w:t>
      </w:r>
      <w:r w:rsidRPr="00C427D0">
        <w:rPr>
          <w:rFonts w:ascii="Times New Roman" w:eastAsia="Calibri" w:hAnsi="Times New Roman" w:cs="Times New Roman"/>
          <w:b/>
          <w:bCs/>
          <w:sz w:val="24"/>
          <w:szCs w:val="24"/>
          <w:lang w:val="en-GB"/>
        </w:rPr>
        <w:t xml:space="preserve"> </w:t>
      </w:r>
    </w:p>
    <w:p w14:paraId="3BBAA379" w14:textId="77777777" w:rsidR="00C427D0" w:rsidRPr="00C427D0" w:rsidRDefault="00C427D0" w:rsidP="00C427D0">
      <w:pPr>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lastRenderedPageBreak/>
        <w:t>The</w:t>
      </w:r>
      <w:r w:rsidRPr="00C427D0">
        <w:rPr>
          <w:rFonts w:ascii="Times New Roman" w:eastAsia="Calibri" w:hAnsi="Times New Roman" w:cs="Times New Roman"/>
          <w:bCs/>
          <w:sz w:val="24"/>
          <w:szCs w:val="24"/>
          <w:lang w:val="en-GB"/>
        </w:rPr>
        <w:t xml:space="preserve"> extract </w:t>
      </w:r>
      <w:r w:rsidRPr="00C427D0">
        <w:rPr>
          <w:rFonts w:ascii="Times New Roman" w:eastAsia="Calibri" w:hAnsi="Times New Roman" w:cs="Times New Roman"/>
          <w:sz w:val="24"/>
          <w:szCs w:val="24"/>
          <w:lang w:val="en-GB"/>
        </w:rPr>
        <w:t xml:space="preserve">(250, 500 and 1000 mg/kg, p.o) </w:t>
      </w:r>
      <w:r w:rsidRPr="00C427D0">
        <w:rPr>
          <w:rFonts w:ascii="Times New Roman" w:eastAsia="Calibri" w:hAnsi="Times New Roman" w:cs="Times New Roman"/>
          <w:b/>
          <w:bCs/>
          <w:sz w:val="24"/>
          <w:szCs w:val="24"/>
          <w:lang w:val="en-GB"/>
        </w:rPr>
        <w:t xml:space="preserve"> </w:t>
      </w:r>
      <w:r w:rsidRPr="00C427D0">
        <w:rPr>
          <w:rFonts w:ascii="Times New Roman" w:eastAsia="Calibri" w:hAnsi="Times New Roman" w:cs="Times New Roman"/>
          <w:bCs/>
          <w:sz w:val="24"/>
          <w:szCs w:val="24"/>
          <w:lang w:val="en-GB"/>
        </w:rPr>
        <w:t>produced</w:t>
      </w:r>
      <w:r w:rsidRPr="00C427D0">
        <w:rPr>
          <w:rFonts w:ascii="Times New Roman" w:eastAsia="Calibri" w:hAnsi="Times New Roman" w:cs="Times New Roman"/>
          <w:sz w:val="24"/>
          <w:szCs w:val="24"/>
          <w:lang w:val="en-GB"/>
        </w:rPr>
        <w:t xml:space="preserve"> a significant and dose-dependent decrease in the number of writhes induced by intra-peritoneal injection of 0.6% acetic acid when compared with control, DMSO(Fig 2).</w:t>
      </w:r>
    </w:p>
    <w:p w14:paraId="021E29A9" w14:textId="77777777" w:rsidR="00C427D0" w:rsidRPr="00C427D0" w:rsidRDefault="00C427D0" w:rsidP="00C427D0">
      <w:pPr>
        <w:spacing w:after="0" w:line="36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sz w:val="24"/>
          <w:szCs w:val="24"/>
          <w:lang w:val="en-GB"/>
        </w:rPr>
        <w:t>Although the inhibition of writhing ETC was higher  Furthermore, ETC significantly (p &lt; 0.05) reduced the duration of paw licking during the first phase (neurogenic pain) and the second phase (inflammatory pain) induced by formalin in mice (Fig 4</w:t>
      </w:r>
      <w:r w:rsidRPr="00C427D0">
        <w:rPr>
          <w:rFonts w:ascii="Times New Roman" w:eastAsia="Calibri" w:hAnsi="Times New Roman" w:cs="Times New Roman"/>
          <w:color w:val="000000"/>
          <w:sz w:val="24"/>
          <w:szCs w:val="24"/>
          <w:lang w:val="en-GB"/>
        </w:rPr>
        <w:t>).</w:t>
      </w:r>
      <w:r w:rsidRPr="00C427D0">
        <w:rPr>
          <w:rFonts w:ascii="Times New Roman" w:eastAsia="Calibri" w:hAnsi="Times New Roman" w:cs="Times New Roman"/>
          <w:color w:val="FF0000"/>
          <w:sz w:val="24"/>
          <w:szCs w:val="24"/>
          <w:lang w:val="en-GB"/>
        </w:rPr>
        <w:t xml:space="preserve"> </w:t>
      </w:r>
      <w:r w:rsidRPr="00C427D0">
        <w:rPr>
          <w:rFonts w:ascii="Times New Roman" w:eastAsia="Calibri" w:hAnsi="Times New Roman" w:cs="Times New Roman"/>
          <w:color w:val="000000"/>
          <w:sz w:val="24"/>
          <w:szCs w:val="24"/>
          <w:lang w:val="en-GB"/>
        </w:rPr>
        <w:t>In addition,</w:t>
      </w:r>
      <w:r w:rsidRPr="00C427D0">
        <w:rPr>
          <w:rFonts w:ascii="Times New Roman" w:eastAsia="Calibri" w:hAnsi="Times New Roman" w:cs="Times New Roman"/>
          <w:color w:val="FF0000"/>
          <w:sz w:val="24"/>
          <w:szCs w:val="24"/>
          <w:lang w:val="en-GB"/>
        </w:rPr>
        <w:t xml:space="preserve"> </w:t>
      </w:r>
      <w:r w:rsidRPr="00C427D0">
        <w:rPr>
          <w:rFonts w:ascii="Times New Roman" w:eastAsia="Calibri" w:hAnsi="Times New Roman" w:cs="Times New Roman"/>
          <w:sz w:val="24"/>
          <w:szCs w:val="24"/>
          <w:lang w:val="en-GB"/>
        </w:rPr>
        <w:t>ETC (500 and 1000 mg/kg, p.o.) produced a significant (p &lt; 0.05) and dose-dependent increase in paw withdrawal latency in the carrageenan-induced inflamed hind paw of rats when compared with the vehicle.  ETC (500 and 1000 mg/kg) elevated the pain threshold (g) from 72.00±3.46 in the vehicle group to 114.20±6.47</w:t>
      </w:r>
      <w:r w:rsidRPr="00C427D0">
        <w:rPr>
          <w:rFonts w:ascii="Times New Roman" w:eastAsia="Calibri" w:hAnsi="Times New Roman" w:cs="Times New Roman"/>
          <w:sz w:val="24"/>
          <w:szCs w:val="24"/>
          <w:vertAlign w:val="superscript"/>
          <w:lang w:val="en-GB"/>
        </w:rPr>
        <w:t>*</w:t>
      </w:r>
      <w:r w:rsidRPr="00C427D0">
        <w:rPr>
          <w:rFonts w:ascii="Times New Roman" w:eastAsia="Calibri" w:hAnsi="Times New Roman" w:cs="Times New Roman"/>
          <w:sz w:val="24"/>
          <w:szCs w:val="24"/>
          <w:lang w:val="en-GB"/>
        </w:rPr>
        <w:t xml:space="preserve"> and 121.20±7.26</w:t>
      </w:r>
      <w:r w:rsidRPr="00C427D0">
        <w:rPr>
          <w:rFonts w:ascii="Times New Roman" w:eastAsia="Calibri" w:hAnsi="Times New Roman" w:cs="Times New Roman"/>
          <w:sz w:val="24"/>
          <w:szCs w:val="24"/>
          <w:vertAlign w:val="superscript"/>
          <w:lang w:val="en-GB"/>
        </w:rPr>
        <w:t xml:space="preserve">* </w:t>
      </w:r>
      <w:r w:rsidRPr="00C427D0">
        <w:rPr>
          <w:rFonts w:ascii="Times New Roman" w:eastAsia="Calibri" w:hAnsi="Times New Roman" w:cs="Times New Roman"/>
          <w:sz w:val="24"/>
          <w:szCs w:val="24"/>
          <w:lang w:val="en-GB"/>
        </w:rPr>
        <w:t>respectively (Fig 5). However, ETC did not produce any significant increase in the paw withdrawal latency in the non-inflamed hind paw of rats (Fig 5). Moreover, ETC (250-1000 mg/kg, p.o)</w:t>
      </w:r>
      <w:r w:rsidRPr="00C427D0">
        <w:rPr>
          <w:rFonts w:ascii="Times New Roman" w:eastAsia="Calibri" w:hAnsi="Times New Roman" w:cs="Times New Roman"/>
          <w:i/>
          <w:sz w:val="24"/>
          <w:szCs w:val="24"/>
          <w:lang w:val="en-GB"/>
        </w:rPr>
        <w:t xml:space="preserve"> </w:t>
      </w:r>
      <w:r w:rsidRPr="00C427D0">
        <w:rPr>
          <w:rFonts w:ascii="Times New Roman" w:eastAsia="Calibri" w:hAnsi="Times New Roman" w:cs="Times New Roman"/>
          <w:sz w:val="24"/>
          <w:szCs w:val="24"/>
          <w:lang w:val="en-GB"/>
        </w:rPr>
        <w:t>did not significantly (</w:t>
      </w:r>
      <w:r w:rsidRPr="00C427D0">
        <w:rPr>
          <w:rFonts w:ascii="Times New Roman" w:eastAsia="Calibri" w:hAnsi="Times New Roman" w:cs="Times New Roman"/>
          <w:color w:val="000000"/>
          <w:sz w:val="24"/>
          <w:szCs w:val="24"/>
          <w:lang w:val="en-GB"/>
        </w:rPr>
        <w:t>p &gt; 0.05</w:t>
      </w:r>
      <w:r w:rsidRPr="00C427D0">
        <w:rPr>
          <w:rFonts w:ascii="Times New Roman" w:eastAsia="Calibri" w:hAnsi="Times New Roman" w:cs="Times New Roman"/>
          <w:sz w:val="24"/>
          <w:szCs w:val="24"/>
          <w:lang w:val="en-GB"/>
        </w:rPr>
        <w:t>) alter the tail withdrawal responses to noxious heat in the tail immersion test in comparison with the control. However, morphine (1 mg/kg) significantly (p &lt; 0.05) delayed the reaction time of mice to noxious heat in the tail immersion test (Table 3).</w:t>
      </w:r>
    </w:p>
    <w:p w14:paraId="5A30DD8F" w14:textId="77777777" w:rsidR="00C427D0" w:rsidRPr="00C427D0" w:rsidRDefault="00C427D0" w:rsidP="00C427D0">
      <w:pPr>
        <w:spacing w:after="0" w:line="360" w:lineRule="auto"/>
        <w:rPr>
          <w:rFonts w:ascii="Times New Roman" w:eastAsia="Calibri" w:hAnsi="Times New Roman" w:cs="Times New Roman"/>
          <w:b/>
          <w:sz w:val="24"/>
          <w:szCs w:val="24"/>
          <w:lang w:val="en-GB"/>
        </w:rPr>
      </w:pPr>
    </w:p>
    <w:p w14:paraId="1FB09464" w14:textId="77777777" w:rsidR="00C427D0" w:rsidRPr="00C427D0" w:rsidRDefault="00C427D0" w:rsidP="00C427D0">
      <w:pPr>
        <w:spacing w:after="0" w:line="360" w:lineRule="auto"/>
        <w:rPr>
          <w:rFonts w:ascii="Times New Roman" w:eastAsia="Calibri" w:hAnsi="Times New Roman" w:cs="Times New Roman"/>
          <w:b/>
          <w:sz w:val="24"/>
          <w:szCs w:val="24"/>
          <w:lang w:val="en-GB"/>
        </w:rPr>
      </w:pPr>
    </w:p>
    <w:p w14:paraId="543977D9" w14:textId="77777777" w:rsidR="00C427D0" w:rsidRPr="00C427D0" w:rsidRDefault="00C427D0" w:rsidP="00C427D0">
      <w:pPr>
        <w:spacing w:after="0" w:line="360" w:lineRule="auto"/>
        <w:rPr>
          <w:rFonts w:ascii="Times New Roman" w:eastAsia="Calibri" w:hAnsi="Times New Roman" w:cs="Times New Roman"/>
          <w:b/>
          <w:sz w:val="24"/>
          <w:szCs w:val="24"/>
          <w:lang w:val="en-GB"/>
        </w:rPr>
      </w:pPr>
    </w:p>
    <w:p w14:paraId="3BB7B086" w14:textId="77777777" w:rsidR="00C427D0" w:rsidRPr="00C427D0" w:rsidRDefault="00C427D0" w:rsidP="00C427D0">
      <w:pPr>
        <w:spacing w:after="0" w:line="360" w:lineRule="auto"/>
        <w:rPr>
          <w:rFonts w:ascii="Times New Roman" w:eastAsia="Calibri" w:hAnsi="Times New Roman" w:cs="Times New Roman"/>
          <w:b/>
          <w:sz w:val="24"/>
          <w:szCs w:val="24"/>
          <w:lang w:val="en-GB"/>
        </w:rPr>
      </w:pPr>
    </w:p>
    <w:p w14:paraId="10FBE5B7" w14:textId="77777777" w:rsidR="00C427D0" w:rsidRPr="00C427D0" w:rsidRDefault="00C427D0" w:rsidP="00C427D0">
      <w:pPr>
        <w:spacing w:after="0" w:line="24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p>
    <w:p w14:paraId="2AA85993" w14:textId="77777777" w:rsidR="00C427D0" w:rsidRPr="00C427D0" w:rsidRDefault="00C427D0" w:rsidP="00C427D0">
      <w:pPr>
        <w:spacing w:after="0" w:line="36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b/>
          <w:noProof/>
          <w:sz w:val="24"/>
          <w:szCs w:val="24"/>
        </w:rPr>
        <w:drawing>
          <wp:inline distT="0" distB="0" distL="0" distR="0" wp14:anchorId="724694E5" wp14:editId="18CB0942">
            <wp:extent cx="4438650" cy="30480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78129CE" w14:textId="77777777" w:rsidR="00C427D0" w:rsidRPr="00C427D0" w:rsidRDefault="00C427D0" w:rsidP="00C427D0">
      <w:pPr>
        <w:spacing w:after="0" w:line="240" w:lineRule="auto"/>
        <w:jc w:val="center"/>
        <w:rPr>
          <w:rFonts w:ascii="Times New Roman" w:eastAsia="Calibri" w:hAnsi="Times New Roman" w:cs="Times New Roman"/>
          <w:b/>
          <w:sz w:val="24"/>
          <w:szCs w:val="24"/>
          <w:lang w:val="en-GB"/>
        </w:rPr>
      </w:pPr>
      <w:bookmarkStart w:id="0" w:name="_GoBack"/>
      <w:bookmarkEnd w:id="0"/>
      <w:commentRangeStart w:id="1"/>
      <w:commentRangeStart w:id="2"/>
      <w:r w:rsidRPr="00C427D0">
        <w:rPr>
          <w:rFonts w:ascii="Times New Roman" w:eastAsia="Calibri" w:hAnsi="Times New Roman" w:cs="Times New Roman"/>
          <w:b/>
          <w:sz w:val="24"/>
          <w:szCs w:val="24"/>
          <w:lang w:val="en-GB"/>
        </w:rPr>
        <w:t>Fig 3.</w:t>
      </w:r>
      <w:commentRangeEnd w:id="1"/>
      <w:r w:rsidRPr="00C427D0">
        <w:rPr>
          <w:rFonts w:ascii="Calibri" w:eastAsia="Calibri" w:hAnsi="Calibri" w:cs="Times New Roman"/>
          <w:sz w:val="16"/>
          <w:szCs w:val="16"/>
          <w:lang w:val="en-GB"/>
        </w:rPr>
        <w:commentReference w:id="1"/>
      </w:r>
      <w:commentRangeEnd w:id="2"/>
      <w:r w:rsidRPr="00C427D0">
        <w:rPr>
          <w:rFonts w:ascii="Calibri" w:eastAsia="Calibri" w:hAnsi="Calibri" w:cs="Times New Roman"/>
          <w:sz w:val="16"/>
          <w:szCs w:val="16"/>
          <w:lang w:val="en-GB"/>
        </w:rPr>
        <w:commentReference w:id="2"/>
      </w:r>
      <w:r w:rsidRPr="00C427D0">
        <w:rPr>
          <w:rFonts w:ascii="Times New Roman" w:eastAsia="Calibri" w:hAnsi="Times New Roman" w:cs="Times New Roman"/>
          <w:b/>
          <w:sz w:val="24"/>
          <w:szCs w:val="24"/>
          <w:lang w:val="en-GB"/>
        </w:rPr>
        <w:t xml:space="preserve">Effect of ethanol extract of </w:t>
      </w:r>
      <w:r w:rsidRPr="00C427D0">
        <w:rPr>
          <w:rFonts w:ascii="Times New Roman" w:eastAsia="Calibri" w:hAnsi="Times New Roman" w:cs="Times New Roman"/>
          <w:b/>
          <w:i/>
          <w:sz w:val="24"/>
          <w:szCs w:val="24"/>
          <w:lang w:val="en-GB"/>
        </w:rPr>
        <w:t>Theobroma cacao</w:t>
      </w:r>
      <w:r w:rsidRPr="00C427D0">
        <w:rPr>
          <w:rFonts w:ascii="Times New Roman" w:eastAsia="Calibri" w:hAnsi="Times New Roman" w:cs="Times New Roman"/>
          <w:b/>
          <w:sz w:val="24"/>
          <w:szCs w:val="24"/>
          <w:lang w:val="en-GB"/>
        </w:rPr>
        <w:t xml:space="preserve"> stem bark on</w:t>
      </w:r>
    </w:p>
    <w:p w14:paraId="512D8FAA" w14:textId="77777777" w:rsidR="00C427D0" w:rsidRPr="00C427D0" w:rsidRDefault="00C427D0" w:rsidP="00C427D0">
      <w:pPr>
        <w:spacing w:after="0" w:line="24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acetic acid-induced writhes in mice</w:t>
      </w:r>
    </w:p>
    <w:p w14:paraId="5BED3FB4" w14:textId="77777777" w:rsidR="00C427D0" w:rsidRPr="00C427D0" w:rsidRDefault="00C427D0" w:rsidP="00C427D0">
      <w:pPr>
        <w:spacing w:after="0" w:line="240" w:lineRule="auto"/>
        <w:rPr>
          <w:rFonts w:ascii="Times New Roman" w:eastAsia="Calibri" w:hAnsi="Times New Roman" w:cs="Times New Roman"/>
          <w:b/>
          <w:sz w:val="24"/>
          <w:szCs w:val="24"/>
          <w:lang w:val="en-GB"/>
        </w:rPr>
      </w:pPr>
    </w:p>
    <w:p w14:paraId="37B1B927" w14:textId="77777777" w:rsidR="00C427D0" w:rsidRPr="00C427D0" w:rsidRDefault="00C427D0" w:rsidP="00C427D0">
      <w:pPr>
        <w:spacing w:after="0" w:line="360" w:lineRule="auto"/>
        <w:rPr>
          <w:rFonts w:ascii="Times New Roman" w:eastAsia="Calibri" w:hAnsi="Times New Roman" w:cs="Times New Roman"/>
          <w:b/>
          <w:sz w:val="24"/>
          <w:szCs w:val="24"/>
          <w:lang w:val="en-GB"/>
        </w:rPr>
      </w:pPr>
    </w:p>
    <w:p w14:paraId="3818E210" w14:textId="77777777" w:rsidR="00C427D0" w:rsidRPr="00C427D0" w:rsidRDefault="00C427D0" w:rsidP="00C427D0">
      <w:pPr>
        <w:spacing w:after="0" w:line="240" w:lineRule="auto"/>
        <w:rPr>
          <w:rFonts w:ascii="Times New Roman" w:eastAsia="Calibri" w:hAnsi="Times New Roman" w:cs="Times New Roman"/>
          <w:b/>
          <w:sz w:val="24"/>
          <w:szCs w:val="24"/>
          <w:lang w:val="en-GB"/>
        </w:rPr>
      </w:pPr>
    </w:p>
    <w:p w14:paraId="2DA551EF" w14:textId="77777777" w:rsidR="00C427D0" w:rsidRPr="00C427D0" w:rsidRDefault="00C427D0" w:rsidP="00C427D0">
      <w:pPr>
        <w:spacing w:after="0" w:line="240" w:lineRule="auto"/>
        <w:rPr>
          <w:rFonts w:ascii="Times New Roman" w:eastAsia="Calibri" w:hAnsi="Times New Roman" w:cs="Times New Roman"/>
          <w:b/>
          <w:sz w:val="24"/>
          <w:szCs w:val="24"/>
          <w:lang w:val="en-GB"/>
        </w:rPr>
      </w:pPr>
    </w:p>
    <w:p w14:paraId="3A451AA9" w14:textId="77777777" w:rsidR="00C427D0" w:rsidRPr="00C427D0" w:rsidRDefault="00C427D0" w:rsidP="00C427D0">
      <w:pPr>
        <w:spacing w:after="0" w:line="240" w:lineRule="auto"/>
        <w:rPr>
          <w:rFonts w:ascii="Times New Roman" w:eastAsia="Calibri" w:hAnsi="Times New Roman" w:cs="Times New Roman"/>
          <w:b/>
          <w:sz w:val="24"/>
          <w:szCs w:val="24"/>
          <w:lang w:val="en-GB"/>
        </w:rPr>
      </w:pPr>
    </w:p>
    <w:p w14:paraId="081CA143" w14:textId="77777777" w:rsidR="00C427D0" w:rsidRPr="00C427D0" w:rsidRDefault="00C427D0" w:rsidP="00C427D0">
      <w:pPr>
        <w:spacing w:after="0" w:line="36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b/>
          <w:noProof/>
          <w:sz w:val="24"/>
          <w:szCs w:val="24"/>
        </w:rPr>
        <w:drawing>
          <wp:inline distT="0" distB="0" distL="0" distR="0" wp14:anchorId="402EEA64" wp14:editId="62E2C7C2">
            <wp:extent cx="4857750" cy="3028950"/>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D632EFA" w14:textId="77777777" w:rsidR="00C427D0" w:rsidRPr="00C427D0" w:rsidRDefault="00C427D0" w:rsidP="00C427D0">
      <w:pPr>
        <w:spacing w:after="0" w:line="240" w:lineRule="auto"/>
        <w:rPr>
          <w:rFonts w:ascii="Times New Roman" w:eastAsia="Calibri" w:hAnsi="Times New Roman" w:cs="Times New Roman"/>
          <w:b/>
          <w:sz w:val="24"/>
          <w:szCs w:val="24"/>
          <w:lang w:val="en-GB"/>
        </w:rPr>
      </w:pPr>
      <w:r w:rsidRPr="00C427D0">
        <w:rPr>
          <w:rFonts w:ascii="Times New Roman" w:eastAsia="Calibri" w:hAnsi="Times New Roman" w:cs="Times New Roman"/>
          <w:sz w:val="24"/>
          <w:szCs w:val="24"/>
          <w:lang w:val="en-GB"/>
        </w:rPr>
        <w:t xml:space="preserve">         </w:t>
      </w:r>
      <w:r w:rsidRPr="00C427D0">
        <w:rPr>
          <w:rFonts w:ascii="Times New Roman" w:eastAsia="Calibri" w:hAnsi="Times New Roman" w:cs="Times New Roman"/>
          <w:b/>
          <w:sz w:val="24"/>
          <w:szCs w:val="24"/>
          <w:lang w:val="en-GB"/>
        </w:rPr>
        <w:t xml:space="preserve">                                  Fig. 4 Effect of ethanol extract of </w:t>
      </w:r>
      <w:r w:rsidRPr="00C427D0">
        <w:rPr>
          <w:rFonts w:ascii="Times New Roman" w:eastAsia="Calibri" w:hAnsi="Times New Roman" w:cs="Times New Roman"/>
          <w:b/>
          <w:i/>
          <w:sz w:val="24"/>
          <w:szCs w:val="24"/>
          <w:lang w:val="en-GB"/>
        </w:rPr>
        <w:t>Theobroma cacao</w:t>
      </w:r>
      <w:r w:rsidRPr="00C427D0">
        <w:rPr>
          <w:rFonts w:ascii="Times New Roman" w:eastAsia="Calibri" w:hAnsi="Times New Roman" w:cs="Times New Roman"/>
          <w:b/>
          <w:sz w:val="24"/>
          <w:szCs w:val="24"/>
          <w:lang w:val="en-GB"/>
        </w:rPr>
        <w:t xml:space="preserve"> stem bark on                                               </w:t>
      </w:r>
    </w:p>
    <w:p w14:paraId="710E0A07" w14:textId="77777777" w:rsidR="00C427D0" w:rsidRPr="00C427D0" w:rsidRDefault="00C427D0" w:rsidP="00C427D0">
      <w:pPr>
        <w:spacing w:after="0" w:line="24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Formalin-induced nociception in mice</w:t>
      </w:r>
    </w:p>
    <w:p w14:paraId="42A3AD3F" w14:textId="77777777" w:rsidR="00C427D0" w:rsidRPr="00C427D0" w:rsidRDefault="00C427D0" w:rsidP="00C427D0">
      <w:pPr>
        <w:spacing w:after="0" w:line="240" w:lineRule="auto"/>
        <w:rPr>
          <w:rFonts w:ascii="Times New Roman" w:eastAsia="Calibri" w:hAnsi="Times New Roman" w:cs="Times New Roman"/>
          <w:b/>
          <w:sz w:val="24"/>
          <w:szCs w:val="24"/>
          <w:lang w:val="en-GB"/>
        </w:rPr>
      </w:pPr>
    </w:p>
    <w:p w14:paraId="1C3A29B9" w14:textId="77777777" w:rsidR="00C427D0" w:rsidRPr="00C427D0" w:rsidRDefault="00C427D0" w:rsidP="00C427D0">
      <w:pPr>
        <w:spacing w:after="0" w:line="240" w:lineRule="auto"/>
        <w:rPr>
          <w:rFonts w:ascii="Times New Roman" w:eastAsia="Calibri" w:hAnsi="Times New Roman" w:cs="Times New Roman"/>
          <w:b/>
          <w:sz w:val="24"/>
          <w:szCs w:val="24"/>
          <w:lang w:val="en-GB"/>
        </w:rPr>
      </w:pPr>
    </w:p>
    <w:p w14:paraId="7E5F5DE5" w14:textId="77777777" w:rsidR="00C427D0" w:rsidRPr="00C427D0" w:rsidRDefault="00C427D0" w:rsidP="00C427D0">
      <w:pPr>
        <w:autoSpaceDE w:val="0"/>
        <w:autoSpaceDN w:val="0"/>
        <w:adjustRightInd w:val="0"/>
        <w:spacing w:after="0" w:line="24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p>
    <w:p w14:paraId="2BA2032B" w14:textId="77777777" w:rsidR="00C427D0" w:rsidRPr="00C427D0" w:rsidRDefault="00C427D0" w:rsidP="00C427D0">
      <w:pPr>
        <w:autoSpaceDE w:val="0"/>
        <w:autoSpaceDN w:val="0"/>
        <w:adjustRightInd w:val="0"/>
        <w:spacing w:after="0" w:line="240" w:lineRule="auto"/>
        <w:rPr>
          <w:rFonts w:ascii="Times New Roman" w:eastAsia="Calibri" w:hAnsi="Times New Roman" w:cs="Times New Roman"/>
          <w:b/>
          <w:sz w:val="24"/>
          <w:szCs w:val="24"/>
          <w:lang w:val="en-GB"/>
        </w:rPr>
      </w:pPr>
    </w:p>
    <w:p w14:paraId="01604E89" w14:textId="77777777" w:rsidR="00C427D0" w:rsidRPr="00C427D0" w:rsidRDefault="00C427D0" w:rsidP="00C427D0">
      <w:pPr>
        <w:spacing w:after="0" w:line="24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lastRenderedPageBreak/>
        <w:t xml:space="preserve">             </w:t>
      </w:r>
      <w:r w:rsidRPr="00C427D0">
        <w:rPr>
          <w:rFonts w:ascii="Times New Roman" w:eastAsia="Calibri" w:hAnsi="Times New Roman" w:cs="Times New Roman"/>
          <w:b/>
          <w:noProof/>
          <w:sz w:val="24"/>
          <w:szCs w:val="24"/>
        </w:rPr>
        <w:drawing>
          <wp:inline distT="0" distB="0" distL="0" distR="0" wp14:anchorId="3116379E" wp14:editId="3C606F95">
            <wp:extent cx="5753100" cy="38100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B17CF0" w14:textId="77777777" w:rsidR="00C427D0" w:rsidRPr="00C427D0" w:rsidRDefault="00C427D0" w:rsidP="00C427D0">
      <w:pPr>
        <w:autoSpaceDE w:val="0"/>
        <w:autoSpaceDN w:val="0"/>
        <w:adjustRightInd w:val="0"/>
        <w:spacing w:after="0" w:line="24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Fig. 5 Effect of ethanol extract of </w:t>
      </w:r>
      <w:r w:rsidRPr="00C427D0">
        <w:rPr>
          <w:rFonts w:ascii="Times New Roman" w:eastAsia="Calibri" w:hAnsi="Times New Roman" w:cs="Times New Roman"/>
          <w:b/>
          <w:i/>
          <w:sz w:val="24"/>
          <w:szCs w:val="24"/>
          <w:lang w:val="en-GB"/>
        </w:rPr>
        <w:t>Theobroma cacao</w:t>
      </w:r>
      <w:r w:rsidRPr="00C427D0">
        <w:rPr>
          <w:rFonts w:ascii="Times New Roman" w:eastAsia="Calibri" w:hAnsi="Times New Roman" w:cs="Times New Roman"/>
          <w:b/>
          <w:sz w:val="24"/>
          <w:szCs w:val="24"/>
          <w:lang w:val="en-GB"/>
        </w:rPr>
        <w:t xml:space="preserve"> stem bark on mechanically        </w:t>
      </w:r>
    </w:p>
    <w:p w14:paraId="4212F29B" w14:textId="77777777" w:rsidR="00C427D0" w:rsidRPr="00C427D0" w:rsidRDefault="00C427D0" w:rsidP="00C427D0">
      <w:pPr>
        <w:autoSpaceDE w:val="0"/>
        <w:autoSpaceDN w:val="0"/>
        <w:adjustRightInd w:val="0"/>
        <w:spacing w:after="0" w:line="240" w:lineRule="auto"/>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induced nociception in rats</w:t>
      </w:r>
    </w:p>
    <w:p w14:paraId="6BF20D6E"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p>
    <w:p w14:paraId="3FFA2F18"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P &lt; 0.05 indicates significant difference from control</w:t>
      </w:r>
    </w:p>
    <w:p w14:paraId="7BED888D" w14:textId="77777777" w:rsidR="00C427D0" w:rsidRPr="00C427D0" w:rsidRDefault="00C427D0" w:rsidP="00C427D0">
      <w:pPr>
        <w:spacing w:after="0" w:line="36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w:t>
      </w:r>
    </w:p>
    <w:p w14:paraId="629C8B72" w14:textId="77777777" w:rsidR="00C427D0" w:rsidRPr="00C427D0" w:rsidRDefault="00C427D0" w:rsidP="00C427D0">
      <w:pPr>
        <w:spacing w:after="0" w:line="36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Table 3   Effect of ethanol extract of </w:t>
      </w:r>
      <w:r w:rsidRPr="00C427D0">
        <w:rPr>
          <w:rFonts w:ascii="Times New Roman" w:eastAsia="Calibri" w:hAnsi="Times New Roman" w:cs="Times New Roman"/>
          <w:b/>
          <w:i/>
          <w:sz w:val="24"/>
          <w:szCs w:val="24"/>
          <w:lang w:val="en-GB"/>
        </w:rPr>
        <w:t>Theobroma cacao</w:t>
      </w:r>
      <w:r w:rsidRPr="00C427D0">
        <w:rPr>
          <w:rFonts w:ascii="Times New Roman" w:eastAsia="Calibri" w:hAnsi="Times New Roman" w:cs="Times New Roman"/>
          <w:b/>
          <w:sz w:val="24"/>
          <w:szCs w:val="24"/>
          <w:lang w:val="en-GB"/>
        </w:rPr>
        <w:t xml:space="preserve"> stem bark on tail withdrawal responses to              noxious heat in mice</w:t>
      </w:r>
    </w:p>
    <w:tbl>
      <w:tblPr>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2579"/>
        <w:gridCol w:w="1621"/>
        <w:gridCol w:w="1577"/>
        <w:gridCol w:w="1621"/>
      </w:tblGrid>
      <w:tr w:rsidR="00C427D0" w:rsidRPr="00C427D0" w14:paraId="731AB30D" w14:textId="77777777" w:rsidTr="00C427D0">
        <w:trPr>
          <w:trHeight w:val="251"/>
          <w:jc w:val="center"/>
        </w:trPr>
        <w:tc>
          <w:tcPr>
            <w:tcW w:w="2178" w:type="dxa"/>
            <w:vMerge w:val="restart"/>
            <w:tcBorders>
              <w:top w:val="single" w:sz="4" w:space="0" w:color="000000"/>
              <w:left w:val="single" w:sz="4" w:space="0" w:color="000000"/>
              <w:right w:val="single" w:sz="4" w:space="0" w:color="000000"/>
            </w:tcBorders>
            <w:hideMark/>
          </w:tcPr>
          <w:p w14:paraId="2A9E88EE" w14:textId="77777777" w:rsidR="00C427D0" w:rsidRPr="00C427D0" w:rsidRDefault="00C427D0" w:rsidP="00C427D0">
            <w:pPr>
              <w:spacing w:after="200" w:line="24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Treatment Group</w:t>
            </w:r>
          </w:p>
        </w:tc>
        <w:tc>
          <w:tcPr>
            <w:tcW w:w="2579" w:type="dxa"/>
            <w:vMerge w:val="restart"/>
            <w:tcBorders>
              <w:top w:val="single" w:sz="4" w:space="0" w:color="000000"/>
              <w:left w:val="single" w:sz="4" w:space="0" w:color="000000"/>
              <w:right w:val="single" w:sz="4" w:space="0" w:color="000000"/>
            </w:tcBorders>
          </w:tcPr>
          <w:p w14:paraId="1EF7D73F" w14:textId="77777777" w:rsidR="00C427D0" w:rsidRPr="00C427D0" w:rsidRDefault="00C427D0" w:rsidP="00C427D0">
            <w:pPr>
              <w:spacing w:after="0" w:line="24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Dose (mg/kg)</w:t>
            </w:r>
          </w:p>
        </w:tc>
        <w:tc>
          <w:tcPr>
            <w:tcW w:w="4819" w:type="dxa"/>
            <w:gridSpan w:val="3"/>
            <w:tcBorders>
              <w:top w:val="single" w:sz="4" w:space="0" w:color="000000"/>
              <w:left w:val="single" w:sz="4" w:space="0" w:color="000000"/>
              <w:bottom w:val="single" w:sz="4" w:space="0" w:color="000000"/>
              <w:right w:val="single" w:sz="4" w:space="0" w:color="000000"/>
            </w:tcBorders>
            <w:hideMark/>
          </w:tcPr>
          <w:p w14:paraId="25095BFD" w14:textId="77777777" w:rsidR="00C427D0" w:rsidRPr="00C427D0" w:rsidRDefault="00C427D0" w:rsidP="00C427D0">
            <w:pPr>
              <w:spacing w:after="0" w:line="24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 xml:space="preserve">                 Tail Withdrawal Latency (s)</w:t>
            </w:r>
          </w:p>
        </w:tc>
      </w:tr>
      <w:tr w:rsidR="00C427D0" w:rsidRPr="00C427D0" w14:paraId="59C4F307" w14:textId="77777777" w:rsidTr="00C427D0">
        <w:trPr>
          <w:trHeight w:val="242"/>
          <w:jc w:val="center"/>
        </w:trPr>
        <w:tc>
          <w:tcPr>
            <w:tcW w:w="2178" w:type="dxa"/>
            <w:vMerge/>
            <w:tcBorders>
              <w:left w:val="single" w:sz="4" w:space="0" w:color="000000"/>
              <w:bottom w:val="single" w:sz="4" w:space="0" w:color="000000"/>
              <w:right w:val="single" w:sz="4" w:space="0" w:color="000000"/>
            </w:tcBorders>
            <w:hideMark/>
          </w:tcPr>
          <w:p w14:paraId="6253F820"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p>
        </w:tc>
        <w:tc>
          <w:tcPr>
            <w:tcW w:w="2579" w:type="dxa"/>
            <w:vMerge/>
            <w:tcBorders>
              <w:left w:val="single" w:sz="4" w:space="0" w:color="000000"/>
              <w:bottom w:val="single" w:sz="4" w:space="0" w:color="000000"/>
              <w:right w:val="single" w:sz="4" w:space="0" w:color="000000"/>
            </w:tcBorders>
          </w:tcPr>
          <w:p w14:paraId="4A62CDF3"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p>
        </w:tc>
        <w:tc>
          <w:tcPr>
            <w:tcW w:w="1621" w:type="dxa"/>
            <w:tcBorders>
              <w:top w:val="single" w:sz="4" w:space="0" w:color="000000"/>
              <w:left w:val="single" w:sz="4" w:space="0" w:color="000000"/>
              <w:bottom w:val="single" w:sz="4" w:space="0" w:color="000000"/>
              <w:right w:val="single" w:sz="4" w:space="0" w:color="000000"/>
            </w:tcBorders>
            <w:hideMark/>
          </w:tcPr>
          <w:p w14:paraId="4B83B373"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60 min</w:t>
            </w:r>
          </w:p>
        </w:tc>
        <w:tc>
          <w:tcPr>
            <w:tcW w:w="1577" w:type="dxa"/>
            <w:tcBorders>
              <w:top w:val="single" w:sz="4" w:space="0" w:color="000000"/>
              <w:left w:val="single" w:sz="4" w:space="0" w:color="000000"/>
              <w:bottom w:val="single" w:sz="4" w:space="0" w:color="000000"/>
              <w:right w:val="single" w:sz="4" w:space="0" w:color="000000"/>
            </w:tcBorders>
            <w:hideMark/>
          </w:tcPr>
          <w:p w14:paraId="16882A42"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90 min</w:t>
            </w:r>
          </w:p>
        </w:tc>
        <w:tc>
          <w:tcPr>
            <w:tcW w:w="1621" w:type="dxa"/>
            <w:tcBorders>
              <w:top w:val="single" w:sz="4" w:space="0" w:color="000000"/>
              <w:left w:val="single" w:sz="4" w:space="0" w:color="000000"/>
              <w:bottom w:val="single" w:sz="4" w:space="0" w:color="000000"/>
              <w:right w:val="single" w:sz="4" w:space="0" w:color="000000"/>
            </w:tcBorders>
            <w:hideMark/>
          </w:tcPr>
          <w:p w14:paraId="00C9D38A"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120 min</w:t>
            </w:r>
          </w:p>
        </w:tc>
      </w:tr>
      <w:tr w:rsidR="00C427D0" w:rsidRPr="00C427D0" w14:paraId="557CCADB" w14:textId="77777777" w:rsidTr="00C427D0">
        <w:trPr>
          <w:trHeight w:val="260"/>
          <w:jc w:val="center"/>
        </w:trPr>
        <w:tc>
          <w:tcPr>
            <w:tcW w:w="2178" w:type="dxa"/>
            <w:tcBorders>
              <w:top w:val="single" w:sz="4" w:space="0" w:color="000000"/>
              <w:left w:val="single" w:sz="4" w:space="0" w:color="000000"/>
              <w:bottom w:val="single" w:sz="4" w:space="0" w:color="000000"/>
              <w:right w:val="single" w:sz="4" w:space="0" w:color="000000"/>
            </w:tcBorders>
            <w:hideMark/>
          </w:tcPr>
          <w:p w14:paraId="73AC3F97"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Control</w:t>
            </w:r>
          </w:p>
        </w:tc>
        <w:tc>
          <w:tcPr>
            <w:tcW w:w="2579" w:type="dxa"/>
            <w:tcBorders>
              <w:top w:val="single" w:sz="4" w:space="0" w:color="000000"/>
              <w:left w:val="single" w:sz="4" w:space="0" w:color="000000"/>
              <w:bottom w:val="single" w:sz="4" w:space="0" w:color="000000"/>
              <w:right w:val="single" w:sz="4" w:space="0" w:color="000000"/>
            </w:tcBorders>
          </w:tcPr>
          <w:p w14:paraId="32106650"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w:t>
            </w:r>
          </w:p>
        </w:tc>
        <w:tc>
          <w:tcPr>
            <w:tcW w:w="1621" w:type="dxa"/>
            <w:tcBorders>
              <w:top w:val="single" w:sz="4" w:space="0" w:color="000000"/>
              <w:left w:val="single" w:sz="4" w:space="0" w:color="000000"/>
              <w:bottom w:val="single" w:sz="4" w:space="0" w:color="000000"/>
              <w:right w:val="single" w:sz="4" w:space="0" w:color="000000"/>
            </w:tcBorders>
            <w:hideMark/>
          </w:tcPr>
          <w:p w14:paraId="3A31D89D"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0.6±0.06</w:t>
            </w:r>
          </w:p>
        </w:tc>
        <w:tc>
          <w:tcPr>
            <w:tcW w:w="1577" w:type="dxa"/>
            <w:tcBorders>
              <w:top w:val="single" w:sz="4" w:space="0" w:color="000000"/>
              <w:left w:val="single" w:sz="4" w:space="0" w:color="000000"/>
              <w:bottom w:val="single" w:sz="4" w:space="0" w:color="000000"/>
              <w:right w:val="single" w:sz="4" w:space="0" w:color="000000"/>
            </w:tcBorders>
            <w:hideMark/>
          </w:tcPr>
          <w:p w14:paraId="254FD8CD"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0.6±0.06</w:t>
            </w:r>
          </w:p>
        </w:tc>
        <w:tc>
          <w:tcPr>
            <w:tcW w:w="1621" w:type="dxa"/>
            <w:tcBorders>
              <w:top w:val="single" w:sz="4" w:space="0" w:color="000000"/>
              <w:left w:val="single" w:sz="4" w:space="0" w:color="000000"/>
              <w:bottom w:val="single" w:sz="4" w:space="0" w:color="000000"/>
              <w:right w:val="single" w:sz="4" w:space="0" w:color="000000"/>
            </w:tcBorders>
            <w:hideMark/>
          </w:tcPr>
          <w:p w14:paraId="033CFB2E"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0.6±0.04</w:t>
            </w:r>
          </w:p>
        </w:tc>
      </w:tr>
      <w:tr w:rsidR="00C427D0" w:rsidRPr="00C427D0" w14:paraId="24A489C9" w14:textId="77777777" w:rsidTr="00C427D0">
        <w:trPr>
          <w:trHeight w:val="61"/>
          <w:jc w:val="center"/>
        </w:trPr>
        <w:tc>
          <w:tcPr>
            <w:tcW w:w="2178" w:type="dxa"/>
            <w:tcBorders>
              <w:top w:val="single" w:sz="4" w:space="0" w:color="000000"/>
              <w:left w:val="single" w:sz="4" w:space="0" w:color="000000"/>
              <w:bottom w:val="single" w:sz="4" w:space="0" w:color="000000"/>
              <w:right w:val="single" w:sz="4" w:space="0" w:color="000000"/>
            </w:tcBorders>
            <w:hideMark/>
          </w:tcPr>
          <w:p w14:paraId="2F7F27C7"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ETC</w:t>
            </w:r>
          </w:p>
        </w:tc>
        <w:tc>
          <w:tcPr>
            <w:tcW w:w="2579" w:type="dxa"/>
            <w:tcBorders>
              <w:top w:val="single" w:sz="4" w:space="0" w:color="000000"/>
              <w:left w:val="single" w:sz="4" w:space="0" w:color="000000"/>
              <w:bottom w:val="single" w:sz="4" w:space="0" w:color="000000"/>
              <w:right w:val="single" w:sz="4" w:space="0" w:color="000000"/>
            </w:tcBorders>
          </w:tcPr>
          <w:p w14:paraId="3C25BD35"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250 </w:t>
            </w:r>
          </w:p>
        </w:tc>
        <w:tc>
          <w:tcPr>
            <w:tcW w:w="1621" w:type="dxa"/>
            <w:tcBorders>
              <w:top w:val="single" w:sz="4" w:space="0" w:color="000000"/>
              <w:left w:val="single" w:sz="4" w:space="0" w:color="000000"/>
              <w:bottom w:val="single" w:sz="4" w:space="0" w:color="000000"/>
              <w:right w:val="single" w:sz="4" w:space="0" w:color="000000"/>
            </w:tcBorders>
            <w:hideMark/>
          </w:tcPr>
          <w:p w14:paraId="0ED871C6"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0.5±0.09</w:t>
            </w:r>
          </w:p>
        </w:tc>
        <w:tc>
          <w:tcPr>
            <w:tcW w:w="1577" w:type="dxa"/>
            <w:tcBorders>
              <w:top w:val="single" w:sz="4" w:space="0" w:color="000000"/>
              <w:left w:val="single" w:sz="4" w:space="0" w:color="000000"/>
              <w:bottom w:val="single" w:sz="4" w:space="0" w:color="000000"/>
              <w:right w:val="single" w:sz="4" w:space="0" w:color="000000"/>
            </w:tcBorders>
            <w:hideMark/>
          </w:tcPr>
          <w:p w14:paraId="20917267"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0.8±0.18</w:t>
            </w:r>
          </w:p>
        </w:tc>
        <w:tc>
          <w:tcPr>
            <w:tcW w:w="1621" w:type="dxa"/>
            <w:tcBorders>
              <w:top w:val="single" w:sz="4" w:space="0" w:color="000000"/>
              <w:left w:val="single" w:sz="4" w:space="0" w:color="000000"/>
              <w:bottom w:val="single" w:sz="4" w:space="0" w:color="000000"/>
              <w:right w:val="single" w:sz="4" w:space="0" w:color="000000"/>
            </w:tcBorders>
            <w:hideMark/>
          </w:tcPr>
          <w:p w14:paraId="06DE991C"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0.9±0.07</w:t>
            </w:r>
          </w:p>
        </w:tc>
      </w:tr>
      <w:tr w:rsidR="00C427D0" w:rsidRPr="00C427D0" w14:paraId="022781A9" w14:textId="77777777" w:rsidTr="00C427D0">
        <w:trPr>
          <w:trHeight w:val="215"/>
          <w:jc w:val="center"/>
        </w:trPr>
        <w:tc>
          <w:tcPr>
            <w:tcW w:w="2178" w:type="dxa"/>
            <w:tcBorders>
              <w:top w:val="single" w:sz="4" w:space="0" w:color="000000"/>
              <w:left w:val="single" w:sz="4" w:space="0" w:color="000000"/>
              <w:bottom w:val="single" w:sz="4" w:space="0" w:color="000000"/>
              <w:right w:val="single" w:sz="4" w:space="0" w:color="000000"/>
            </w:tcBorders>
            <w:hideMark/>
          </w:tcPr>
          <w:p w14:paraId="5746A9DA"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ETC</w:t>
            </w:r>
          </w:p>
        </w:tc>
        <w:tc>
          <w:tcPr>
            <w:tcW w:w="2579" w:type="dxa"/>
            <w:tcBorders>
              <w:top w:val="single" w:sz="4" w:space="0" w:color="000000"/>
              <w:left w:val="single" w:sz="4" w:space="0" w:color="000000"/>
              <w:bottom w:val="single" w:sz="4" w:space="0" w:color="000000"/>
              <w:right w:val="single" w:sz="4" w:space="0" w:color="000000"/>
            </w:tcBorders>
          </w:tcPr>
          <w:p w14:paraId="4CEEF520"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500</w:t>
            </w:r>
          </w:p>
        </w:tc>
        <w:tc>
          <w:tcPr>
            <w:tcW w:w="1621" w:type="dxa"/>
            <w:tcBorders>
              <w:top w:val="single" w:sz="4" w:space="0" w:color="000000"/>
              <w:left w:val="single" w:sz="4" w:space="0" w:color="000000"/>
              <w:bottom w:val="single" w:sz="4" w:space="0" w:color="000000"/>
              <w:right w:val="single" w:sz="4" w:space="0" w:color="000000"/>
            </w:tcBorders>
            <w:hideMark/>
          </w:tcPr>
          <w:p w14:paraId="063E99CE"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0.5±0.01</w:t>
            </w:r>
          </w:p>
        </w:tc>
        <w:tc>
          <w:tcPr>
            <w:tcW w:w="1577" w:type="dxa"/>
            <w:tcBorders>
              <w:top w:val="single" w:sz="4" w:space="0" w:color="000000"/>
              <w:left w:val="single" w:sz="4" w:space="0" w:color="000000"/>
              <w:bottom w:val="single" w:sz="4" w:space="0" w:color="000000"/>
              <w:right w:val="single" w:sz="4" w:space="0" w:color="000000"/>
            </w:tcBorders>
            <w:hideMark/>
          </w:tcPr>
          <w:p w14:paraId="2A9F2AC3"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0.6±0.06</w:t>
            </w:r>
          </w:p>
        </w:tc>
        <w:tc>
          <w:tcPr>
            <w:tcW w:w="1621" w:type="dxa"/>
            <w:tcBorders>
              <w:top w:val="single" w:sz="4" w:space="0" w:color="000000"/>
              <w:left w:val="single" w:sz="4" w:space="0" w:color="000000"/>
              <w:bottom w:val="single" w:sz="4" w:space="0" w:color="000000"/>
              <w:right w:val="single" w:sz="4" w:space="0" w:color="000000"/>
            </w:tcBorders>
            <w:hideMark/>
          </w:tcPr>
          <w:p w14:paraId="373833C9"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0.8±0.06</w:t>
            </w:r>
          </w:p>
        </w:tc>
      </w:tr>
      <w:tr w:rsidR="00C427D0" w:rsidRPr="00C427D0" w14:paraId="355376C3" w14:textId="77777777" w:rsidTr="00C427D0">
        <w:trPr>
          <w:jc w:val="center"/>
        </w:trPr>
        <w:tc>
          <w:tcPr>
            <w:tcW w:w="2178" w:type="dxa"/>
            <w:tcBorders>
              <w:top w:val="single" w:sz="4" w:space="0" w:color="000000"/>
              <w:left w:val="single" w:sz="4" w:space="0" w:color="000000"/>
              <w:bottom w:val="single" w:sz="4" w:space="0" w:color="000000"/>
              <w:right w:val="single" w:sz="4" w:space="0" w:color="000000"/>
            </w:tcBorders>
            <w:hideMark/>
          </w:tcPr>
          <w:p w14:paraId="40A5E97D"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ETC</w:t>
            </w:r>
          </w:p>
        </w:tc>
        <w:tc>
          <w:tcPr>
            <w:tcW w:w="2579" w:type="dxa"/>
            <w:tcBorders>
              <w:top w:val="single" w:sz="4" w:space="0" w:color="000000"/>
              <w:left w:val="single" w:sz="4" w:space="0" w:color="000000"/>
              <w:bottom w:val="single" w:sz="4" w:space="0" w:color="000000"/>
              <w:right w:val="single" w:sz="4" w:space="0" w:color="000000"/>
            </w:tcBorders>
          </w:tcPr>
          <w:p w14:paraId="37FB49FD"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1000 </w:t>
            </w:r>
          </w:p>
        </w:tc>
        <w:tc>
          <w:tcPr>
            <w:tcW w:w="1621" w:type="dxa"/>
            <w:tcBorders>
              <w:top w:val="single" w:sz="4" w:space="0" w:color="000000"/>
              <w:left w:val="single" w:sz="4" w:space="0" w:color="000000"/>
              <w:bottom w:val="single" w:sz="4" w:space="0" w:color="000000"/>
              <w:right w:val="single" w:sz="4" w:space="0" w:color="000000"/>
            </w:tcBorders>
            <w:hideMark/>
          </w:tcPr>
          <w:p w14:paraId="3E5236C4"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0.6±0.03</w:t>
            </w:r>
          </w:p>
        </w:tc>
        <w:tc>
          <w:tcPr>
            <w:tcW w:w="1577" w:type="dxa"/>
            <w:tcBorders>
              <w:top w:val="single" w:sz="4" w:space="0" w:color="000000"/>
              <w:left w:val="single" w:sz="4" w:space="0" w:color="000000"/>
              <w:bottom w:val="single" w:sz="4" w:space="0" w:color="000000"/>
              <w:right w:val="single" w:sz="4" w:space="0" w:color="000000"/>
            </w:tcBorders>
            <w:hideMark/>
          </w:tcPr>
          <w:p w14:paraId="730BDE75"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0.9±0.12</w:t>
            </w:r>
          </w:p>
        </w:tc>
        <w:tc>
          <w:tcPr>
            <w:tcW w:w="1621" w:type="dxa"/>
            <w:tcBorders>
              <w:top w:val="single" w:sz="4" w:space="0" w:color="000000"/>
              <w:left w:val="single" w:sz="4" w:space="0" w:color="000000"/>
              <w:bottom w:val="single" w:sz="4" w:space="0" w:color="000000"/>
              <w:right w:val="single" w:sz="4" w:space="0" w:color="000000"/>
            </w:tcBorders>
            <w:hideMark/>
          </w:tcPr>
          <w:p w14:paraId="296225DE"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0.8±0.17</w:t>
            </w:r>
          </w:p>
        </w:tc>
      </w:tr>
      <w:tr w:rsidR="00C427D0" w:rsidRPr="00C427D0" w14:paraId="44C2E87B" w14:textId="77777777" w:rsidTr="00C427D0">
        <w:trPr>
          <w:jc w:val="center"/>
        </w:trPr>
        <w:tc>
          <w:tcPr>
            <w:tcW w:w="2178" w:type="dxa"/>
            <w:tcBorders>
              <w:top w:val="single" w:sz="4" w:space="0" w:color="000000"/>
              <w:left w:val="single" w:sz="4" w:space="0" w:color="000000"/>
              <w:bottom w:val="single" w:sz="4" w:space="0" w:color="000000"/>
              <w:right w:val="single" w:sz="4" w:space="0" w:color="000000"/>
            </w:tcBorders>
            <w:hideMark/>
          </w:tcPr>
          <w:p w14:paraId="5DFFEAC2"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Aspirin</w:t>
            </w:r>
          </w:p>
        </w:tc>
        <w:tc>
          <w:tcPr>
            <w:tcW w:w="2579" w:type="dxa"/>
            <w:tcBorders>
              <w:top w:val="single" w:sz="4" w:space="0" w:color="000000"/>
              <w:left w:val="single" w:sz="4" w:space="0" w:color="000000"/>
              <w:bottom w:val="single" w:sz="4" w:space="0" w:color="000000"/>
              <w:right w:val="single" w:sz="4" w:space="0" w:color="000000"/>
            </w:tcBorders>
          </w:tcPr>
          <w:p w14:paraId="3DDDFF1A"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100</w:t>
            </w:r>
          </w:p>
        </w:tc>
        <w:tc>
          <w:tcPr>
            <w:tcW w:w="1621" w:type="dxa"/>
            <w:tcBorders>
              <w:top w:val="single" w:sz="4" w:space="0" w:color="000000"/>
              <w:left w:val="single" w:sz="4" w:space="0" w:color="000000"/>
              <w:bottom w:val="single" w:sz="4" w:space="0" w:color="000000"/>
              <w:right w:val="single" w:sz="4" w:space="0" w:color="000000"/>
            </w:tcBorders>
            <w:hideMark/>
          </w:tcPr>
          <w:p w14:paraId="08904E22"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0.7±.0.11</w:t>
            </w:r>
          </w:p>
        </w:tc>
        <w:tc>
          <w:tcPr>
            <w:tcW w:w="1577" w:type="dxa"/>
            <w:tcBorders>
              <w:top w:val="single" w:sz="4" w:space="0" w:color="000000"/>
              <w:left w:val="single" w:sz="4" w:space="0" w:color="000000"/>
              <w:bottom w:val="single" w:sz="4" w:space="0" w:color="000000"/>
              <w:right w:val="single" w:sz="4" w:space="0" w:color="000000"/>
            </w:tcBorders>
            <w:hideMark/>
          </w:tcPr>
          <w:p w14:paraId="23121EFB"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0.6±0.08</w:t>
            </w:r>
          </w:p>
        </w:tc>
        <w:tc>
          <w:tcPr>
            <w:tcW w:w="1621" w:type="dxa"/>
            <w:tcBorders>
              <w:top w:val="single" w:sz="4" w:space="0" w:color="000000"/>
              <w:left w:val="single" w:sz="4" w:space="0" w:color="000000"/>
              <w:bottom w:val="single" w:sz="4" w:space="0" w:color="000000"/>
              <w:right w:val="single" w:sz="4" w:space="0" w:color="000000"/>
            </w:tcBorders>
            <w:hideMark/>
          </w:tcPr>
          <w:p w14:paraId="093B589B"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0.6±0.04</w:t>
            </w:r>
          </w:p>
        </w:tc>
      </w:tr>
      <w:tr w:rsidR="00C427D0" w:rsidRPr="00C427D0" w14:paraId="19E6CE70" w14:textId="77777777" w:rsidTr="00C427D0">
        <w:trPr>
          <w:jc w:val="center"/>
        </w:trPr>
        <w:tc>
          <w:tcPr>
            <w:tcW w:w="2178" w:type="dxa"/>
            <w:tcBorders>
              <w:top w:val="single" w:sz="4" w:space="0" w:color="000000"/>
              <w:left w:val="single" w:sz="4" w:space="0" w:color="000000"/>
              <w:bottom w:val="single" w:sz="4" w:space="0" w:color="000000"/>
              <w:right w:val="single" w:sz="4" w:space="0" w:color="000000"/>
            </w:tcBorders>
            <w:hideMark/>
          </w:tcPr>
          <w:p w14:paraId="045D9D0A"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Morphine</w:t>
            </w:r>
          </w:p>
        </w:tc>
        <w:tc>
          <w:tcPr>
            <w:tcW w:w="2579" w:type="dxa"/>
            <w:tcBorders>
              <w:top w:val="single" w:sz="4" w:space="0" w:color="000000"/>
              <w:left w:val="single" w:sz="4" w:space="0" w:color="000000"/>
              <w:bottom w:val="single" w:sz="4" w:space="0" w:color="000000"/>
              <w:right w:val="single" w:sz="4" w:space="0" w:color="000000"/>
            </w:tcBorders>
          </w:tcPr>
          <w:p w14:paraId="165E40C2"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1</w:t>
            </w:r>
          </w:p>
        </w:tc>
        <w:tc>
          <w:tcPr>
            <w:tcW w:w="1621" w:type="dxa"/>
            <w:tcBorders>
              <w:top w:val="single" w:sz="4" w:space="0" w:color="000000"/>
              <w:left w:val="single" w:sz="4" w:space="0" w:color="000000"/>
              <w:bottom w:val="single" w:sz="4" w:space="0" w:color="000000"/>
              <w:right w:val="single" w:sz="4" w:space="0" w:color="000000"/>
            </w:tcBorders>
            <w:hideMark/>
          </w:tcPr>
          <w:p w14:paraId="38E707D4" w14:textId="77777777" w:rsidR="00C427D0" w:rsidRPr="00C427D0" w:rsidRDefault="00C427D0" w:rsidP="00C427D0">
            <w:pPr>
              <w:spacing w:after="0" w:line="24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3.0±0.22</w:t>
            </w:r>
            <w:r w:rsidRPr="00C427D0">
              <w:rPr>
                <w:rFonts w:ascii="Times New Roman" w:eastAsia="Calibri" w:hAnsi="Times New Roman" w:cs="Times New Roman"/>
                <w:sz w:val="24"/>
                <w:szCs w:val="24"/>
                <w:vertAlign w:val="superscript"/>
                <w:lang w:val="en-GB"/>
              </w:rPr>
              <w:t>*</w:t>
            </w:r>
          </w:p>
        </w:tc>
        <w:tc>
          <w:tcPr>
            <w:tcW w:w="1577" w:type="dxa"/>
            <w:tcBorders>
              <w:top w:val="single" w:sz="4" w:space="0" w:color="000000"/>
              <w:left w:val="single" w:sz="4" w:space="0" w:color="000000"/>
              <w:bottom w:val="single" w:sz="4" w:space="0" w:color="000000"/>
              <w:right w:val="single" w:sz="4" w:space="0" w:color="000000"/>
            </w:tcBorders>
            <w:hideMark/>
          </w:tcPr>
          <w:p w14:paraId="12241015"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3.0±0.11</w:t>
            </w:r>
            <w:r w:rsidRPr="00C427D0">
              <w:rPr>
                <w:rFonts w:ascii="Times New Roman" w:eastAsia="Calibri" w:hAnsi="Times New Roman" w:cs="Times New Roman"/>
                <w:color w:val="000000"/>
                <w:sz w:val="24"/>
                <w:szCs w:val="24"/>
                <w:vertAlign w:val="superscript"/>
                <w:lang w:val="en-GB"/>
              </w:rPr>
              <w:t>*</w:t>
            </w:r>
          </w:p>
        </w:tc>
        <w:tc>
          <w:tcPr>
            <w:tcW w:w="1621" w:type="dxa"/>
            <w:tcBorders>
              <w:top w:val="single" w:sz="4" w:space="0" w:color="000000"/>
              <w:left w:val="single" w:sz="4" w:space="0" w:color="000000"/>
              <w:bottom w:val="single" w:sz="4" w:space="0" w:color="000000"/>
              <w:right w:val="single" w:sz="4" w:space="0" w:color="000000"/>
            </w:tcBorders>
            <w:hideMark/>
          </w:tcPr>
          <w:p w14:paraId="0C89B4B9" w14:textId="77777777" w:rsidR="00C427D0" w:rsidRPr="00C427D0" w:rsidRDefault="00C427D0" w:rsidP="00C427D0">
            <w:pPr>
              <w:spacing w:after="0" w:line="240" w:lineRule="auto"/>
              <w:jc w:val="both"/>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2.4±0.15</w:t>
            </w:r>
            <w:r w:rsidRPr="00C427D0">
              <w:rPr>
                <w:rFonts w:ascii="Times New Roman" w:eastAsia="Calibri" w:hAnsi="Times New Roman" w:cs="Times New Roman"/>
                <w:color w:val="000000"/>
                <w:sz w:val="24"/>
                <w:szCs w:val="24"/>
                <w:vertAlign w:val="superscript"/>
                <w:lang w:val="en-GB"/>
              </w:rPr>
              <w:t>*</w:t>
            </w:r>
          </w:p>
        </w:tc>
      </w:tr>
    </w:tbl>
    <w:p w14:paraId="468A5F20" w14:textId="77777777" w:rsidR="00C427D0" w:rsidRPr="00C427D0" w:rsidRDefault="00C427D0" w:rsidP="00C427D0">
      <w:pPr>
        <w:spacing w:after="200" w:line="240" w:lineRule="auto"/>
        <w:rPr>
          <w:rFonts w:ascii="Times New Roman" w:eastAsia="Calibri" w:hAnsi="Times New Roman" w:cs="Times New Roman"/>
          <w:sz w:val="24"/>
          <w:szCs w:val="24"/>
          <w:lang w:val="en-GB"/>
        </w:rPr>
      </w:pPr>
    </w:p>
    <w:p w14:paraId="4570308E" w14:textId="77777777" w:rsidR="00C427D0" w:rsidRPr="00C427D0" w:rsidRDefault="00C427D0" w:rsidP="00C427D0">
      <w:pPr>
        <w:spacing w:after="200" w:line="360" w:lineRule="auto"/>
        <w:ind w:left="720"/>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Values represent the Mean ± S.E.M for 5 animals per group. </w:t>
      </w:r>
      <w:r w:rsidRPr="00C427D0">
        <w:rPr>
          <w:rFonts w:ascii="Times New Roman" w:eastAsia="Calibri" w:hAnsi="Times New Roman" w:cs="Times New Roman"/>
          <w:sz w:val="24"/>
          <w:szCs w:val="24"/>
          <w:vertAlign w:val="superscript"/>
          <w:lang w:val="en-GB"/>
        </w:rPr>
        <w:t>*</w:t>
      </w:r>
      <w:r w:rsidRPr="00C427D0">
        <w:rPr>
          <w:rFonts w:ascii="Times New Roman" w:eastAsia="Calibri" w:hAnsi="Times New Roman" w:cs="Times New Roman"/>
          <w:sz w:val="24"/>
          <w:szCs w:val="24"/>
          <w:lang w:val="en-GB"/>
        </w:rPr>
        <w:t>P&lt;0.05 compared to control     (ANOVA followed by Newman-Keuls Multiple Comparison Test).</w:t>
      </w:r>
    </w:p>
    <w:p w14:paraId="7C03A0EF" w14:textId="77777777" w:rsidR="00C427D0" w:rsidRPr="00C427D0" w:rsidRDefault="00C427D0" w:rsidP="00C427D0">
      <w:pPr>
        <w:autoSpaceDE w:val="0"/>
        <w:autoSpaceDN w:val="0"/>
        <w:adjustRightInd w:val="0"/>
        <w:spacing w:after="0" w:line="360" w:lineRule="auto"/>
        <w:jc w:val="both"/>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Discussion</w:t>
      </w:r>
    </w:p>
    <w:p w14:paraId="3241D980" w14:textId="77777777" w:rsidR="00C427D0" w:rsidRPr="00C427D0" w:rsidRDefault="00C427D0" w:rsidP="00C427D0">
      <w:pPr>
        <w:widowControl w:val="0"/>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The results of this study revealed that ethanol extract of </w:t>
      </w:r>
      <w:r w:rsidRPr="00C427D0">
        <w:rPr>
          <w:rFonts w:ascii="Times New Roman" w:eastAsia="Calibri" w:hAnsi="Times New Roman" w:cs="Times New Roman"/>
          <w:i/>
          <w:sz w:val="24"/>
          <w:szCs w:val="24"/>
          <w:lang w:val="en-GB"/>
        </w:rPr>
        <w:t>Theobroma cacao</w:t>
      </w:r>
      <w:r w:rsidRPr="00C427D0">
        <w:rPr>
          <w:rFonts w:ascii="Times New Roman" w:eastAsia="Calibri" w:hAnsi="Times New Roman" w:cs="Times New Roman"/>
          <w:sz w:val="24"/>
          <w:szCs w:val="24"/>
          <w:lang w:val="en-GB"/>
        </w:rPr>
        <w:t xml:space="preserve"> reduced the </w:t>
      </w:r>
      <w:r w:rsidRPr="00C427D0">
        <w:rPr>
          <w:rFonts w:ascii="Times New Roman" w:eastAsia="Calibri" w:hAnsi="Times New Roman" w:cs="Times New Roman"/>
          <w:sz w:val="24"/>
          <w:szCs w:val="24"/>
          <w:lang w:val="en-GB"/>
        </w:rPr>
        <w:lastRenderedPageBreak/>
        <w:t xml:space="preserve">frequency of abdominal constrictions induced by acetic acid in mice, which suggests analgesic activity. </w:t>
      </w:r>
      <w:r w:rsidRPr="00C427D0">
        <w:rPr>
          <w:rFonts w:ascii="Times New Roman" w:eastAsia="Calibri" w:hAnsi="Times New Roman" w:cs="Times New Roman"/>
          <w:snapToGrid w:val="0"/>
          <w:sz w:val="24"/>
          <w:szCs w:val="24"/>
          <w:lang w:val="en-GB"/>
        </w:rPr>
        <w:t xml:space="preserve">It </w:t>
      </w:r>
      <w:r w:rsidRPr="00C427D0">
        <w:rPr>
          <w:rFonts w:ascii="Times New Roman" w:eastAsia="Calibri" w:hAnsi="Times New Roman" w:cs="Times New Roman"/>
          <w:sz w:val="24"/>
          <w:szCs w:val="24"/>
          <w:lang w:val="en-GB"/>
        </w:rPr>
        <w:t xml:space="preserve">further produced a dose-dependent inhibition of both the neurogenic and inflammatory pains induced by formalin in mice. The extract also dose-dependently inhibited pain evoked in the carrageenan-inflamed rat hind paw but failed to alter the pain threshold in non-inflamed hind paw of rats. </w:t>
      </w:r>
      <w:r w:rsidRPr="00C427D0">
        <w:rPr>
          <w:rFonts w:ascii="Times New Roman" w:eastAsia="Calibri" w:hAnsi="Times New Roman" w:cs="Times New Roman"/>
          <w:bCs/>
          <w:sz w:val="24"/>
          <w:szCs w:val="24"/>
          <w:lang w:val="en-GB"/>
        </w:rPr>
        <w:t>The extract demonstrated inhibitory activity against acute inflammation induced by</w:t>
      </w:r>
      <w:r w:rsidRPr="00C427D0">
        <w:rPr>
          <w:rFonts w:ascii="Times New Roman" w:eastAsia="Calibri" w:hAnsi="Times New Roman" w:cs="Times New Roman"/>
          <w:sz w:val="24"/>
          <w:szCs w:val="24"/>
          <w:lang w:val="en-GB"/>
        </w:rPr>
        <w:t xml:space="preserve"> carrageenan</w:t>
      </w:r>
      <w:r w:rsidRPr="00C427D0">
        <w:rPr>
          <w:rFonts w:ascii="Times New Roman" w:eastAsia="Calibri" w:hAnsi="Times New Roman" w:cs="Times New Roman"/>
          <w:bCs/>
          <w:color w:val="C00000"/>
          <w:sz w:val="24"/>
          <w:szCs w:val="24"/>
          <w:lang w:val="en-GB"/>
        </w:rPr>
        <w:t>,</w:t>
      </w:r>
      <w:r w:rsidRPr="00C427D0">
        <w:rPr>
          <w:rFonts w:ascii="Times New Roman" w:eastAsia="Calibri" w:hAnsi="Times New Roman" w:cs="Times New Roman"/>
          <w:bCs/>
          <w:sz w:val="24"/>
          <w:szCs w:val="24"/>
          <w:lang w:val="en-GB"/>
        </w:rPr>
        <w:t xml:space="preserve"> as shown by reduction of paw oedema volume in rats.</w:t>
      </w:r>
      <w:r w:rsidRPr="00C427D0">
        <w:rPr>
          <w:rFonts w:ascii="Times New Roman" w:eastAsia="Calibri" w:hAnsi="Times New Roman" w:cs="Times New Roman"/>
          <w:color w:val="C00000"/>
          <w:sz w:val="24"/>
          <w:szCs w:val="24"/>
          <w:lang w:val="en-GB"/>
        </w:rPr>
        <w:t xml:space="preserve"> </w:t>
      </w:r>
      <w:r w:rsidRPr="00C427D0">
        <w:rPr>
          <w:rFonts w:ascii="Times New Roman" w:eastAsia="Calibri" w:hAnsi="Times New Roman" w:cs="Times New Roman"/>
          <w:bCs/>
          <w:sz w:val="24"/>
          <w:szCs w:val="24"/>
          <w:lang w:val="en-GB"/>
        </w:rPr>
        <w:t xml:space="preserve">It also suppressed inflammatory oedema induced by </w:t>
      </w:r>
      <w:r w:rsidRPr="00C427D0">
        <w:rPr>
          <w:rFonts w:ascii="Times New Roman" w:eastAsia="Calibri" w:hAnsi="Times New Roman" w:cs="Times New Roman"/>
          <w:snapToGrid w:val="0"/>
          <w:sz w:val="24"/>
          <w:szCs w:val="24"/>
          <w:lang w:val="en-GB"/>
        </w:rPr>
        <w:t>formalin</w:t>
      </w:r>
      <w:r w:rsidRPr="00C427D0">
        <w:rPr>
          <w:rFonts w:ascii="Times New Roman" w:eastAsia="Calibri" w:hAnsi="Times New Roman" w:cs="Times New Roman"/>
          <w:bCs/>
          <w:sz w:val="24"/>
          <w:szCs w:val="24"/>
          <w:lang w:val="en-GB"/>
        </w:rPr>
        <w:t xml:space="preserve"> in rats.</w:t>
      </w:r>
      <w:r w:rsidRPr="00C427D0">
        <w:rPr>
          <w:rFonts w:ascii="Times New Roman" w:eastAsia="Calibri" w:hAnsi="Times New Roman" w:cs="Times New Roman"/>
          <w:sz w:val="24"/>
          <w:szCs w:val="24"/>
          <w:lang w:val="en-GB"/>
        </w:rPr>
        <w:t xml:space="preserve"> Acute toxicity study revealed that the extract was well tolerated by the animals, as no death occurred after oral administration.</w:t>
      </w:r>
      <w:r w:rsidRPr="00C427D0">
        <w:rPr>
          <w:rFonts w:ascii="Times New Roman" w:eastAsia="Calibri" w:hAnsi="Times New Roman" w:cs="Times New Roman"/>
          <w:snapToGrid w:val="0"/>
          <w:sz w:val="24"/>
          <w:szCs w:val="24"/>
          <w:lang w:val="en-GB"/>
        </w:rPr>
        <w:t xml:space="preserve"> </w:t>
      </w:r>
      <w:r w:rsidRPr="00C427D0">
        <w:rPr>
          <w:rFonts w:ascii="Times New Roman" w:eastAsia="Calibri" w:hAnsi="Times New Roman" w:cs="Times New Roman"/>
          <w:sz w:val="24"/>
          <w:szCs w:val="24"/>
          <w:lang w:val="en-GB"/>
        </w:rPr>
        <w:t>Phytochemical screening showed that ETC contains alkaloids, anthraquinones, cardinolides, flavonoids, saponins, tannins, terpenoids and steroids.</w:t>
      </w:r>
    </w:p>
    <w:p w14:paraId="2341D3E6" w14:textId="77777777" w:rsidR="00C427D0" w:rsidRPr="00C427D0" w:rsidRDefault="00C427D0" w:rsidP="00C427D0">
      <w:pPr>
        <w:widowControl w:val="0"/>
        <w:spacing w:after="20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Acetic acid has been shown to evoke pain by causing necrosis of the peritoneum that trigger the peripheral release of pain mediators (Deraedt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1980). These mediators especially prostaglandins sensitise nociceptors to cause pain (Dray, 1995). Prostaglandins play central role in amplification of pain events associated with tissue injury, as a result of their ability to lower pain threshold to other algogenic substances (Williams and Morley, 1973, Dray, 1995). Thus, inhibition of the release of chemical mediators is the key therapeutic target for the development of drugs with analgesic property like non-steriodal anti-inflammatory drugs (NSAIDs). The inhibitory effect shown by ETC against acetic acid-induced pain suggests the presence of phytochemical substance(s) with analgesic activity. The findings that ETC suppressed the pain episodes produced by formalin further support its analgesic property.</w:t>
      </w:r>
    </w:p>
    <w:p w14:paraId="2F6AF493" w14:textId="77777777" w:rsidR="00C427D0" w:rsidRPr="00C427D0" w:rsidRDefault="00C427D0" w:rsidP="00C427D0">
      <w:pPr>
        <w:spacing w:after="12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Formalin is known to produce pain, occurring in two phases; neurogenic and inflammatory pains (Ibironke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2009, Zakaria</w:t>
      </w:r>
      <w:r w:rsidRPr="00C427D0">
        <w:rPr>
          <w:rFonts w:ascii="Times New Roman" w:eastAsia="Calibri" w:hAnsi="Times New Roman" w:cs="Times New Roman"/>
          <w:i/>
          <w:sz w:val="24"/>
          <w:szCs w:val="24"/>
          <w:lang w:val="en-GB"/>
        </w:rPr>
        <w:t xml:space="preserve"> et al.,</w:t>
      </w:r>
      <w:r w:rsidRPr="00C427D0">
        <w:rPr>
          <w:rFonts w:ascii="Times New Roman" w:eastAsia="Calibri" w:hAnsi="Times New Roman" w:cs="Times New Roman"/>
          <w:sz w:val="24"/>
          <w:szCs w:val="24"/>
          <w:lang w:val="en-GB"/>
        </w:rPr>
        <w:t xml:space="preserve"> 2006)</w:t>
      </w:r>
      <w:r w:rsidRPr="00C427D0">
        <w:rPr>
          <w:rFonts w:ascii="Times New Roman" w:eastAsia="MinionPro-Regular" w:hAnsi="Times New Roman" w:cs="Times New Roman"/>
          <w:sz w:val="24"/>
          <w:szCs w:val="24"/>
          <w:lang w:val="en-GB"/>
        </w:rPr>
        <w:t>.</w:t>
      </w:r>
      <w:r w:rsidRPr="00C427D0">
        <w:rPr>
          <w:rFonts w:ascii="Times New Roman" w:eastAsia="Calibri" w:hAnsi="Times New Roman" w:cs="Times New Roman"/>
          <w:sz w:val="24"/>
          <w:szCs w:val="24"/>
          <w:lang w:val="en-GB"/>
        </w:rPr>
        <w:t xml:space="preserve"> The neurogenic pain (first phase), which  occurs immediately  after formalin  injection,  is centrally mediated and is due to direct stimulation of nociceptors (Le Bars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2001). However, the inflammatory pain (second phase), which occurs much later, is mediated through the peripheral release of inflammatory mediators and is characterized by local tissue damage (</w:t>
      </w:r>
      <w:r w:rsidRPr="00C427D0">
        <w:rPr>
          <w:rFonts w:ascii="Times New Roman" w:eastAsia="MinionPro-Regular" w:hAnsi="Times New Roman" w:cs="Times New Roman"/>
          <w:sz w:val="24"/>
          <w:szCs w:val="24"/>
          <w:lang w:val="en-GB"/>
        </w:rPr>
        <w:t xml:space="preserve">Tjolsen </w:t>
      </w:r>
      <w:r w:rsidRPr="00C427D0">
        <w:rPr>
          <w:rFonts w:ascii="Times New Roman" w:eastAsia="MinionPro-Regular" w:hAnsi="Times New Roman" w:cs="Times New Roman"/>
          <w:i/>
          <w:sz w:val="24"/>
          <w:szCs w:val="24"/>
          <w:lang w:val="en-GB"/>
        </w:rPr>
        <w:t>et al</w:t>
      </w:r>
      <w:r w:rsidRPr="00C427D0">
        <w:rPr>
          <w:rFonts w:ascii="Times New Roman" w:eastAsia="MinionPro-Regular" w:hAnsi="Times New Roman" w:cs="Times New Roman"/>
          <w:sz w:val="24"/>
          <w:szCs w:val="24"/>
          <w:lang w:val="en-GB"/>
        </w:rPr>
        <w:t>., 1992;</w:t>
      </w:r>
      <w:r w:rsidRPr="00C427D0">
        <w:rPr>
          <w:rFonts w:ascii="Times New Roman" w:eastAsia="Calibri" w:hAnsi="Times New Roman" w:cs="Times New Roman"/>
          <w:color w:val="000000"/>
          <w:sz w:val="24"/>
          <w:szCs w:val="24"/>
          <w:lang w:val="en-GB"/>
        </w:rPr>
        <w:t xml:space="preserve"> Hunkaar and Hole, 1987).</w:t>
      </w:r>
      <w:r w:rsidRPr="00C427D0">
        <w:rPr>
          <w:rFonts w:ascii="Times New Roman" w:eastAsia="Calibri" w:hAnsi="Times New Roman" w:cs="Times New Roman"/>
          <w:sz w:val="24"/>
          <w:szCs w:val="24"/>
          <w:lang w:val="en-GB"/>
        </w:rPr>
        <w:t xml:space="preserve"> The NSAIDs are only active against the inflammatory pain whereas morphine-like drugs abolish pain episodes associated with the two phases of the formalin test (</w:t>
      </w:r>
      <w:r w:rsidRPr="00C427D0">
        <w:rPr>
          <w:rFonts w:ascii="Times New Roman" w:eastAsia="MinionPro-Regular" w:hAnsi="Times New Roman" w:cs="Times New Roman"/>
          <w:sz w:val="24"/>
          <w:szCs w:val="24"/>
          <w:lang w:val="en-GB"/>
        </w:rPr>
        <w:t xml:space="preserve">Choi </w:t>
      </w:r>
      <w:r w:rsidRPr="00C427D0">
        <w:rPr>
          <w:rFonts w:ascii="Times New Roman" w:eastAsia="MinionPro-Regular" w:hAnsi="Times New Roman" w:cs="Times New Roman"/>
          <w:i/>
          <w:sz w:val="24"/>
          <w:szCs w:val="24"/>
          <w:lang w:val="en-GB"/>
        </w:rPr>
        <w:t>et al.,</w:t>
      </w:r>
      <w:r w:rsidRPr="00C427D0">
        <w:rPr>
          <w:rFonts w:ascii="Times New Roman" w:eastAsia="MinionPro-Regular" w:hAnsi="Times New Roman" w:cs="Times New Roman"/>
          <w:sz w:val="24"/>
          <w:szCs w:val="24"/>
          <w:lang w:val="en-GB"/>
        </w:rPr>
        <w:t xml:space="preserve"> 2003;</w:t>
      </w:r>
      <w:r w:rsidRPr="00C427D0">
        <w:rPr>
          <w:rFonts w:ascii="Times New Roman" w:eastAsia="Calibri" w:hAnsi="Times New Roman" w:cs="Times New Roman"/>
          <w:color w:val="000000"/>
          <w:sz w:val="24"/>
          <w:szCs w:val="24"/>
          <w:lang w:val="en-GB"/>
        </w:rPr>
        <w:t xml:space="preserve"> Hunkaar and Hole, 1987;</w:t>
      </w:r>
      <w:r w:rsidRPr="00C427D0">
        <w:rPr>
          <w:rFonts w:ascii="Times New Roman" w:eastAsia="MinionPro-Regular" w:hAnsi="Times New Roman" w:cs="Times New Roman"/>
          <w:sz w:val="24"/>
          <w:szCs w:val="24"/>
          <w:lang w:val="en-GB"/>
        </w:rPr>
        <w:t xml:space="preserve"> </w:t>
      </w:r>
      <w:r w:rsidRPr="00C427D0">
        <w:rPr>
          <w:rFonts w:ascii="Times New Roman" w:eastAsia="Calibri" w:hAnsi="Times New Roman" w:cs="Times New Roman"/>
          <w:sz w:val="24"/>
          <w:szCs w:val="24"/>
          <w:lang w:val="en-GB"/>
        </w:rPr>
        <w:t xml:space="preserve">Deraedt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1980).</w:t>
      </w:r>
      <w:r w:rsidRPr="00C427D0">
        <w:rPr>
          <w:rFonts w:ascii="Times New Roman" w:eastAsia="MinionPro-Regular" w:hAnsi="Times New Roman" w:cs="Times New Roman"/>
          <w:sz w:val="24"/>
          <w:szCs w:val="24"/>
          <w:lang w:val="en-GB"/>
        </w:rPr>
        <w:t xml:space="preserve"> Although ETC inhibited both phases of the formalin-induced pain, its failures</w:t>
      </w:r>
      <w:r w:rsidRPr="00C427D0">
        <w:rPr>
          <w:rFonts w:ascii="Times New Roman" w:eastAsia="Calibri" w:hAnsi="Times New Roman" w:cs="Times New Roman"/>
          <w:sz w:val="24"/>
          <w:szCs w:val="24"/>
          <w:lang w:val="en-GB"/>
        </w:rPr>
        <w:t xml:space="preserve"> to alter the reaction time of mice to noxious heat in the tail immersion test, suggests an action that differs from the opiod analgesics. In addition, the findings that the extract unlike morphine could only inhibited pain in the inflamed rat hind paw </w:t>
      </w:r>
      <w:r w:rsidRPr="00C427D0">
        <w:rPr>
          <w:rFonts w:ascii="Times New Roman" w:eastAsia="Calibri" w:hAnsi="Times New Roman" w:cs="Times New Roman"/>
          <w:sz w:val="24"/>
          <w:szCs w:val="24"/>
          <w:lang w:val="en-GB"/>
        </w:rPr>
        <w:lastRenderedPageBreak/>
        <w:t>further suggest an action that differs from the opioids.</w:t>
      </w:r>
      <w:r w:rsidRPr="00C427D0">
        <w:rPr>
          <w:rFonts w:ascii="Times New Roman" w:eastAsia="MinionPro-Regular" w:hAnsi="Times New Roman" w:cs="Times New Roman"/>
          <w:sz w:val="24"/>
          <w:szCs w:val="24"/>
          <w:lang w:val="en-GB"/>
        </w:rPr>
        <w:t xml:space="preserve"> The </w:t>
      </w:r>
      <w:r w:rsidRPr="00C427D0">
        <w:rPr>
          <w:rFonts w:ascii="Times New Roman" w:eastAsia="Calibri" w:hAnsi="Times New Roman" w:cs="Times New Roman"/>
          <w:sz w:val="24"/>
          <w:szCs w:val="24"/>
          <w:lang w:val="en-GB"/>
        </w:rPr>
        <w:t>opioids or morphine-like drugs abolish all forms of pain modalities, an action attributed to their ability to raise pain threshold and to alter the patients’ reaction to pain (</w:t>
      </w:r>
      <w:r w:rsidRPr="00C427D0">
        <w:rPr>
          <w:rFonts w:ascii="Times New Roman" w:eastAsia="Calibri" w:hAnsi="Times New Roman" w:cs="Times New Roman"/>
          <w:snapToGrid w:val="0"/>
          <w:sz w:val="24"/>
          <w:szCs w:val="24"/>
          <w:lang w:val="en-GB"/>
        </w:rPr>
        <w:t>Gibson and Helme, 2000; Fields, (1985)</w:t>
      </w:r>
      <w:r w:rsidRPr="00C427D0">
        <w:rPr>
          <w:rFonts w:ascii="Times New Roman" w:eastAsia="Calibri" w:hAnsi="Times New Roman" w:cs="Times New Roman"/>
          <w:sz w:val="24"/>
          <w:szCs w:val="24"/>
          <w:lang w:val="en-GB"/>
        </w:rPr>
        <w:t xml:space="preserve">. Therefore, more studies are necessary before any meaningful conclusions can be drawn on how ETC acts to reduce pain in animals. </w:t>
      </w:r>
    </w:p>
    <w:p w14:paraId="353572F6" w14:textId="77777777" w:rsidR="00C427D0" w:rsidRPr="00C427D0" w:rsidRDefault="00C427D0" w:rsidP="00C427D0">
      <w:pPr>
        <w:spacing w:after="12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The inflammatory effect of carrageenan and formaldehyde is related to the release of a variety of chemical mediators, which cause induction of vasopermeablity that result in oedema (Heller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1998; Nunez-Guillen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1997; </w:t>
      </w:r>
      <w:r w:rsidRPr="00C427D0">
        <w:rPr>
          <w:rFonts w:ascii="Times New Roman" w:eastAsia="Calibri" w:hAnsi="Times New Roman" w:cs="Times New Roman"/>
          <w:bCs/>
          <w:sz w:val="24"/>
          <w:szCs w:val="24"/>
        </w:rPr>
        <w:t>Robbins and Cotran 2005</w:t>
      </w:r>
      <w:r w:rsidRPr="00C427D0">
        <w:rPr>
          <w:rFonts w:ascii="Times New Roman" w:eastAsia="Calibri" w:hAnsi="Times New Roman" w:cs="Times New Roman"/>
          <w:sz w:val="24"/>
          <w:szCs w:val="24"/>
          <w:lang w:val="en-GB"/>
        </w:rPr>
        <w:t xml:space="preserve">; White, 1999). More specifically, acute inflammation produced by carrageenan has been shown to be due to a step-wise release of vasoactive substances such as histamine, bradykinin and serotonin in the early phase and prostaglandins in the late phase (Williams and Morley, 1973). Thus, the appearance of prostaglandins in the late phase of carrageenan-induced oedema further reinforced the notion that prostaglandins are better at potentiating the effects of other mediators of inflammation (Dirosa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1971; Heller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1998; Williams and Morley, 1973;). The clinical efficacy of NSAIDs in the treatment of inflammatory disorders is due to their ability to inhibit biosynthesis of prostaglandins (Emery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2002). Similarly, inflammatory response induced by formaldehyde is mediated through the release of a variety of inflammatory mediators such as histamine, bradykinin, serotonin, prostaglandins, substance p and nitric oxide (Tjolsen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1992). </w:t>
      </w:r>
      <w:r w:rsidRPr="00C427D0">
        <w:rPr>
          <w:rFonts w:ascii="Times New Roman" w:eastAsia="Calibri" w:hAnsi="Times New Roman" w:cs="Times New Roman"/>
          <w:snapToGrid w:val="0"/>
          <w:sz w:val="24"/>
          <w:szCs w:val="24"/>
          <w:lang w:val="en-GB"/>
        </w:rPr>
        <w:t xml:space="preserve">Although more studies are needed before any conclusion may be drawn on how ETC reduces </w:t>
      </w:r>
      <w:r w:rsidRPr="00C427D0">
        <w:rPr>
          <w:rFonts w:ascii="Times New Roman" w:eastAsia="Calibri" w:hAnsi="Times New Roman" w:cs="Times New Roman"/>
          <w:sz w:val="24"/>
          <w:szCs w:val="24"/>
          <w:lang w:val="en-GB"/>
        </w:rPr>
        <w:t xml:space="preserve">inflammation, the present data suggests inhibition of the release of chemical mediators especially prostaglandins (Heller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1998; Tjolsen </w:t>
      </w:r>
      <w:r w:rsidRPr="00C427D0">
        <w:rPr>
          <w:rFonts w:ascii="Times New Roman" w:eastAsia="Calibri" w:hAnsi="Times New Roman" w:cs="Times New Roman"/>
          <w:i/>
          <w:sz w:val="24"/>
          <w:szCs w:val="24"/>
          <w:lang w:val="en-GB"/>
        </w:rPr>
        <w:t>et al</w:t>
      </w:r>
      <w:r w:rsidRPr="00C427D0">
        <w:rPr>
          <w:rFonts w:ascii="Times New Roman" w:eastAsia="Calibri" w:hAnsi="Times New Roman" w:cs="Times New Roman"/>
          <w:sz w:val="24"/>
          <w:szCs w:val="24"/>
          <w:lang w:val="en-GB"/>
        </w:rPr>
        <w:t xml:space="preserve">., 1992). </w:t>
      </w:r>
    </w:p>
    <w:p w14:paraId="5E880CC0" w14:textId="77777777" w:rsidR="00C427D0" w:rsidRPr="00C427D0" w:rsidRDefault="00C427D0" w:rsidP="00C427D0">
      <w:pPr>
        <w:widowControl w:val="0"/>
        <w:spacing w:after="0" w:line="240" w:lineRule="auto"/>
        <w:jc w:val="both"/>
        <w:rPr>
          <w:rFonts w:ascii="Times New Roman" w:eastAsia="Calibri" w:hAnsi="Times New Roman" w:cs="Times New Roman"/>
          <w:sz w:val="24"/>
          <w:szCs w:val="24"/>
          <w:lang w:val="en-GB"/>
        </w:rPr>
      </w:pPr>
    </w:p>
    <w:p w14:paraId="245E033C" w14:textId="77777777" w:rsidR="00C427D0" w:rsidRPr="00C427D0" w:rsidRDefault="00C427D0" w:rsidP="00C427D0">
      <w:pPr>
        <w:widowControl w:val="0"/>
        <w:spacing w:after="0" w:line="360" w:lineRule="auto"/>
        <w:jc w:val="both"/>
        <w:rPr>
          <w:rFonts w:ascii="Times New Roman" w:eastAsia="Calibri" w:hAnsi="Times New Roman" w:cs="Times New Roman"/>
          <w:i/>
          <w:sz w:val="24"/>
          <w:szCs w:val="24"/>
          <w:lang w:val="en-GB"/>
        </w:rPr>
      </w:pPr>
      <w:r w:rsidRPr="00C427D0">
        <w:rPr>
          <w:rFonts w:ascii="Times New Roman" w:eastAsia="Calibri" w:hAnsi="Times New Roman" w:cs="Times New Roman"/>
          <w:sz w:val="24"/>
          <w:szCs w:val="24"/>
          <w:lang w:val="en-GB"/>
        </w:rPr>
        <w:t xml:space="preserve">Previous studies have established that plants possessing polyphenols or flavonoids, alkaloids, saponins and terpenoids have been found to exhibit anti-inflammatory and analgesic properties (Levy, 1976; </w:t>
      </w:r>
      <w:r w:rsidRPr="00C427D0">
        <w:rPr>
          <w:rFonts w:ascii="Times New Roman" w:eastAsia="Calibri" w:hAnsi="Times New Roman" w:cs="Times New Roman"/>
          <w:snapToGrid w:val="0"/>
          <w:sz w:val="24"/>
          <w:szCs w:val="24"/>
          <w:lang w:val="en-GB"/>
        </w:rPr>
        <w:t>Cragg and Newman, 2001</w:t>
      </w:r>
      <w:r w:rsidRPr="00C427D0">
        <w:rPr>
          <w:rFonts w:ascii="Times New Roman" w:eastAsia="Calibri" w:hAnsi="Times New Roman" w:cs="Times New Roman"/>
          <w:sz w:val="24"/>
          <w:szCs w:val="24"/>
          <w:lang w:val="en-GB"/>
        </w:rPr>
        <w:t xml:space="preserve">). In this study, alkaloids, anthraquinones, cardinolides, flavonoids, saponins, tannins, terpenoids and steroids were present in the ethanol extract of </w:t>
      </w:r>
      <w:r w:rsidRPr="00C427D0">
        <w:rPr>
          <w:rFonts w:ascii="Times New Roman" w:eastAsia="Calibri" w:hAnsi="Times New Roman" w:cs="Times New Roman"/>
          <w:i/>
          <w:sz w:val="24"/>
          <w:szCs w:val="24"/>
          <w:lang w:val="en-GB"/>
        </w:rPr>
        <w:t>Theobroma cacao</w:t>
      </w: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sz w:val="24"/>
          <w:szCs w:val="24"/>
          <w:lang w:val="en-GB"/>
        </w:rPr>
        <w:t>stem bark</w:t>
      </w:r>
      <w:r w:rsidRPr="00C427D0">
        <w:rPr>
          <w:rFonts w:ascii="Times New Roman" w:eastAsia="Calibri" w:hAnsi="Times New Roman" w:cs="Times New Roman"/>
          <w:i/>
          <w:sz w:val="24"/>
          <w:szCs w:val="24"/>
          <w:lang w:val="en-GB"/>
        </w:rPr>
        <w:t xml:space="preserve">. </w:t>
      </w:r>
      <w:r w:rsidRPr="00C427D0">
        <w:rPr>
          <w:rFonts w:ascii="Times New Roman" w:eastAsia="Calibri" w:hAnsi="Times New Roman" w:cs="Times New Roman"/>
          <w:sz w:val="24"/>
          <w:szCs w:val="24"/>
          <w:lang w:val="en-GB"/>
        </w:rPr>
        <w:t xml:space="preserve"> However, it remains to be established the likely phytochemical(s) that may account for the analgesic and inflammatory properties exhibited by the ethanol extract of </w:t>
      </w:r>
      <w:r w:rsidRPr="00C427D0">
        <w:rPr>
          <w:rFonts w:ascii="Times New Roman" w:eastAsia="Calibri" w:hAnsi="Times New Roman" w:cs="Times New Roman"/>
          <w:i/>
          <w:sz w:val="24"/>
          <w:szCs w:val="24"/>
          <w:lang w:val="en-GB"/>
        </w:rPr>
        <w:t>Theobroma cocao</w:t>
      </w:r>
      <w:r w:rsidRPr="00C427D0">
        <w:rPr>
          <w:rFonts w:ascii="Times New Roman" w:eastAsia="Calibri" w:hAnsi="Times New Roman" w:cs="Times New Roman"/>
          <w:sz w:val="24"/>
          <w:szCs w:val="24"/>
          <w:lang w:val="en-GB"/>
        </w:rPr>
        <w:t>.</w:t>
      </w:r>
    </w:p>
    <w:p w14:paraId="45AED456" w14:textId="77777777" w:rsidR="00C427D0" w:rsidRPr="00C427D0" w:rsidRDefault="00C427D0" w:rsidP="00C427D0">
      <w:pPr>
        <w:widowControl w:val="0"/>
        <w:spacing w:after="0" w:line="360" w:lineRule="auto"/>
        <w:jc w:val="both"/>
        <w:rPr>
          <w:rFonts w:ascii="Times New Roman" w:eastAsia="Calibri" w:hAnsi="Times New Roman" w:cs="Times New Roman"/>
          <w:b/>
          <w:snapToGrid w:val="0"/>
          <w:sz w:val="24"/>
          <w:szCs w:val="24"/>
          <w:lang w:val="en-GB"/>
        </w:rPr>
      </w:pPr>
    </w:p>
    <w:p w14:paraId="5F14C247" w14:textId="77777777" w:rsidR="00C427D0" w:rsidRPr="00C427D0" w:rsidRDefault="00C427D0" w:rsidP="00C427D0">
      <w:pPr>
        <w:widowControl w:val="0"/>
        <w:spacing w:after="0" w:line="360" w:lineRule="auto"/>
        <w:jc w:val="both"/>
        <w:rPr>
          <w:rFonts w:ascii="Times New Roman" w:eastAsia="Calibri" w:hAnsi="Times New Roman" w:cs="Times New Roman"/>
          <w:b/>
          <w:snapToGrid w:val="0"/>
          <w:sz w:val="24"/>
          <w:szCs w:val="24"/>
          <w:lang w:val="en-GB"/>
        </w:rPr>
      </w:pPr>
      <w:r w:rsidRPr="00C427D0">
        <w:rPr>
          <w:rFonts w:ascii="Times New Roman" w:eastAsia="Calibri" w:hAnsi="Times New Roman" w:cs="Times New Roman"/>
          <w:b/>
          <w:snapToGrid w:val="0"/>
          <w:sz w:val="24"/>
          <w:szCs w:val="24"/>
          <w:lang w:val="en-GB"/>
        </w:rPr>
        <w:t>Conclusion</w:t>
      </w:r>
    </w:p>
    <w:p w14:paraId="3A6E123B" w14:textId="77777777" w:rsidR="00C427D0" w:rsidRPr="00C427D0" w:rsidRDefault="00C427D0" w:rsidP="00C427D0">
      <w:pPr>
        <w:widowControl w:val="0"/>
        <w:spacing w:after="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napToGrid w:val="0"/>
          <w:sz w:val="24"/>
          <w:szCs w:val="24"/>
          <w:lang w:val="en-GB"/>
        </w:rPr>
        <w:t xml:space="preserve">The results of the study provided experimental evidences that support the usefulness of ETC for the treatment of pain and inflammation in traditional medicine. </w:t>
      </w:r>
    </w:p>
    <w:p w14:paraId="2BBE459D" w14:textId="77777777" w:rsidR="00C427D0" w:rsidRPr="00C427D0" w:rsidRDefault="00C427D0" w:rsidP="00C427D0">
      <w:pPr>
        <w:autoSpaceDE w:val="0"/>
        <w:autoSpaceDN w:val="0"/>
        <w:adjustRightInd w:val="0"/>
        <w:spacing w:after="0" w:line="240" w:lineRule="auto"/>
        <w:rPr>
          <w:rFonts w:ascii="Times New Roman" w:eastAsia="Calibri" w:hAnsi="Times New Roman" w:cs="Times New Roman"/>
          <w:b/>
          <w:bCs/>
          <w:color w:val="000000"/>
          <w:sz w:val="24"/>
          <w:szCs w:val="24"/>
        </w:rPr>
      </w:pPr>
    </w:p>
    <w:p w14:paraId="3D816C41"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color w:val="000000"/>
          <w:sz w:val="24"/>
          <w:szCs w:val="24"/>
        </w:rPr>
      </w:pPr>
      <w:r w:rsidRPr="00C427D0">
        <w:rPr>
          <w:rFonts w:ascii="Times New Roman" w:eastAsia="Calibri" w:hAnsi="Times New Roman" w:cs="Times New Roman"/>
          <w:b/>
          <w:bCs/>
          <w:color w:val="000000"/>
          <w:sz w:val="24"/>
          <w:szCs w:val="24"/>
        </w:rPr>
        <w:t xml:space="preserve">Acknowledgement </w:t>
      </w:r>
    </w:p>
    <w:p w14:paraId="2922D9BF" w14:textId="77777777" w:rsidR="00C427D0" w:rsidRPr="00C427D0" w:rsidRDefault="00C427D0" w:rsidP="00C427D0">
      <w:pPr>
        <w:autoSpaceDE w:val="0"/>
        <w:autoSpaceDN w:val="0"/>
        <w:adjustRightInd w:val="0"/>
        <w:spacing w:after="200" w:line="360" w:lineRule="auto"/>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This research was co-sponsored by the University of Ilorin, Nigeria and myself. </w:t>
      </w:r>
    </w:p>
    <w:p w14:paraId="39084FF3" w14:textId="77777777" w:rsidR="00C427D0" w:rsidRPr="00C427D0" w:rsidRDefault="00C427D0" w:rsidP="00C427D0">
      <w:pPr>
        <w:tabs>
          <w:tab w:val="left" w:pos="0"/>
          <w:tab w:val="left" w:pos="6480"/>
        </w:tabs>
        <w:spacing w:after="0" w:line="240" w:lineRule="auto"/>
        <w:ind w:left="720" w:hanging="720"/>
        <w:contextualSpacing/>
        <w:rPr>
          <w:rFonts w:ascii="Times New Roman" w:eastAsia="Calibri" w:hAnsi="Times New Roman" w:cs="Times New Roman"/>
          <w:color w:val="C00000"/>
          <w:sz w:val="24"/>
          <w:szCs w:val="24"/>
          <w:lang w:val="en-GB"/>
        </w:rPr>
      </w:pPr>
      <w:r w:rsidRPr="00C427D0">
        <w:rPr>
          <w:rFonts w:ascii="Times New Roman" w:eastAsia="Calibri" w:hAnsi="Times New Roman" w:cs="Times New Roman"/>
          <w:color w:val="C00000"/>
          <w:sz w:val="24"/>
          <w:szCs w:val="24"/>
          <w:lang w:val="en-GB"/>
        </w:rPr>
        <w:tab/>
      </w:r>
    </w:p>
    <w:p w14:paraId="0EEFF5C5" w14:textId="77777777" w:rsidR="00C427D0" w:rsidRPr="00C427D0" w:rsidRDefault="00C427D0" w:rsidP="00C427D0">
      <w:pPr>
        <w:tabs>
          <w:tab w:val="left" w:pos="0"/>
          <w:tab w:val="left" w:pos="6480"/>
        </w:tabs>
        <w:spacing w:after="0" w:line="240" w:lineRule="auto"/>
        <w:ind w:left="720" w:hanging="720"/>
        <w:contextualSpacing/>
        <w:rPr>
          <w:rFonts w:ascii="Times New Roman" w:eastAsia="Calibri" w:hAnsi="Times New Roman" w:cs="Times New Roman"/>
          <w:color w:val="C00000"/>
          <w:sz w:val="24"/>
          <w:szCs w:val="24"/>
          <w:lang w:val="en-GB"/>
        </w:rPr>
      </w:pPr>
    </w:p>
    <w:p w14:paraId="26B44DE6" w14:textId="77777777" w:rsidR="00C427D0" w:rsidRPr="00C427D0" w:rsidRDefault="00C427D0" w:rsidP="00C427D0">
      <w:pPr>
        <w:tabs>
          <w:tab w:val="left" w:pos="0"/>
          <w:tab w:val="left" w:pos="6480"/>
        </w:tabs>
        <w:spacing w:after="0" w:line="240" w:lineRule="auto"/>
        <w:ind w:left="720" w:hanging="720"/>
        <w:contextualSpacing/>
        <w:rPr>
          <w:rFonts w:ascii="Times New Roman" w:eastAsia="Calibri" w:hAnsi="Times New Roman" w:cs="Times New Roman"/>
          <w:color w:val="C00000"/>
          <w:sz w:val="24"/>
          <w:szCs w:val="24"/>
          <w:lang w:val="en-GB"/>
        </w:rPr>
      </w:pPr>
    </w:p>
    <w:p w14:paraId="6E1D4765" w14:textId="77777777" w:rsidR="00C427D0" w:rsidRPr="00C427D0" w:rsidRDefault="00C427D0" w:rsidP="00C427D0">
      <w:pPr>
        <w:tabs>
          <w:tab w:val="left" w:pos="0"/>
          <w:tab w:val="left" w:pos="6480"/>
        </w:tabs>
        <w:spacing w:after="0" w:line="360" w:lineRule="auto"/>
        <w:ind w:left="720" w:hanging="720"/>
        <w:contextualSpacing/>
        <w:rPr>
          <w:rFonts w:ascii="Times New Roman" w:eastAsia="Calibri" w:hAnsi="Times New Roman" w:cs="Times New Roman"/>
          <w:b/>
          <w:sz w:val="24"/>
          <w:szCs w:val="24"/>
          <w:lang w:val="en-GB"/>
        </w:rPr>
      </w:pPr>
      <w:r w:rsidRPr="00C427D0">
        <w:rPr>
          <w:rFonts w:ascii="Times New Roman" w:eastAsia="Calibri" w:hAnsi="Times New Roman" w:cs="Times New Roman"/>
          <w:b/>
          <w:sz w:val="24"/>
          <w:szCs w:val="24"/>
          <w:lang w:val="en-GB"/>
        </w:rPr>
        <w:t>References</w:t>
      </w:r>
    </w:p>
    <w:p w14:paraId="7448DB89" w14:textId="77777777" w:rsidR="00C427D0" w:rsidRPr="00C427D0" w:rsidRDefault="00C427D0" w:rsidP="00C427D0">
      <w:pPr>
        <w:tabs>
          <w:tab w:val="left" w:pos="0"/>
        </w:tabs>
        <w:spacing w:after="0" w:line="360" w:lineRule="auto"/>
        <w:ind w:left="720" w:hanging="720"/>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Abrokwah, F.K., Asamoah, K.A.,  Esubonteng, P.K.A. 2009. Effects of intake of Natural Cocoa Powder on Some Biochemical and Haematological Indices in the Rats. Ghana Medical Journal, 43(4):164-168</w:t>
      </w:r>
    </w:p>
    <w:p w14:paraId="2A1AFBB3" w14:textId="77777777" w:rsidR="00C427D0" w:rsidRPr="00C427D0" w:rsidRDefault="00C427D0" w:rsidP="00C427D0">
      <w:pPr>
        <w:tabs>
          <w:tab w:val="left" w:pos="0"/>
        </w:tabs>
        <w:spacing w:after="0" w:line="360" w:lineRule="auto"/>
        <w:ind w:left="720" w:hanging="720"/>
        <w:contextualSpacing/>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Aderibigbe, A.O., Agboola, O.I. 2011. Neuropharmacological profile of Struchium</w:t>
      </w:r>
      <w:r w:rsidRPr="00C427D0">
        <w:rPr>
          <w:rFonts w:ascii="Times New Roman" w:eastAsia="Calibri" w:hAnsi="Times New Roman" w:cs="Times New Roman"/>
          <w:i/>
          <w:sz w:val="24"/>
          <w:szCs w:val="24"/>
          <w:lang w:val="en-GB"/>
        </w:rPr>
        <w:t xml:space="preserve"> sparganophora</w:t>
      </w:r>
      <w:r w:rsidRPr="00C427D0">
        <w:rPr>
          <w:rFonts w:ascii="Times New Roman" w:eastAsia="Calibri" w:hAnsi="Times New Roman" w:cs="Times New Roman"/>
          <w:sz w:val="24"/>
          <w:szCs w:val="24"/>
          <w:lang w:val="en-GB"/>
        </w:rPr>
        <w:t xml:space="preserve"> (Linn)  O Kitze in mice. Asian Journal of Tradtional Medicines, 6(3)</w:t>
      </w:r>
    </w:p>
    <w:p w14:paraId="6836CF47" w14:textId="77777777" w:rsidR="00C427D0" w:rsidRPr="00C427D0" w:rsidRDefault="00C427D0" w:rsidP="00C427D0">
      <w:pPr>
        <w:tabs>
          <w:tab w:val="left" w:pos="0"/>
        </w:tabs>
        <w:spacing w:after="0" w:line="360" w:lineRule="auto"/>
        <w:ind w:left="720" w:hanging="720"/>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Akah, P.A. and Nwambie, A.I., 1994. Evaluation of Nigerian traditional medicine: Plants used for rheumatic (inflammatory) disorders</w:t>
      </w:r>
      <w:r w:rsidRPr="00C427D0">
        <w:rPr>
          <w:rFonts w:ascii="Times New Roman" w:eastAsia="Calibri" w:hAnsi="Times New Roman" w:cs="Times New Roman"/>
          <w:i/>
          <w:sz w:val="24"/>
          <w:szCs w:val="24"/>
          <w:lang w:val="en-GB"/>
        </w:rPr>
        <w:t xml:space="preserve">. </w:t>
      </w:r>
      <w:r w:rsidRPr="00C427D0">
        <w:rPr>
          <w:rFonts w:ascii="Times New Roman" w:eastAsia="Calibri" w:hAnsi="Times New Roman" w:cs="Times New Roman"/>
          <w:color w:val="000000"/>
          <w:sz w:val="24"/>
          <w:szCs w:val="24"/>
          <w:lang w:val="en-GB"/>
        </w:rPr>
        <w:t>Journal Ethnopharmacolology,</w:t>
      </w:r>
      <w:r w:rsidRPr="00C427D0">
        <w:rPr>
          <w:rFonts w:ascii="Times New Roman" w:eastAsia="Calibri" w:hAnsi="Times New Roman" w:cs="Times New Roman"/>
          <w:sz w:val="24"/>
          <w:szCs w:val="24"/>
          <w:lang w:val="en-GB"/>
        </w:rPr>
        <w:t xml:space="preserve"> 42: 179-182. </w:t>
      </w:r>
    </w:p>
    <w:p w14:paraId="19BABB0D"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color w:val="000000"/>
          <w:sz w:val="24"/>
          <w:szCs w:val="24"/>
          <w:lang w:val="en-GB"/>
        </w:rPr>
      </w:pPr>
      <w:r w:rsidRPr="00C427D0">
        <w:rPr>
          <w:rFonts w:ascii="Times New Roman" w:eastAsia="Calibri" w:hAnsi="Times New Roman" w:cs="Times New Roman"/>
          <w:color w:val="000000"/>
          <w:sz w:val="24"/>
          <w:szCs w:val="24"/>
          <w:lang w:val="en-GB"/>
        </w:rPr>
        <w:t xml:space="preserve">Ciezaa and Stucki G, 2004. New approaches to understanding the impact of musculoskeletal conditions. Best </w:t>
      </w:r>
    </w:p>
    <w:p w14:paraId="2BA6968C" w14:textId="77777777" w:rsidR="00C427D0" w:rsidRPr="00C427D0" w:rsidRDefault="00C427D0" w:rsidP="00C427D0">
      <w:pPr>
        <w:autoSpaceDE w:val="0"/>
        <w:autoSpaceDN w:val="0"/>
        <w:adjustRightInd w:val="0"/>
        <w:spacing w:after="0" w:line="360" w:lineRule="auto"/>
        <w:ind w:firstLine="720"/>
        <w:rPr>
          <w:rFonts w:ascii="Times New Roman" w:eastAsia="Calibri" w:hAnsi="Times New Roman" w:cs="Times New Roman"/>
          <w:sz w:val="24"/>
          <w:szCs w:val="24"/>
          <w:lang w:val="en-GB"/>
        </w:rPr>
      </w:pPr>
      <w:r w:rsidRPr="00C427D0">
        <w:rPr>
          <w:rFonts w:ascii="Times New Roman" w:eastAsia="Calibri" w:hAnsi="Times New Roman" w:cs="Times New Roman"/>
          <w:color w:val="000000"/>
          <w:sz w:val="24"/>
          <w:szCs w:val="24"/>
          <w:lang w:val="en-GB"/>
        </w:rPr>
        <w:t>Pract Res Clin Rheumatol, 18:141-54.</w:t>
      </w:r>
    </w:p>
    <w:p w14:paraId="30EA54DF"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i/>
          <w:sz w:val="24"/>
          <w:szCs w:val="24"/>
          <w:lang w:val="en-GB"/>
        </w:rPr>
      </w:pPr>
      <w:r w:rsidRPr="00C427D0">
        <w:rPr>
          <w:rFonts w:ascii="Times New Roman" w:eastAsia="Calibri" w:hAnsi="Times New Roman" w:cs="Times New Roman"/>
          <w:iCs/>
          <w:sz w:val="24"/>
          <w:szCs w:val="24"/>
          <w:lang w:val="en-GB"/>
        </w:rPr>
        <w:t>Choi EM, Hwang JK. 2003.</w:t>
      </w:r>
      <w:r w:rsidRPr="00C427D0">
        <w:rPr>
          <w:rFonts w:ascii="Times New Roman" w:eastAsia="Calibri" w:hAnsi="Times New Roman" w:cs="Times New Roman"/>
          <w:i/>
          <w:iCs/>
          <w:sz w:val="24"/>
          <w:szCs w:val="24"/>
          <w:lang w:val="en-GB"/>
        </w:rPr>
        <w:t xml:space="preserve"> </w:t>
      </w:r>
      <w:r w:rsidRPr="00C427D0">
        <w:rPr>
          <w:rFonts w:ascii="Times New Roman" w:eastAsia="Calibri" w:hAnsi="Times New Roman" w:cs="Times New Roman"/>
          <w:sz w:val="24"/>
          <w:szCs w:val="24"/>
          <w:lang w:val="en-GB"/>
        </w:rPr>
        <w:t xml:space="preserve">Investigations of anti-inflammatory and antinociceptive activities of </w:t>
      </w:r>
      <w:r w:rsidRPr="00C427D0">
        <w:rPr>
          <w:rFonts w:ascii="Times New Roman" w:eastAsia="Calibri" w:hAnsi="Times New Roman" w:cs="Times New Roman"/>
          <w:i/>
          <w:sz w:val="24"/>
          <w:szCs w:val="24"/>
          <w:lang w:val="en-GB"/>
        </w:rPr>
        <w:t xml:space="preserve">Piper                     </w:t>
      </w:r>
    </w:p>
    <w:p w14:paraId="28C6CAF3"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i/>
          <w:sz w:val="24"/>
          <w:szCs w:val="24"/>
          <w:lang w:val="en-GB"/>
        </w:rPr>
        <w:t xml:space="preserve">              cubeba, Physalis angulata </w:t>
      </w:r>
      <w:r w:rsidRPr="00C427D0">
        <w:rPr>
          <w:rFonts w:ascii="Times New Roman" w:eastAsia="Calibri" w:hAnsi="Times New Roman" w:cs="Times New Roman"/>
          <w:sz w:val="24"/>
          <w:szCs w:val="24"/>
          <w:lang w:val="en-GB"/>
        </w:rPr>
        <w:t>and</w:t>
      </w:r>
      <w:r w:rsidRPr="00C427D0">
        <w:rPr>
          <w:rFonts w:ascii="Times New Roman" w:eastAsia="Calibri" w:hAnsi="Times New Roman" w:cs="Times New Roman"/>
          <w:i/>
          <w:sz w:val="24"/>
          <w:szCs w:val="24"/>
          <w:lang w:val="en-GB"/>
        </w:rPr>
        <w:t xml:space="preserve"> Rosa hybrida</w:t>
      </w:r>
      <w:r w:rsidRPr="00C427D0">
        <w:rPr>
          <w:rFonts w:ascii="Times New Roman" w:eastAsia="Calibri" w:hAnsi="Times New Roman" w:cs="Times New Roman"/>
          <w:sz w:val="24"/>
          <w:szCs w:val="24"/>
          <w:lang w:val="en-GB"/>
        </w:rPr>
        <w:t xml:space="preserve">.  </w:t>
      </w:r>
      <w:r w:rsidRPr="00C427D0">
        <w:rPr>
          <w:rFonts w:ascii="Times New Roman" w:eastAsia="Calibri" w:hAnsi="Times New Roman" w:cs="Times New Roman"/>
          <w:color w:val="000000"/>
          <w:sz w:val="24"/>
          <w:szCs w:val="24"/>
          <w:lang w:val="en-GB"/>
        </w:rPr>
        <w:t xml:space="preserve">Journal Ethnopharmacolology, </w:t>
      </w:r>
      <w:r w:rsidRPr="00C427D0">
        <w:rPr>
          <w:rFonts w:ascii="Times New Roman" w:eastAsia="Calibri" w:hAnsi="Times New Roman" w:cs="Times New Roman"/>
          <w:sz w:val="24"/>
          <w:szCs w:val="24"/>
          <w:lang w:val="en-GB"/>
        </w:rPr>
        <w:t>89 (1):171-5.</w:t>
      </w:r>
    </w:p>
    <w:p w14:paraId="6D64A13E"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hyperlink r:id="rId17" w:history="1">
        <w:r w:rsidRPr="00C427D0">
          <w:rPr>
            <w:rFonts w:ascii="Times New Roman" w:eastAsia="Times New Roman" w:hAnsi="Times New Roman" w:cs="Times New Roman"/>
            <w:sz w:val="24"/>
            <w:szCs w:val="24"/>
            <w:lang w:val="en-GB"/>
          </w:rPr>
          <w:t>Cotran, RS</w:t>
        </w:r>
      </w:hyperlink>
      <w:r w:rsidRPr="00C427D0">
        <w:rPr>
          <w:rFonts w:ascii="Times New Roman" w:eastAsia="Times New Roman" w:hAnsi="Times New Roman" w:cs="Times New Roman"/>
          <w:sz w:val="24"/>
          <w:szCs w:val="24"/>
          <w:lang w:val="en-GB"/>
        </w:rPr>
        <w:t xml:space="preserve">, </w:t>
      </w:r>
      <w:hyperlink r:id="rId18" w:history="1">
        <w:r w:rsidRPr="00C427D0">
          <w:rPr>
            <w:rFonts w:ascii="Times New Roman" w:eastAsia="Times New Roman" w:hAnsi="Times New Roman" w:cs="Times New Roman"/>
            <w:sz w:val="24"/>
            <w:szCs w:val="24"/>
            <w:lang w:val="en-GB"/>
          </w:rPr>
          <w:t>Mayadas-Norton, T</w:t>
        </w:r>
      </w:hyperlink>
      <w:r w:rsidRPr="00C427D0">
        <w:rPr>
          <w:rFonts w:ascii="Times New Roman" w:eastAsia="Times New Roman" w:hAnsi="Times New Roman" w:cs="Times New Roman"/>
          <w:sz w:val="24"/>
          <w:szCs w:val="24"/>
          <w:lang w:val="en-GB"/>
        </w:rPr>
        <w:t>. 1998.</w:t>
      </w:r>
      <w:r w:rsidRPr="00C427D0">
        <w:rPr>
          <w:rFonts w:ascii="Times New Roman" w:eastAsia="Times New Roman" w:hAnsi="Times New Roman" w:cs="Times New Roman"/>
          <w:bCs/>
          <w:kern w:val="36"/>
          <w:sz w:val="24"/>
          <w:szCs w:val="24"/>
          <w:lang w:val="en-GB"/>
        </w:rPr>
        <w:t xml:space="preserve"> Endothelial adhesion molecules in health and disease.</w:t>
      </w:r>
      <w:r w:rsidRPr="00C427D0">
        <w:rPr>
          <w:rFonts w:ascii="Times New Roman" w:eastAsia="Times New Roman" w:hAnsi="Times New Roman" w:cs="Times New Roman"/>
          <w:sz w:val="24"/>
          <w:szCs w:val="24"/>
          <w:lang w:val="en-GB"/>
        </w:rPr>
        <w:t xml:space="preserve"> Pathological  </w:t>
      </w:r>
      <w:r w:rsidRPr="00C427D0">
        <w:rPr>
          <w:rFonts w:ascii="Times New Roman" w:eastAsia="Times New Roman" w:hAnsi="Times New Roman" w:cs="Times New Roman"/>
          <w:sz w:val="24"/>
          <w:szCs w:val="24"/>
          <w:lang w:val="en-GB"/>
        </w:rPr>
        <w:br/>
        <w:t xml:space="preserve">             Biology, 46(3):164-70.</w:t>
      </w:r>
    </w:p>
    <w:p w14:paraId="488AC6FA" w14:textId="77777777" w:rsidR="00C427D0" w:rsidRPr="00C427D0" w:rsidRDefault="00C427D0" w:rsidP="00C427D0">
      <w:pPr>
        <w:tabs>
          <w:tab w:val="left" w:pos="0"/>
        </w:tabs>
        <w:spacing w:after="200" w:line="360" w:lineRule="auto"/>
        <w:ind w:left="720" w:hanging="720"/>
        <w:contextualSpacing/>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Newman, D.J., Cragg, G.M. 2007. </w:t>
      </w:r>
      <w:r w:rsidRPr="00C427D0">
        <w:rPr>
          <w:rFonts w:ascii="Times New Roman" w:eastAsia="Calibri" w:hAnsi="Times New Roman" w:cs="Times New Roman"/>
          <w:bCs/>
          <w:sz w:val="24"/>
          <w:szCs w:val="24"/>
          <w:lang w:val="en-GB"/>
        </w:rPr>
        <w:t xml:space="preserve">Natural products as sources of new drugs over the last 25 years. </w:t>
      </w:r>
      <w:r w:rsidRPr="00C427D0">
        <w:rPr>
          <w:rFonts w:ascii="Times New Roman" w:eastAsia="Calibri" w:hAnsi="Times New Roman" w:cs="Times New Roman"/>
          <w:iCs/>
          <w:sz w:val="24"/>
          <w:szCs w:val="24"/>
          <w:lang w:val="en-GB"/>
        </w:rPr>
        <w:t>Journal of Natural Product,</w:t>
      </w:r>
      <w:r w:rsidRPr="00C427D0">
        <w:rPr>
          <w:rFonts w:ascii="Times New Roman" w:eastAsia="Calibri" w:hAnsi="Times New Roman" w:cs="Times New Roman"/>
          <w:sz w:val="24"/>
          <w:szCs w:val="24"/>
          <w:lang w:val="en-GB"/>
        </w:rPr>
        <w:t xml:space="preserve">  </w:t>
      </w:r>
      <w:r w:rsidRPr="00C427D0">
        <w:rPr>
          <w:rFonts w:ascii="Times New Roman" w:eastAsia="Calibri" w:hAnsi="Times New Roman" w:cs="Times New Roman"/>
          <w:bCs/>
          <w:sz w:val="24"/>
          <w:szCs w:val="24"/>
          <w:lang w:val="en-GB"/>
        </w:rPr>
        <w:t>70:</w:t>
      </w:r>
      <w:r w:rsidRPr="00C427D0">
        <w:rPr>
          <w:rFonts w:ascii="Times New Roman" w:eastAsia="Calibri" w:hAnsi="Times New Roman" w:cs="Times New Roman"/>
          <w:sz w:val="24"/>
          <w:szCs w:val="24"/>
          <w:lang w:val="en-GB"/>
        </w:rPr>
        <w:t xml:space="preserve">461-477 </w:t>
      </w:r>
    </w:p>
    <w:p w14:paraId="0F003D9D" w14:textId="77777777" w:rsidR="00C427D0" w:rsidRPr="00C427D0" w:rsidRDefault="00C427D0" w:rsidP="00C427D0">
      <w:pPr>
        <w:tabs>
          <w:tab w:val="left" w:pos="0"/>
        </w:tabs>
        <w:spacing w:after="0" w:line="360" w:lineRule="auto"/>
        <w:ind w:left="720" w:hanging="720"/>
        <w:contextualSpacing/>
        <w:rPr>
          <w:rFonts w:ascii="Times New Roman" w:eastAsia="Calibri" w:hAnsi="Times New Roman" w:cs="Times New Roman"/>
          <w:snapToGrid w:val="0"/>
          <w:sz w:val="24"/>
          <w:szCs w:val="24"/>
          <w:lang w:val="en-GB"/>
        </w:rPr>
      </w:pPr>
      <w:r w:rsidRPr="00C427D0">
        <w:rPr>
          <w:rFonts w:ascii="Times New Roman" w:eastAsia="Calibri" w:hAnsi="Times New Roman" w:cs="Times New Roman"/>
          <w:snapToGrid w:val="0"/>
          <w:sz w:val="24"/>
          <w:szCs w:val="24"/>
          <w:lang w:val="en-GB"/>
        </w:rPr>
        <w:t xml:space="preserve">Cragg, G.M., Newman, D.J. 2001. Drug Discovery and Development from Natural Products, the Way        Forward. Ann. NY Acad. Sci., 953: 3-25 </w:t>
      </w:r>
    </w:p>
    <w:p w14:paraId="17486CE1" w14:textId="77777777" w:rsidR="00C427D0" w:rsidRPr="00C427D0" w:rsidRDefault="00C427D0" w:rsidP="00C427D0">
      <w:pPr>
        <w:spacing w:after="0" w:line="360" w:lineRule="auto"/>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Deraedt, R., S. Jougney, F. Delevalcee, M. Falhout, 1980. Release of Prostaglandins E and F in an </w:t>
      </w:r>
    </w:p>
    <w:p w14:paraId="5085BA18" w14:textId="77777777" w:rsidR="00C427D0" w:rsidRPr="00C427D0" w:rsidRDefault="00C427D0" w:rsidP="00C427D0">
      <w:pPr>
        <w:spacing w:after="0" w:line="360" w:lineRule="auto"/>
        <w:ind w:firstLine="720"/>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algogenic reaction and its inhibition. European Journal Pharmacology, 61: 17-24</w:t>
      </w:r>
    </w:p>
    <w:p w14:paraId="35411A10" w14:textId="77777777" w:rsidR="00C427D0" w:rsidRPr="00C427D0" w:rsidRDefault="00C427D0" w:rsidP="00C427D0">
      <w:pPr>
        <w:spacing w:after="200" w:line="360" w:lineRule="auto"/>
        <w:contextualSpacing/>
        <w:rPr>
          <w:rFonts w:ascii="Times New Roman" w:eastAsia="Calibri" w:hAnsi="Times New Roman" w:cs="Times New Roman"/>
          <w:sz w:val="24"/>
          <w:szCs w:val="24"/>
          <w:lang w:val="en-GB"/>
        </w:rPr>
      </w:pPr>
      <w:r w:rsidRPr="00C427D0">
        <w:rPr>
          <w:rFonts w:ascii="Times New Roman" w:eastAsia="Calibri" w:hAnsi="Times New Roman" w:cs="Times New Roman"/>
          <w:bCs/>
          <w:sz w:val="24"/>
          <w:szCs w:val="24"/>
          <w:lang w:val="en-GB"/>
        </w:rPr>
        <w:t>Ding</w:t>
      </w:r>
      <w:r w:rsidRPr="00C427D0">
        <w:rPr>
          <w:rFonts w:ascii="Times New Roman" w:eastAsia="Calibri" w:hAnsi="Times New Roman" w:cs="Times New Roman"/>
          <w:b/>
          <w:sz w:val="24"/>
          <w:szCs w:val="24"/>
          <w:lang w:val="en-GB"/>
        </w:rPr>
        <w:t>,</w:t>
      </w:r>
      <w:r w:rsidRPr="00C427D0">
        <w:rPr>
          <w:rFonts w:ascii="Times New Roman" w:eastAsia="Calibri" w:hAnsi="Times New Roman" w:cs="Times New Roman"/>
          <w:bCs/>
          <w:sz w:val="24"/>
          <w:szCs w:val="24"/>
          <w:lang w:val="en-GB"/>
        </w:rPr>
        <w:t xml:space="preserve"> Eric L.,</w:t>
      </w: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bCs/>
          <w:sz w:val="24"/>
          <w:szCs w:val="24"/>
          <w:lang w:val="en-GB"/>
        </w:rPr>
        <w:t>Hutfless, Susan, M.</w:t>
      </w: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bCs/>
          <w:sz w:val="24"/>
          <w:szCs w:val="24"/>
          <w:lang w:val="en-GB"/>
        </w:rPr>
        <w:t>Ding Xin</w:t>
      </w: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sz w:val="24"/>
          <w:szCs w:val="24"/>
          <w:lang w:val="en-GB"/>
        </w:rPr>
        <w:t>and</w:t>
      </w:r>
      <w:r w:rsidRPr="00C427D0">
        <w:rPr>
          <w:rFonts w:ascii="Times New Roman" w:eastAsia="Calibri" w:hAnsi="Times New Roman" w:cs="Times New Roman"/>
          <w:b/>
          <w:sz w:val="24"/>
          <w:szCs w:val="24"/>
          <w:lang w:val="en-GB"/>
        </w:rPr>
        <w:t xml:space="preserve"> </w:t>
      </w:r>
      <w:r w:rsidRPr="00C427D0">
        <w:rPr>
          <w:rFonts w:ascii="Times New Roman" w:eastAsia="Calibri" w:hAnsi="Times New Roman" w:cs="Times New Roman"/>
          <w:bCs/>
          <w:sz w:val="24"/>
          <w:szCs w:val="24"/>
          <w:lang w:val="en-GB"/>
        </w:rPr>
        <w:t xml:space="preserve">Saket Girotra, </w:t>
      </w:r>
      <w:r w:rsidRPr="00C427D0">
        <w:rPr>
          <w:rFonts w:ascii="Times New Roman" w:eastAsia="Calibri" w:hAnsi="Times New Roman" w:cs="Times New Roman"/>
          <w:sz w:val="24"/>
          <w:szCs w:val="24"/>
          <w:lang w:val="en-GB"/>
        </w:rPr>
        <w:t>2006</w:t>
      </w:r>
      <w:r w:rsidRPr="00C427D0">
        <w:rPr>
          <w:rFonts w:ascii="Times New Roman" w:eastAsia="Calibri" w:hAnsi="Times New Roman" w:cs="Times New Roman"/>
          <w:bCs/>
          <w:sz w:val="24"/>
          <w:szCs w:val="24"/>
          <w:lang w:val="en-GB"/>
        </w:rPr>
        <w:t xml:space="preserve">. </w:t>
      </w:r>
      <w:r w:rsidRPr="00C427D0">
        <w:rPr>
          <w:rFonts w:ascii="Times New Roman" w:eastAsia="Calibri" w:hAnsi="Times New Roman" w:cs="Times New Roman"/>
          <w:sz w:val="24"/>
          <w:szCs w:val="24"/>
          <w:lang w:val="en-GB"/>
        </w:rPr>
        <w:t xml:space="preserve">Chocolate and Prevention of </w:t>
      </w:r>
    </w:p>
    <w:p w14:paraId="1D91AE82" w14:textId="77777777" w:rsidR="00C427D0" w:rsidRPr="00C427D0" w:rsidRDefault="00C427D0" w:rsidP="00C427D0">
      <w:pPr>
        <w:spacing w:after="200" w:line="360" w:lineRule="auto"/>
        <w:contextualSpacing/>
        <w:rPr>
          <w:rFonts w:ascii="Times New Roman" w:eastAsia="Times New Roman" w:hAnsi="Times New Roman" w:cs="Times New Roman"/>
          <w:i/>
          <w:lang w:val="en-GB"/>
        </w:rPr>
      </w:pPr>
      <w:r w:rsidRPr="00C427D0">
        <w:rPr>
          <w:rFonts w:ascii="Times New Roman" w:eastAsia="Calibri" w:hAnsi="Times New Roman" w:cs="Times New Roman"/>
          <w:sz w:val="24"/>
          <w:szCs w:val="24"/>
          <w:lang w:val="en-GB"/>
        </w:rPr>
        <w:lastRenderedPageBreak/>
        <w:t xml:space="preserve">          Cardiovascular Disease: A Systematic Review. </w:t>
      </w:r>
      <w:r w:rsidRPr="00C427D0">
        <w:rPr>
          <w:rFonts w:ascii="Times New Roman" w:eastAsia="Calibri" w:hAnsi="Times New Roman" w:cs="Times New Roman"/>
          <w:iCs/>
          <w:sz w:val="24"/>
          <w:szCs w:val="24"/>
          <w:lang w:val="en-GB"/>
        </w:rPr>
        <w:t>Nutrition &amp; Metabolism</w:t>
      </w:r>
      <w:r w:rsidRPr="00C427D0">
        <w:rPr>
          <w:rFonts w:ascii="Times New Roman" w:eastAsia="Calibri" w:hAnsi="Times New Roman" w:cs="Times New Roman"/>
          <w:i/>
          <w:sz w:val="24"/>
          <w:szCs w:val="24"/>
          <w:lang w:val="en-GB"/>
        </w:rPr>
        <w:t>,</w:t>
      </w:r>
      <w:r w:rsidRPr="00C427D0">
        <w:rPr>
          <w:rFonts w:ascii="Times New Roman" w:eastAsia="Calibri" w:hAnsi="Times New Roman" w:cs="Times New Roman"/>
          <w:sz w:val="24"/>
          <w:szCs w:val="24"/>
          <w:lang w:val="en-GB"/>
        </w:rPr>
        <w:t xml:space="preserve"> </w:t>
      </w:r>
      <w:r w:rsidRPr="00C427D0">
        <w:rPr>
          <w:rFonts w:ascii="Times New Roman" w:eastAsia="Calibri" w:hAnsi="Times New Roman" w:cs="Times New Roman"/>
          <w:bCs/>
          <w:sz w:val="24"/>
          <w:szCs w:val="24"/>
          <w:lang w:val="en-GB"/>
        </w:rPr>
        <w:t>3</w:t>
      </w:r>
      <w:r w:rsidRPr="00C427D0">
        <w:rPr>
          <w:rFonts w:ascii="Times New Roman" w:eastAsia="Calibri" w:hAnsi="Times New Roman" w:cs="Times New Roman"/>
          <w:sz w:val="24"/>
          <w:szCs w:val="24"/>
          <w:lang w:val="en-GB"/>
        </w:rPr>
        <w:t>:2 doi: 10.1186/1743-7075-3-2</w:t>
      </w:r>
      <w:r w:rsidRPr="00C427D0">
        <w:rPr>
          <w:rFonts w:ascii="Times New Roman" w:eastAsia="Calibri" w:hAnsi="Times New Roman" w:cs="Times New Roman"/>
          <w:lang w:val="en-GB"/>
        </w:rPr>
        <w:t xml:space="preserve">  </w:t>
      </w:r>
      <w:r w:rsidRPr="00C427D0">
        <w:rPr>
          <w:rFonts w:ascii="Times New Roman" w:eastAsia="Times New Roman" w:hAnsi="Times New Roman" w:cs="Times New Roman"/>
          <w:i/>
          <w:lang w:val="en-GB"/>
        </w:rPr>
        <w:t xml:space="preserve">        </w:t>
      </w:r>
    </w:p>
    <w:p w14:paraId="78E06AC5" w14:textId="77777777" w:rsidR="00C427D0" w:rsidRPr="00C427D0" w:rsidRDefault="00C427D0" w:rsidP="00C427D0">
      <w:pPr>
        <w:spacing w:after="0" w:line="360" w:lineRule="auto"/>
        <w:contextualSpacing/>
        <w:jc w:val="both"/>
        <w:rPr>
          <w:rFonts w:ascii="Times New Roman" w:eastAsia="Times New Roman" w:hAnsi="Times New Roman" w:cs="Times New Roman"/>
          <w:sz w:val="24"/>
          <w:szCs w:val="24"/>
        </w:rPr>
      </w:pPr>
      <w:r w:rsidRPr="00C427D0">
        <w:rPr>
          <w:rFonts w:ascii="Times New Roman" w:eastAsia="Times New Roman" w:hAnsi="Times New Roman" w:cs="Times New Roman"/>
          <w:sz w:val="24"/>
          <w:szCs w:val="24"/>
        </w:rPr>
        <w:t>Dray, A. 1995. Inflammatory mediators of pain</w:t>
      </w:r>
      <w:r w:rsidRPr="00C427D0">
        <w:rPr>
          <w:rFonts w:ascii="Times New Roman" w:eastAsia="Times New Roman" w:hAnsi="Times New Roman" w:cs="Times New Roman"/>
          <w:i/>
          <w:sz w:val="24"/>
          <w:szCs w:val="24"/>
        </w:rPr>
        <w:t xml:space="preserve">. </w:t>
      </w:r>
      <w:r w:rsidRPr="00C427D0">
        <w:rPr>
          <w:rFonts w:ascii="Times New Roman" w:eastAsia="Times New Roman" w:hAnsi="Times New Roman" w:cs="Times New Roman"/>
          <w:sz w:val="24"/>
          <w:szCs w:val="24"/>
        </w:rPr>
        <w:t xml:space="preserve">British Journal of Anaesthesia, 75: 125–131 </w:t>
      </w:r>
    </w:p>
    <w:p w14:paraId="546CF496" w14:textId="77777777" w:rsidR="00C427D0" w:rsidRPr="00C427D0" w:rsidRDefault="00C427D0" w:rsidP="00C427D0">
      <w:pPr>
        <w:spacing w:after="0" w:line="240" w:lineRule="auto"/>
        <w:contextualSpacing/>
        <w:jc w:val="both"/>
        <w:rPr>
          <w:rFonts w:ascii="Times New Roman" w:eastAsia="Calibri" w:hAnsi="Times New Roman" w:cs="Times New Roman"/>
          <w:sz w:val="24"/>
          <w:szCs w:val="24"/>
          <w:lang w:val="en-GB"/>
        </w:rPr>
      </w:pPr>
    </w:p>
    <w:p w14:paraId="72F0036B" w14:textId="77777777" w:rsidR="00C427D0" w:rsidRPr="00C427D0" w:rsidRDefault="00C427D0" w:rsidP="00C427D0">
      <w:pPr>
        <w:spacing w:after="0" w:line="360" w:lineRule="auto"/>
        <w:ind w:left="720" w:hanging="720"/>
        <w:contextualSpacing/>
        <w:jc w:val="both"/>
        <w:rPr>
          <w:rFonts w:ascii="Times New Roman" w:eastAsia="Calibri" w:hAnsi="Times New Roman" w:cs="Times New Roman"/>
          <w:snapToGrid w:val="0"/>
          <w:sz w:val="24"/>
          <w:szCs w:val="24"/>
          <w:lang w:val="en-GB"/>
        </w:rPr>
      </w:pPr>
      <w:r w:rsidRPr="00C427D0">
        <w:rPr>
          <w:rFonts w:ascii="Times New Roman" w:eastAsia="Calibri" w:hAnsi="Times New Roman" w:cs="Times New Roman"/>
          <w:snapToGrid w:val="0"/>
          <w:sz w:val="24"/>
          <w:szCs w:val="24"/>
          <w:lang w:val="en-GB"/>
        </w:rPr>
        <w:t>Emery, P., Zeider, H., Kvien, T.K., Guslandi, M., Waudin, R., Stead, H., Verburg, K.M., Isakson, P.C., Hubbard, R.C. Geis, S.C. 1999. Celecoxib verus diclofenac in long-term management of rheumatoid arthritis: randomized double blind comparison. Lacent, 354: 2106-2111.</w:t>
      </w:r>
    </w:p>
    <w:p w14:paraId="7CC01368" w14:textId="77777777" w:rsidR="00C427D0" w:rsidRPr="00C427D0" w:rsidRDefault="00C427D0" w:rsidP="00C427D0">
      <w:pPr>
        <w:tabs>
          <w:tab w:val="left" w:pos="0"/>
        </w:tabs>
        <w:spacing w:after="0" w:line="360" w:lineRule="auto"/>
        <w:ind w:left="720" w:hanging="720"/>
        <w:contextualSpacing/>
        <w:rPr>
          <w:rFonts w:ascii="Times New Roman" w:eastAsia="Calibri" w:hAnsi="Times New Roman" w:cs="Times New Roman"/>
          <w:sz w:val="24"/>
          <w:szCs w:val="24"/>
          <w:lang w:val="en-GB"/>
        </w:rPr>
      </w:pPr>
    </w:p>
    <w:p w14:paraId="6FB58094" w14:textId="77777777" w:rsidR="00C427D0" w:rsidRPr="00C427D0" w:rsidRDefault="00C427D0" w:rsidP="00C427D0">
      <w:pPr>
        <w:tabs>
          <w:tab w:val="left" w:pos="0"/>
        </w:tabs>
        <w:spacing w:after="0" w:line="360" w:lineRule="auto"/>
        <w:ind w:left="720" w:hanging="720"/>
        <w:contextualSpacing/>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Falade, O.S., Otemuyiwa, I.O., Oladipo, A., Oyedapo, O.O., Akinpelu, B.A., Adewusi, S.R. The chemical composition and membrane stability activity of some herbs used in local therapy for anemia</w:t>
      </w:r>
      <w:r w:rsidRPr="00C427D0">
        <w:rPr>
          <w:rFonts w:ascii="Times New Roman" w:eastAsia="Calibri" w:hAnsi="Times New Roman" w:cs="Times New Roman"/>
          <w:i/>
          <w:sz w:val="24"/>
          <w:szCs w:val="24"/>
          <w:lang w:val="en-GB"/>
        </w:rPr>
        <w:t xml:space="preserve">. J </w:t>
      </w:r>
      <w:r w:rsidRPr="00C427D0">
        <w:rPr>
          <w:rFonts w:ascii="Times New Roman" w:eastAsia="Calibri" w:hAnsi="Times New Roman" w:cs="Times New Roman"/>
          <w:sz w:val="24"/>
          <w:szCs w:val="24"/>
          <w:lang w:val="en-GB"/>
        </w:rPr>
        <w:t>Ethnopharmacology, 102(1):15-22</w:t>
      </w:r>
    </w:p>
    <w:p w14:paraId="21129B17" w14:textId="77777777" w:rsidR="00C427D0" w:rsidRPr="00C427D0" w:rsidRDefault="00C427D0" w:rsidP="00C427D0">
      <w:pPr>
        <w:spacing w:after="0" w:line="240" w:lineRule="auto"/>
        <w:rPr>
          <w:rFonts w:ascii="Times New Roman" w:eastAsia="Calibri" w:hAnsi="Times New Roman" w:cs="Times New Roman"/>
          <w:snapToGrid w:val="0"/>
          <w:sz w:val="24"/>
          <w:szCs w:val="24"/>
          <w:lang w:val="en-GB"/>
        </w:rPr>
      </w:pPr>
    </w:p>
    <w:p w14:paraId="61D4756E" w14:textId="77777777" w:rsidR="00C427D0" w:rsidRPr="00C427D0" w:rsidRDefault="00C427D0" w:rsidP="00C427D0">
      <w:pPr>
        <w:spacing w:after="0" w:line="360" w:lineRule="auto"/>
        <w:rPr>
          <w:rFonts w:ascii="Times New Roman" w:eastAsia="Calibri" w:hAnsi="Times New Roman" w:cs="Times New Roman"/>
          <w:snapToGrid w:val="0"/>
          <w:sz w:val="24"/>
          <w:szCs w:val="24"/>
          <w:lang w:val="en-GB"/>
        </w:rPr>
      </w:pPr>
      <w:r w:rsidRPr="00C427D0">
        <w:rPr>
          <w:rFonts w:ascii="Times New Roman" w:eastAsia="Calibri" w:hAnsi="Times New Roman" w:cs="Times New Roman"/>
          <w:snapToGrid w:val="0"/>
          <w:sz w:val="24"/>
          <w:szCs w:val="24"/>
          <w:lang w:val="en-GB"/>
        </w:rPr>
        <w:t>Fields, H.L. 1985. Neural mechanisms of opiate analgesia. Adv. Pain Res. Ther., 9: 479-486.</w:t>
      </w:r>
    </w:p>
    <w:p w14:paraId="2EA9E004" w14:textId="77777777" w:rsidR="00C427D0" w:rsidRPr="00C427D0" w:rsidRDefault="00C427D0" w:rsidP="00C427D0">
      <w:pPr>
        <w:spacing w:after="0" w:line="360" w:lineRule="auto"/>
        <w:rPr>
          <w:rFonts w:ascii="Times New Roman" w:eastAsia="Calibri" w:hAnsi="Times New Roman" w:cs="Times New Roman"/>
          <w:snapToGrid w:val="0"/>
          <w:sz w:val="24"/>
          <w:szCs w:val="24"/>
          <w:lang w:val="en-GB"/>
        </w:rPr>
      </w:pPr>
      <w:r w:rsidRPr="00C427D0">
        <w:rPr>
          <w:rFonts w:ascii="Times New Roman" w:eastAsia="Calibri" w:hAnsi="Times New Roman" w:cs="Times New Roman"/>
          <w:snapToGrid w:val="0"/>
          <w:sz w:val="24"/>
          <w:szCs w:val="24"/>
          <w:lang w:val="en-GB"/>
        </w:rPr>
        <w:t xml:space="preserve">Gibson, S.J. and Helme, R.D. (2000) Cognitive factors and the experience of pain and sufferings in older </w:t>
      </w:r>
    </w:p>
    <w:p w14:paraId="4603D83D" w14:textId="77777777" w:rsidR="00C427D0" w:rsidRPr="00C427D0" w:rsidRDefault="00C427D0" w:rsidP="00C427D0">
      <w:pPr>
        <w:spacing w:after="0" w:line="360" w:lineRule="auto"/>
        <w:rPr>
          <w:rFonts w:ascii="Times New Roman" w:eastAsia="Calibri" w:hAnsi="Times New Roman" w:cs="Times New Roman"/>
          <w:snapToGrid w:val="0"/>
          <w:sz w:val="24"/>
          <w:szCs w:val="24"/>
          <w:lang w:val="en-GB"/>
        </w:rPr>
      </w:pPr>
      <w:r w:rsidRPr="00C427D0">
        <w:rPr>
          <w:rFonts w:ascii="Times New Roman" w:eastAsia="Calibri" w:hAnsi="Times New Roman" w:cs="Times New Roman"/>
          <w:snapToGrid w:val="0"/>
          <w:sz w:val="24"/>
          <w:szCs w:val="24"/>
          <w:lang w:val="en-GB"/>
        </w:rPr>
        <w:t xml:space="preserve">              persons. Pain, 85: 375-383.</w:t>
      </w:r>
    </w:p>
    <w:p w14:paraId="1C8B6D63" w14:textId="77777777" w:rsidR="00C427D0" w:rsidRPr="00C427D0" w:rsidRDefault="00C427D0" w:rsidP="00C427D0">
      <w:pPr>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napToGrid w:val="0"/>
          <w:sz w:val="24"/>
          <w:szCs w:val="24"/>
          <w:lang w:val="en-GB"/>
        </w:rPr>
        <w:t xml:space="preserve"> </w:t>
      </w:r>
      <w:r w:rsidRPr="00C427D0">
        <w:rPr>
          <w:rFonts w:ascii="Times New Roman" w:eastAsia="Calibri" w:hAnsi="Times New Roman" w:cs="Times New Roman"/>
          <w:sz w:val="24"/>
          <w:szCs w:val="24"/>
          <w:lang w:val="en-GB"/>
        </w:rPr>
        <w:t xml:space="preserve">Harborne, J.B., 1998. </w:t>
      </w:r>
      <w:bookmarkStart w:id="3" w:name="1165_b"/>
      <w:bookmarkEnd w:id="3"/>
      <w:r w:rsidRPr="00C427D0">
        <w:rPr>
          <w:rFonts w:ascii="Times New Roman" w:eastAsia="Calibri" w:hAnsi="Times New Roman" w:cs="Times New Roman"/>
          <w:sz w:val="24"/>
          <w:szCs w:val="24"/>
          <w:lang w:val="en-GB"/>
        </w:rPr>
        <w:t xml:space="preserve">Phytochemical Methods. 3rd Edn., Chapman and Hall, London, ISBN: 0-412-57260-5,    </w:t>
      </w:r>
    </w:p>
    <w:p w14:paraId="2BF01E8C" w14:textId="77777777" w:rsidR="00C427D0" w:rsidRPr="00C427D0" w:rsidRDefault="00C427D0" w:rsidP="00C427D0">
      <w:pPr>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           Pages: 302.</w:t>
      </w:r>
    </w:p>
    <w:p w14:paraId="35D0A173"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Haroon, Nigil, Aggarwal et al., 2007. Impact of rheumatoidarthritis on quality of life. Modern Rheumatology, </w:t>
      </w:r>
    </w:p>
    <w:p w14:paraId="1FCE8249" w14:textId="77777777" w:rsidR="00C427D0" w:rsidRPr="00C427D0" w:rsidRDefault="00C427D0" w:rsidP="00C427D0">
      <w:pPr>
        <w:autoSpaceDE w:val="0"/>
        <w:autoSpaceDN w:val="0"/>
        <w:adjustRightInd w:val="0"/>
        <w:spacing w:after="0" w:line="360" w:lineRule="auto"/>
        <w:ind w:firstLine="720"/>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17:290-295.</w:t>
      </w:r>
    </w:p>
    <w:p w14:paraId="5068E543" w14:textId="77777777" w:rsidR="00C427D0" w:rsidRPr="00C427D0" w:rsidRDefault="00C427D0" w:rsidP="00C427D0">
      <w:pPr>
        <w:spacing w:after="0" w:line="360" w:lineRule="auto"/>
        <w:ind w:left="720" w:hanging="720"/>
        <w:rPr>
          <w:rFonts w:ascii="Times New Roman" w:eastAsia="Times New Roman" w:hAnsi="Times New Roman" w:cs="Times New Roman"/>
          <w:sz w:val="24"/>
          <w:szCs w:val="24"/>
          <w:highlight w:val="white"/>
          <w:lang w:val="en-GB"/>
        </w:rPr>
      </w:pPr>
      <w:r w:rsidRPr="00C427D0">
        <w:rPr>
          <w:rFonts w:ascii="Times New Roman" w:eastAsia="Calibri" w:hAnsi="Times New Roman" w:cs="Times New Roman"/>
          <w:bCs/>
          <w:sz w:val="24"/>
          <w:szCs w:val="24"/>
          <w:highlight w:val="white"/>
          <w:lang w:val="en-GB"/>
        </w:rPr>
        <w:t xml:space="preserve">Heller, A., Koch, T., Schmeck, J. Acker, V.K. </w:t>
      </w:r>
      <w:r w:rsidRPr="00C427D0">
        <w:rPr>
          <w:rFonts w:ascii="Times New Roman" w:eastAsia="Calibri" w:hAnsi="Times New Roman" w:cs="Times New Roman"/>
          <w:sz w:val="24"/>
          <w:szCs w:val="24"/>
          <w:highlight w:val="white"/>
          <w:lang w:val="en-GB"/>
        </w:rPr>
        <w:t xml:space="preserve">1998.  </w:t>
      </w:r>
      <w:r w:rsidRPr="00C427D0">
        <w:rPr>
          <w:rFonts w:ascii="Times New Roman" w:eastAsia="Times New Roman" w:hAnsi="Times New Roman" w:cs="Times New Roman"/>
          <w:sz w:val="24"/>
          <w:szCs w:val="24"/>
          <w:highlight w:val="white"/>
          <w:lang w:val="en-GB"/>
        </w:rPr>
        <w:t>Lipid mediators in inflammatory disorders. Drugs, 55: 487-496</w:t>
      </w:r>
    </w:p>
    <w:p w14:paraId="633024C3" w14:textId="77777777" w:rsidR="00C427D0" w:rsidRPr="00C427D0" w:rsidRDefault="00C427D0" w:rsidP="00C427D0">
      <w:pPr>
        <w:widowControl w:val="0"/>
        <w:spacing w:after="0" w:line="360" w:lineRule="auto"/>
        <w:ind w:left="720" w:hanging="720"/>
        <w:rPr>
          <w:rFonts w:ascii="Times New Roman" w:eastAsia="Calibri" w:hAnsi="Times New Roman" w:cs="Times New Roman"/>
          <w:snapToGrid w:val="0"/>
          <w:sz w:val="24"/>
          <w:szCs w:val="24"/>
          <w:lang w:val="en-GB"/>
        </w:rPr>
      </w:pPr>
      <w:r w:rsidRPr="00C427D0">
        <w:rPr>
          <w:rFonts w:ascii="Times New Roman" w:eastAsia="Calibri" w:hAnsi="Times New Roman" w:cs="Times New Roman"/>
          <w:snapToGrid w:val="0"/>
          <w:sz w:val="24"/>
          <w:szCs w:val="24"/>
          <w:lang w:val="en-GB"/>
        </w:rPr>
        <w:t>Hunkaar, S., Hole, K. 1987. The formalin test in mice: dissociation between inflammatory and non- inflammatory pain. Pain, 30: 103-114.</w:t>
      </w:r>
    </w:p>
    <w:p w14:paraId="48FF3C7C" w14:textId="77777777" w:rsidR="00C427D0" w:rsidRPr="00C427D0" w:rsidRDefault="00C427D0" w:rsidP="00C427D0">
      <w:pPr>
        <w:widowControl w:val="0"/>
        <w:spacing w:after="0" w:line="360" w:lineRule="auto"/>
        <w:ind w:left="720" w:hanging="720"/>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Ibironke, G.F., Omokhagbo E.A., Ajeigbe K.O., 2009. </w:t>
      </w:r>
      <w:bookmarkStart w:id="4" w:name="352469_ja"/>
      <w:bookmarkEnd w:id="4"/>
      <w:r w:rsidRPr="00C427D0">
        <w:rPr>
          <w:rFonts w:ascii="Times New Roman" w:eastAsia="Calibri" w:hAnsi="Times New Roman" w:cs="Times New Roman"/>
          <w:sz w:val="24"/>
          <w:szCs w:val="24"/>
          <w:lang w:val="en-GB"/>
        </w:rPr>
        <w:t>Comprehensive evaluation of malnutrition effect on pain threshold in albino rats</w:t>
      </w:r>
      <w:r w:rsidRPr="00C427D0">
        <w:rPr>
          <w:rFonts w:ascii="Times New Roman" w:eastAsia="Calibri" w:hAnsi="Times New Roman" w:cs="Times New Roman"/>
          <w:i/>
          <w:sz w:val="24"/>
          <w:szCs w:val="24"/>
          <w:lang w:val="en-GB"/>
        </w:rPr>
        <w:t xml:space="preserve">. </w:t>
      </w:r>
      <w:r w:rsidRPr="00C427D0">
        <w:rPr>
          <w:rFonts w:ascii="Times New Roman" w:eastAsia="Calibri" w:hAnsi="Times New Roman" w:cs="Times New Roman"/>
          <w:sz w:val="24"/>
          <w:szCs w:val="24"/>
          <w:lang w:val="en-GB"/>
        </w:rPr>
        <w:t>Asian Journal of Clinical Nutrition</w:t>
      </w:r>
      <w:r w:rsidRPr="00C427D0">
        <w:rPr>
          <w:rFonts w:ascii="Times New Roman" w:eastAsia="Calibri" w:hAnsi="Times New Roman" w:cs="Times New Roman"/>
          <w:i/>
          <w:sz w:val="24"/>
          <w:szCs w:val="24"/>
          <w:lang w:val="en-GB"/>
        </w:rPr>
        <w:t>,</w:t>
      </w:r>
      <w:r w:rsidRPr="00C427D0">
        <w:rPr>
          <w:rFonts w:ascii="Times New Roman" w:eastAsia="Calibri" w:hAnsi="Times New Roman" w:cs="Times New Roman"/>
          <w:sz w:val="24"/>
          <w:szCs w:val="24"/>
          <w:lang w:val="en-GB"/>
        </w:rPr>
        <w:t xml:space="preserve"> 1: 88-96.</w:t>
      </w:r>
    </w:p>
    <w:p w14:paraId="02C02D41" w14:textId="77777777" w:rsidR="00C427D0" w:rsidRPr="00C427D0" w:rsidRDefault="00C427D0" w:rsidP="00C427D0">
      <w:pPr>
        <w:widowControl w:val="0"/>
        <w:spacing w:after="0" w:line="360" w:lineRule="auto"/>
        <w:ind w:left="720" w:hanging="720"/>
        <w:rPr>
          <w:rFonts w:ascii="Times New Roman" w:eastAsia="Calibri" w:hAnsi="Times New Roman" w:cs="Times New Roman"/>
          <w:sz w:val="24"/>
          <w:szCs w:val="24"/>
          <w:lang w:val="en-GB"/>
        </w:rPr>
      </w:pPr>
      <w:r w:rsidRPr="00C427D0">
        <w:rPr>
          <w:rFonts w:ascii="Times New Roman" w:eastAsia="Calibri" w:hAnsi="Times New Roman" w:cs="Times New Roman"/>
          <w:bCs/>
          <w:sz w:val="24"/>
          <w:szCs w:val="24"/>
          <w:lang w:val="en-GB"/>
        </w:rPr>
        <w:t xml:space="preserve"> Idowu, O. A., Soniran, O. T. , Ajana, O. Aworinde, D. O. 2010. Ethnobotanical survey of antimalarial plants used in Ogun State, Southwest Nigeria.</w:t>
      </w:r>
      <w:r w:rsidRPr="00C427D0">
        <w:rPr>
          <w:rFonts w:ascii="Times New Roman" w:eastAsia="Calibri" w:hAnsi="Times New Roman" w:cs="Times New Roman"/>
          <w:sz w:val="24"/>
          <w:szCs w:val="24"/>
          <w:lang w:val="en-GB"/>
        </w:rPr>
        <w:t xml:space="preserve"> African Journal of Pharmacy and Pharmacology</w:t>
      </w:r>
      <w:r w:rsidRPr="00C427D0">
        <w:rPr>
          <w:rFonts w:ascii="Times New Roman" w:eastAsia="Calibri" w:hAnsi="Times New Roman" w:cs="Times New Roman"/>
          <w:i/>
          <w:sz w:val="24"/>
          <w:szCs w:val="24"/>
          <w:lang w:val="en-GB"/>
        </w:rPr>
        <w:t>,</w:t>
      </w:r>
      <w:r w:rsidRPr="00C427D0">
        <w:rPr>
          <w:rFonts w:ascii="Times New Roman" w:eastAsia="Calibri" w:hAnsi="Times New Roman" w:cs="Times New Roman"/>
          <w:sz w:val="24"/>
          <w:szCs w:val="24"/>
          <w:lang w:val="en-GB"/>
        </w:rPr>
        <w:t xml:space="preserve"> 4(2):055-060. </w:t>
      </w:r>
    </w:p>
    <w:p w14:paraId="2194BFAD" w14:textId="77777777" w:rsidR="00C427D0" w:rsidRPr="00C427D0" w:rsidRDefault="00C427D0" w:rsidP="00C427D0">
      <w:pPr>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lastRenderedPageBreak/>
        <w:t>Koster, R., Anderson, M., De Beer, E.J, 1959. Acetic acid analgesic screening. Federation Proceedings, 18: 412</w:t>
      </w:r>
    </w:p>
    <w:p w14:paraId="628A1801" w14:textId="77777777" w:rsidR="00C427D0" w:rsidRPr="00C427D0" w:rsidRDefault="00C427D0" w:rsidP="00C427D0">
      <w:pPr>
        <w:tabs>
          <w:tab w:val="left" w:pos="0"/>
        </w:tabs>
        <w:spacing w:after="0" w:line="360" w:lineRule="auto"/>
        <w:ind w:left="720" w:hanging="720"/>
        <w:jc w:val="both"/>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Kumar, V., Abdul, A., Fusto, N. Eds. 2005. In:</w:t>
      </w:r>
      <w:r w:rsidRPr="00C427D0">
        <w:rPr>
          <w:rFonts w:ascii="Times New Roman" w:eastAsia="Times New Roman" w:hAnsi="Times New Roman" w:cs="Times New Roman"/>
          <w:i/>
          <w:sz w:val="24"/>
          <w:szCs w:val="24"/>
          <w:lang w:val="en-GB"/>
        </w:rPr>
        <w:t xml:space="preserve"> Robins and Contran Pathological Basis of Diseases,</w:t>
      </w:r>
      <w:r w:rsidRPr="00C427D0">
        <w:rPr>
          <w:rFonts w:ascii="Times New Roman" w:eastAsia="Times New Roman" w:hAnsi="Times New Roman" w:cs="Times New Roman"/>
          <w:sz w:val="24"/>
          <w:szCs w:val="24"/>
          <w:lang w:val="en-GB"/>
        </w:rPr>
        <w:t xml:space="preserve"> 7th Edition. Publisher Elsevier Sanders</w:t>
      </w:r>
    </w:p>
    <w:p w14:paraId="66C7CC22" w14:textId="77777777" w:rsidR="00C427D0" w:rsidRPr="00C427D0" w:rsidRDefault="00C427D0" w:rsidP="00C427D0">
      <w:pPr>
        <w:spacing w:after="200" w:line="360" w:lineRule="auto"/>
        <w:contextualSpacing/>
        <w:jc w:val="both"/>
        <w:rPr>
          <w:rFonts w:ascii="Times New Roman" w:eastAsia="Calibri" w:hAnsi="Times New Roman" w:cs="Times New Roman"/>
          <w:bCs/>
          <w:sz w:val="24"/>
          <w:szCs w:val="24"/>
          <w:lang w:val="en-GB"/>
        </w:rPr>
      </w:pPr>
      <w:r w:rsidRPr="00C427D0">
        <w:rPr>
          <w:rFonts w:ascii="Times New Roman" w:eastAsia="Calibri" w:hAnsi="Times New Roman" w:cs="Times New Roman"/>
          <w:sz w:val="24"/>
          <w:szCs w:val="24"/>
          <w:lang w:val="en-GB"/>
        </w:rPr>
        <w:t xml:space="preserve">Le Bars Daniel, Manuela Gozariu, Samuel W. Cadden: </w:t>
      </w:r>
      <w:r w:rsidRPr="00C427D0">
        <w:rPr>
          <w:rFonts w:ascii="Times New Roman" w:eastAsia="Calibri" w:hAnsi="Times New Roman" w:cs="Times New Roman"/>
          <w:bCs/>
          <w:sz w:val="24"/>
          <w:szCs w:val="24"/>
          <w:lang w:val="en-GB"/>
        </w:rPr>
        <w:t xml:space="preserve">Animal Models of </w:t>
      </w:r>
    </w:p>
    <w:p w14:paraId="19EF122A" w14:textId="77777777" w:rsidR="00C427D0" w:rsidRPr="00C427D0" w:rsidRDefault="00C427D0" w:rsidP="00C427D0">
      <w:pPr>
        <w:spacing w:after="200" w:line="360" w:lineRule="auto"/>
        <w:contextualSpacing/>
        <w:jc w:val="both"/>
        <w:rPr>
          <w:rFonts w:ascii="Times New Roman" w:eastAsia="Calibri" w:hAnsi="Times New Roman" w:cs="Times New Roman"/>
          <w:sz w:val="24"/>
          <w:szCs w:val="24"/>
          <w:lang w:val="en-GB"/>
        </w:rPr>
      </w:pPr>
      <w:r w:rsidRPr="00C427D0">
        <w:rPr>
          <w:rFonts w:ascii="Times New Roman" w:eastAsia="Calibri" w:hAnsi="Times New Roman" w:cs="Times New Roman"/>
          <w:bCs/>
          <w:sz w:val="24"/>
          <w:szCs w:val="24"/>
          <w:lang w:val="en-GB"/>
        </w:rPr>
        <w:t xml:space="preserve">          Nociception. </w:t>
      </w:r>
      <w:r w:rsidRPr="00C427D0">
        <w:rPr>
          <w:rFonts w:ascii="Times New Roman" w:eastAsia="Calibri" w:hAnsi="Times New Roman" w:cs="Times New Roman"/>
          <w:iCs/>
          <w:sz w:val="24"/>
          <w:szCs w:val="24"/>
          <w:lang w:val="en-GB"/>
        </w:rPr>
        <w:t>Pharmacological Review,</w:t>
      </w:r>
      <w:r w:rsidRPr="00C427D0">
        <w:rPr>
          <w:rFonts w:ascii="Times New Roman" w:eastAsia="Calibri" w:hAnsi="Times New Roman" w:cs="Times New Roman"/>
          <w:i/>
          <w:iCs/>
          <w:sz w:val="24"/>
          <w:szCs w:val="24"/>
          <w:lang w:val="en-GB"/>
        </w:rPr>
        <w:t xml:space="preserve"> </w:t>
      </w:r>
      <w:r w:rsidRPr="00C427D0">
        <w:rPr>
          <w:rFonts w:ascii="Times New Roman" w:eastAsia="Calibri" w:hAnsi="Times New Roman" w:cs="Times New Roman"/>
          <w:sz w:val="24"/>
          <w:szCs w:val="24"/>
          <w:lang w:val="en-GB"/>
        </w:rPr>
        <w:t>53:597–652, 2001</w:t>
      </w:r>
    </w:p>
    <w:p w14:paraId="0398989F" w14:textId="77777777" w:rsidR="00C427D0" w:rsidRPr="00C427D0" w:rsidRDefault="00C427D0" w:rsidP="00C427D0">
      <w:pPr>
        <w:spacing w:after="0" w:line="360" w:lineRule="auto"/>
        <w:contextualSpacing/>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Levy, L. 1969. Carrageenan paw oedema in the mouse. Life Sci., 8:601– 606. </w:t>
      </w:r>
    </w:p>
    <w:p w14:paraId="1023CA8E" w14:textId="77777777" w:rsidR="00C427D0" w:rsidRPr="00C427D0" w:rsidRDefault="00C427D0" w:rsidP="00C427D0">
      <w:pPr>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Li, H.B., Jiang, Y., Chen</w:t>
      </w:r>
      <w:r w:rsidRPr="00C427D0">
        <w:rPr>
          <w:rFonts w:ascii="Times New Roman" w:eastAsia="Calibri" w:hAnsi="Times New Roman" w:cs="Times New Roman"/>
          <w:i/>
          <w:iCs/>
          <w:sz w:val="24"/>
          <w:szCs w:val="24"/>
          <w:lang w:val="en-GB"/>
        </w:rPr>
        <w:t xml:space="preserve">, </w:t>
      </w:r>
      <w:r w:rsidRPr="00C427D0">
        <w:rPr>
          <w:rFonts w:ascii="Times New Roman" w:eastAsia="Calibri" w:hAnsi="Times New Roman" w:cs="Times New Roman"/>
          <w:sz w:val="24"/>
          <w:szCs w:val="24"/>
          <w:lang w:val="en-GB"/>
        </w:rPr>
        <w:t xml:space="preserve">F. 2004. Separation methods used for </w:t>
      </w:r>
      <w:r w:rsidRPr="00C427D0">
        <w:rPr>
          <w:rFonts w:ascii="Times New Roman" w:eastAsia="Calibri" w:hAnsi="Times New Roman" w:cs="Times New Roman"/>
          <w:i/>
          <w:iCs/>
          <w:sz w:val="24"/>
          <w:szCs w:val="24"/>
          <w:lang w:val="en-GB"/>
        </w:rPr>
        <w:t xml:space="preserve">Scutellaria baicalensis </w:t>
      </w:r>
      <w:r w:rsidRPr="00C427D0">
        <w:rPr>
          <w:rFonts w:ascii="Times New Roman" w:eastAsia="Calibri" w:hAnsi="Times New Roman" w:cs="Times New Roman"/>
          <w:sz w:val="24"/>
          <w:szCs w:val="24"/>
          <w:lang w:val="en-GB"/>
        </w:rPr>
        <w:t xml:space="preserve">active components.  </w:t>
      </w:r>
    </w:p>
    <w:p w14:paraId="481E654E" w14:textId="77777777" w:rsidR="00C427D0" w:rsidRPr="00C427D0" w:rsidRDefault="00C427D0" w:rsidP="00C427D0">
      <w:pPr>
        <w:spacing w:after="0" w:line="360" w:lineRule="auto"/>
        <w:ind w:firstLine="720"/>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Journal of Chromatography, </w:t>
      </w:r>
      <w:r w:rsidRPr="00C427D0">
        <w:rPr>
          <w:rFonts w:ascii="Times New Roman" w:eastAsia="Calibri" w:hAnsi="Times New Roman" w:cs="Times New Roman"/>
          <w:bCs/>
          <w:sz w:val="24"/>
          <w:szCs w:val="24"/>
          <w:lang w:val="en-GB"/>
        </w:rPr>
        <w:t xml:space="preserve">812: </w:t>
      </w:r>
      <w:r w:rsidRPr="00C427D0">
        <w:rPr>
          <w:rFonts w:ascii="Times New Roman" w:eastAsia="Calibri" w:hAnsi="Times New Roman" w:cs="Times New Roman"/>
          <w:sz w:val="24"/>
          <w:szCs w:val="24"/>
          <w:lang w:val="en-GB"/>
        </w:rPr>
        <w:t xml:space="preserve">277–290. </w:t>
      </w:r>
    </w:p>
    <w:p w14:paraId="51213242" w14:textId="77777777" w:rsidR="00C427D0" w:rsidRPr="00C427D0" w:rsidRDefault="00C427D0" w:rsidP="00C427D0">
      <w:pPr>
        <w:spacing w:after="0" w:line="360" w:lineRule="auto"/>
        <w:contextualSpacing/>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Lorke, D. 1983. A New Approach to Practical Acute toxicity Testing. Achieves of Toxicology, 54: 275 – 287</w:t>
      </w:r>
    </w:p>
    <w:p w14:paraId="0191EE6A" w14:textId="77777777" w:rsidR="00C427D0" w:rsidRPr="00C427D0" w:rsidRDefault="00C427D0" w:rsidP="00C427D0">
      <w:pPr>
        <w:spacing w:after="0" w:line="360" w:lineRule="auto"/>
        <w:contextualSpacing/>
        <w:rPr>
          <w:rFonts w:ascii="Times New Roman" w:eastAsia="Calibri" w:hAnsi="Times New Roman" w:cs="Times New Roman"/>
          <w:sz w:val="24"/>
          <w:szCs w:val="24"/>
          <w:lang w:val="en-GB"/>
        </w:rPr>
      </w:pPr>
    </w:p>
    <w:p w14:paraId="56740337" w14:textId="77777777" w:rsidR="00C427D0" w:rsidRPr="00C427D0" w:rsidRDefault="00C427D0" w:rsidP="00C427D0">
      <w:pPr>
        <w:spacing w:after="0" w:line="360" w:lineRule="auto"/>
        <w:contextualSpacing/>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Mizpah Matus  2010: Is raw cocoa toxic? http://rawfoodsolution.com/is-raw-cacao-toxic-     </w:t>
      </w:r>
    </w:p>
    <w:p w14:paraId="3BAC435A" w14:textId="77777777" w:rsidR="00C427D0" w:rsidRPr="00C427D0" w:rsidRDefault="00C427D0" w:rsidP="00C427D0">
      <w:pPr>
        <w:spacing w:after="200" w:line="360" w:lineRule="auto"/>
        <w:ind w:left="720"/>
        <w:contextualSpacing/>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1151. html/comment-page-1#comment-8998</w:t>
      </w:r>
    </w:p>
    <w:p w14:paraId="5AA0A7FD" w14:textId="77777777" w:rsidR="00C427D0" w:rsidRPr="00C427D0" w:rsidRDefault="00C427D0" w:rsidP="00C427D0">
      <w:pPr>
        <w:spacing w:after="20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Monagas, M, Khan, N, Andres-Lacueva, C.,Casas, R., Urpi-Sardá, M., Llorach, R.., Lamueela-Raventós, R. M. </w:t>
      </w:r>
    </w:p>
    <w:p w14:paraId="60597C03" w14:textId="77777777" w:rsidR="00C427D0" w:rsidRPr="00C427D0" w:rsidRDefault="00C427D0" w:rsidP="00C427D0">
      <w:pPr>
        <w:spacing w:after="200" w:line="360" w:lineRule="auto"/>
        <w:rPr>
          <w:rFonts w:ascii="Times New Roman" w:eastAsia="Times New Roman" w:hAnsi="Times New Roman" w:cs="Times New Roman"/>
          <w:bCs/>
          <w:kern w:val="36"/>
          <w:sz w:val="24"/>
          <w:szCs w:val="48"/>
        </w:rPr>
      </w:pPr>
      <w:r w:rsidRPr="00C427D0">
        <w:rPr>
          <w:rFonts w:ascii="Times New Roman" w:eastAsia="Calibri" w:hAnsi="Times New Roman" w:cs="Times New Roman"/>
          <w:sz w:val="24"/>
          <w:szCs w:val="24"/>
          <w:lang w:val="en-GB"/>
        </w:rPr>
        <w:t xml:space="preserve">            and Estruch R. 2009. </w:t>
      </w:r>
      <w:r w:rsidRPr="00C427D0">
        <w:rPr>
          <w:rFonts w:ascii="Times New Roman" w:eastAsia="Times New Roman" w:hAnsi="Times New Roman" w:cs="Times New Roman"/>
          <w:bCs/>
          <w:kern w:val="36"/>
          <w:sz w:val="24"/>
          <w:szCs w:val="48"/>
        </w:rPr>
        <w:t xml:space="preserve">Effect of cocoa powder on the modulation of inflammatory biomarkers in patients            </w:t>
      </w:r>
    </w:p>
    <w:p w14:paraId="63F75687" w14:textId="77777777" w:rsidR="00C427D0" w:rsidRPr="00C427D0" w:rsidRDefault="00C427D0" w:rsidP="00C427D0">
      <w:pPr>
        <w:spacing w:after="200" w:line="360" w:lineRule="auto"/>
        <w:rPr>
          <w:rFonts w:ascii="Times New Roman" w:eastAsia="Times New Roman" w:hAnsi="Times New Roman" w:cs="Times New Roman"/>
          <w:bCs/>
          <w:kern w:val="36"/>
          <w:sz w:val="24"/>
          <w:szCs w:val="48"/>
        </w:rPr>
      </w:pPr>
      <w:r w:rsidRPr="00C427D0">
        <w:rPr>
          <w:rFonts w:ascii="Times New Roman" w:eastAsia="Times New Roman" w:hAnsi="Times New Roman" w:cs="Times New Roman"/>
          <w:bCs/>
          <w:kern w:val="36"/>
          <w:sz w:val="24"/>
          <w:szCs w:val="48"/>
        </w:rPr>
        <w:t xml:space="preserve">            at high risk of cardiovascular disease. The American Journal of Clinical Nutrition, 90(5):1144-1150.</w:t>
      </w:r>
    </w:p>
    <w:p w14:paraId="22BF7846" w14:textId="77777777" w:rsidR="00C427D0" w:rsidRPr="00C427D0" w:rsidRDefault="00C427D0" w:rsidP="00C427D0">
      <w:pPr>
        <w:widowControl w:val="0"/>
        <w:spacing w:after="0" w:line="360" w:lineRule="auto"/>
        <w:ind w:left="720" w:hanging="720"/>
        <w:rPr>
          <w:rFonts w:ascii="Times New Roman" w:eastAsia="Calibri" w:hAnsi="Times New Roman" w:cs="Times New Roman"/>
          <w:snapToGrid w:val="0"/>
          <w:sz w:val="24"/>
          <w:szCs w:val="24"/>
          <w:lang w:val="en-GB"/>
        </w:rPr>
      </w:pPr>
      <w:r w:rsidRPr="00C427D0">
        <w:rPr>
          <w:rFonts w:ascii="Times New Roman" w:eastAsia="Calibri" w:hAnsi="Times New Roman" w:cs="Times New Roman"/>
          <w:snapToGrid w:val="0"/>
          <w:sz w:val="24"/>
          <w:szCs w:val="24"/>
          <w:lang w:val="en-GB"/>
        </w:rPr>
        <w:t>Morrow, J.D., Roberts, L.J. 2001. Eicosaniods and platelet-activating factors. In: In: Goodman and Gilmans the pharmacological basis of therapeutics 10</w:t>
      </w:r>
      <w:r w:rsidRPr="00C427D0">
        <w:rPr>
          <w:rFonts w:ascii="Times New Roman" w:eastAsia="Calibri" w:hAnsi="Times New Roman" w:cs="Times New Roman"/>
          <w:snapToGrid w:val="0"/>
          <w:sz w:val="24"/>
          <w:szCs w:val="24"/>
          <w:vertAlign w:val="superscript"/>
          <w:lang w:val="en-GB"/>
        </w:rPr>
        <w:t>th</w:t>
      </w:r>
      <w:r w:rsidRPr="00C427D0">
        <w:rPr>
          <w:rFonts w:ascii="Times New Roman" w:eastAsia="Calibri" w:hAnsi="Times New Roman" w:cs="Times New Roman"/>
          <w:snapToGrid w:val="0"/>
          <w:sz w:val="24"/>
          <w:szCs w:val="24"/>
          <w:lang w:val="en-GB"/>
        </w:rPr>
        <w:t xml:space="preserve"> edition (Eds. Hardman, J.G.and Limbird, I.E) MiGraw-Hill, New York., pp. 669 – 685</w:t>
      </w:r>
    </w:p>
    <w:p w14:paraId="2675D93E" w14:textId="77777777" w:rsidR="00C427D0" w:rsidRPr="00C427D0" w:rsidRDefault="00C427D0" w:rsidP="00C427D0">
      <w:pPr>
        <w:spacing w:after="0" w:line="360" w:lineRule="auto"/>
        <w:jc w:val="both"/>
        <w:rPr>
          <w:rFonts w:ascii="Times New Roman" w:eastAsia="Calibri" w:hAnsi="Times New Roman" w:cs="Times New Roman"/>
          <w:sz w:val="24"/>
          <w:szCs w:val="24"/>
          <w:lang w:val="en-GB"/>
        </w:rPr>
      </w:pPr>
    </w:p>
    <w:p w14:paraId="121BE1C3" w14:textId="77777777" w:rsidR="00C427D0" w:rsidRPr="00C427D0" w:rsidRDefault="00C427D0" w:rsidP="00C427D0">
      <w:pPr>
        <w:spacing w:after="0" w:line="360" w:lineRule="auto"/>
        <w:ind w:left="720" w:hanging="720"/>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Nunez Guillen, M.E., Da Silva, Emim, J.A., Souccar, C., Lapa, A.J. 1997. Analgesic and antiinflammatory activities of the aqueous extract of </w:t>
      </w:r>
      <w:r w:rsidRPr="00C427D0">
        <w:rPr>
          <w:rFonts w:ascii="Times New Roman" w:eastAsia="Calibri" w:hAnsi="Times New Roman" w:cs="Times New Roman"/>
          <w:i/>
          <w:iCs/>
          <w:sz w:val="24"/>
          <w:szCs w:val="24"/>
          <w:lang w:val="en-GB"/>
        </w:rPr>
        <w:t xml:space="preserve">Plantago major L. </w:t>
      </w:r>
      <w:r w:rsidRPr="00C427D0">
        <w:rPr>
          <w:rFonts w:ascii="Times New Roman" w:eastAsia="Calibri" w:hAnsi="Times New Roman" w:cs="Times New Roman"/>
          <w:i/>
          <w:sz w:val="24"/>
          <w:szCs w:val="24"/>
          <w:lang w:val="en-GB"/>
        </w:rPr>
        <w:t xml:space="preserve"> </w:t>
      </w:r>
      <w:r w:rsidRPr="00C427D0">
        <w:rPr>
          <w:rFonts w:ascii="Times New Roman" w:eastAsia="Calibri" w:hAnsi="Times New Roman" w:cs="Times New Roman"/>
          <w:sz w:val="24"/>
          <w:szCs w:val="24"/>
          <w:lang w:val="en-GB"/>
        </w:rPr>
        <w:t>International Journal of Pharmacognosy, 35 (2): 99-104.</w:t>
      </w:r>
    </w:p>
    <w:p w14:paraId="52B0BF32" w14:textId="77777777" w:rsidR="00C427D0" w:rsidRPr="00C427D0" w:rsidRDefault="00C427D0" w:rsidP="00C427D0">
      <w:pPr>
        <w:tabs>
          <w:tab w:val="left" w:pos="0"/>
        </w:tabs>
        <w:spacing w:after="0" w:line="360" w:lineRule="auto"/>
        <w:ind w:left="720" w:hanging="720"/>
        <w:contextualSpacing/>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Oyedapo, O.O., Akinpelu, B.A., Orefuwa S.O.  2004. Anti-inflammatory effect of </w:t>
      </w:r>
      <w:r w:rsidRPr="00C427D0">
        <w:rPr>
          <w:rFonts w:ascii="Times New Roman" w:eastAsia="Calibri" w:hAnsi="Times New Roman" w:cs="Times New Roman"/>
          <w:i/>
          <w:iCs/>
          <w:sz w:val="24"/>
          <w:szCs w:val="24"/>
          <w:lang w:val="en-GB"/>
        </w:rPr>
        <w:t>Theobroma cacao</w:t>
      </w:r>
      <w:r w:rsidRPr="00C427D0">
        <w:rPr>
          <w:rFonts w:ascii="Times New Roman" w:eastAsia="Calibri" w:hAnsi="Times New Roman" w:cs="Times New Roman"/>
          <w:sz w:val="24"/>
          <w:szCs w:val="24"/>
          <w:lang w:val="en-GB"/>
        </w:rPr>
        <w:t>, root extract. Journal of Tropical Medicinal Plants</w:t>
      </w:r>
      <w:r w:rsidRPr="00C427D0">
        <w:rPr>
          <w:rFonts w:ascii="Times New Roman" w:eastAsia="Calibri" w:hAnsi="Times New Roman" w:cs="Times New Roman"/>
          <w:i/>
          <w:sz w:val="24"/>
          <w:szCs w:val="24"/>
          <w:lang w:val="en-GB"/>
        </w:rPr>
        <w:t>,</w:t>
      </w:r>
      <w:r w:rsidRPr="00C427D0">
        <w:rPr>
          <w:rFonts w:ascii="Times New Roman" w:eastAsia="Calibri" w:hAnsi="Times New Roman" w:cs="Times New Roman"/>
          <w:sz w:val="24"/>
          <w:szCs w:val="24"/>
          <w:lang w:val="en-GB"/>
        </w:rPr>
        <w:t xml:space="preserve"> 5: 161-166</w:t>
      </w:r>
    </w:p>
    <w:p w14:paraId="61A3B455" w14:textId="77777777" w:rsidR="00C427D0" w:rsidRPr="00C427D0" w:rsidRDefault="00C427D0" w:rsidP="00C427D0">
      <w:pPr>
        <w:spacing w:after="0" w:line="360" w:lineRule="auto"/>
        <w:ind w:left="720" w:hanging="720"/>
        <w:jc w:val="both"/>
        <w:rPr>
          <w:rFonts w:ascii="Times New Roman" w:eastAsia="Times New Roman" w:hAnsi="Times New Roman" w:cs="Times New Roman"/>
          <w:sz w:val="24"/>
          <w:szCs w:val="24"/>
          <w:lang w:val="en-GB"/>
        </w:rPr>
      </w:pPr>
      <w:r w:rsidRPr="00C427D0">
        <w:rPr>
          <w:rFonts w:ascii="Times New Roman" w:eastAsia="Calibri" w:hAnsi="Times New Roman" w:cs="Times New Roman"/>
          <w:sz w:val="24"/>
          <w:szCs w:val="24"/>
          <w:lang w:val="en-GB"/>
        </w:rPr>
        <w:lastRenderedPageBreak/>
        <w:t>Randall, L.O. Selitto, J.J.</w:t>
      </w:r>
      <w:r w:rsidRPr="00C427D0">
        <w:rPr>
          <w:rFonts w:ascii="Times New Roman" w:eastAsia="Calibri" w:hAnsi="Times New Roman" w:cs="Times New Roman"/>
          <w:snapToGrid w:val="0"/>
          <w:sz w:val="24"/>
          <w:szCs w:val="24"/>
          <w:lang w:val="en-GB"/>
        </w:rPr>
        <w:t xml:space="preserve"> 1957.</w:t>
      </w:r>
      <w:r w:rsidRPr="00C427D0">
        <w:rPr>
          <w:rFonts w:ascii="Times New Roman" w:eastAsia="Calibri" w:hAnsi="Times New Roman" w:cs="Times New Roman"/>
          <w:sz w:val="24"/>
          <w:szCs w:val="24"/>
          <w:lang w:val="en-GB"/>
        </w:rPr>
        <w:t xml:space="preserve"> A method for measurement of analgesic activity on inflamed tissue. Arch. Int. Pharmacodyn. Ther., 111:409–419.</w:t>
      </w:r>
    </w:p>
    <w:p w14:paraId="604A128B" w14:textId="77777777" w:rsidR="00C427D0" w:rsidRPr="00C427D0" w:rsidRDefault="00C427D0" w:rsidP="00C427D0">
      <w:pPr>
        <w:tabs>
          <w:tab w:val="left" w:pos="0"/>
          <w:tab w:val="left" w:pos="1260"/>
        </w:tabs>
        <w:spacing w:after="0" w:line="360" w:lineRule="auto"/>
        <w:ind w:left="720" w:hanging="720"/>
        <w:jc w:val="both"/>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 xml:space="preserve">Rang, H.P., Dale, M. M., Ritter, J.M., Flower, R.J.  2007.  Pharmacology 6th Edition, pp 202-225, Churchill Livingstone. </w:t>
      </w:r>
    </w:p>
    <w:p w14:paraId="14B64D65" w14:textId="77777777" w:rsidR="00C427D0" w:rsidRPr="00C427D0" w:rsidRDefault="00C427D0" w:rsidP="00C427D0">
      <w:pPr>
        <w:tabs>
          <w:tab w:val="left" w:pos="0"/>
          <w:tab w:val="left" w:pos="1260"/>
        </w:tabs>
        <w:spacing w:after="0" w:line="360" w:lineRule="auto"/>
        <w:ind w:left="720" w:hanging="720"/>
        <w:jc w:val="both"/>
        <w:rPr>
          <w:rFonts w:ascii="Times New Roman" w:eastAsia="Times New Roman" w:hAnsi="Times New Roman" w:cs="Times New Roman"/>
          <w:sz w:val="24"/>
          <w:szCs w:val="24"/>
          <w:lang w:val="en-GB"/>
        </w:rPr>
      </w:pPr>
      <w:r w:rsidRPr="00C427D0">
        <w:rPr>
          <w:rFonts w:ascii="Times New Roman" w:eastAsia="Times New Roman" w:hAnsi="Times New Roman" w:cs="Times New Roman"/>
          <w:sz w:val="24"/>
          <w:szCs w:val="24"/>
          <w:lang w:val="en-GB"/>
        </w:rPr>
        <w:t>Roberts, L.J., Morrow, J.D. Analgesic-antipyretic and anti-inflammatory agents and drugs employed in the treatment of gout. In Googman &amp; Gilman’s The Pharmacological Basis of Therapeutics.10</w:t>
      </w:r>
      <w:r w:rsidRPr="00C427D0">
        <w:rPr>
          <w:rFonts w:ascii="Times New Roman" w:eastAsia="Times New Roman" w:hAnsi="Times New Roman" w:cs="Times New Roman"/>
          <w:sz w:val="24"/>
          <w:szCs w:val="24"/>
          <w:vertAlign w:val="superscript"/>
          <w:lang w:val="en-GB"/>
        </w:rPr>
        <w:t>th</w:t>
      </w:r>
      <w:r w:rsidRPr="00C427D0">
        <w:rPr>
          <w:rFonts w:ascii="Times New Roman" w:eastAsia="Times New Roman" w:hAnsi="Times New Roman" w:cs="Times New Roman"/>
          <w:sz w:val="24"/>
          <w:szCs w:val="24"/>
          <w:lang w:val="en-GB"/>
        </w:rPr>
        <w:t xml:space="preserve"> ed. Hardman J.G; Limbard L.E.  Eds.</w:t>
      </w:r>
    </w:p>
    <w:p w14:paraId="30C3C893" w14:textId="77777777" w:rsidR="00C427D0" w:rsidRPr="00C427D0" w:rsidRDefault="00C427D0" w:rsidP="00C427D0">
      <w:pPr>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Sofowora, A., 1993. </w:t>
      </w:r>
      <w:bookmarkStart w:id="5" w:name="17019_b"/>
      <w:bookmarkEnd w:id="5"/>
      <w:r w:rsidRPr="00C427D0">
        <w:rPr>
          <w:rFonts w:ascii="Times New Roman" w:eastAsia="Calibri" w:hAnsi="Times New Roman" w:cs="Times New Roman"/>
          <w:sz w:val="24"/>
          <w:szCs w:val="24"/>
          <w:lang w:val="en-GB"/>
        </w:rPr>
        <w:t xml:space="preserve">Screening Plants for Bioactive Agents: Medicinal Plants and Traditional Medicine in                  </w:t>
      </w:r>
    </w:p>
    <w:p w14:paraId="61F281AC" w14:textId="77777777" w:rsidR="00C427D0" w:rsidRPr="00C427D0" w:rsidRDefault="00C427D0" w:rsidP="00C427D0">
      <w:pPr>
        <w:spacing w:after="0" w:line="360" w:lineRule="auto"/>
        <w:ind w:left="825"/>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Africa. 2nd Edn., Spectrum Books Ltd., Sunshine House, Ibadan, Nigeria, ISBN-13: 978-0471103677, pp: 134-156.</w:t>
      </w:r>
    </w:p>
    <w:p w14:paraId="2F658E42" w14:textId="77777777" w:rsidR="00C427D0" w:rsidRPr="00C427D0" w:rsidRDefault="00C427D0" w:rsidP="00C427D0">
      <w:pPr>
        <w:spacing w:after="0" w:line="360" w:lineRule="auto"/>
        <w:ind w:left="810" w:hanging="810"/>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Talhouk, R.S., Karam, C., Fostok, S. El-Jouni, W., Barbour, E.K. 2007. Anti-inflammatory bioactivities in plant extracts. J. Med. Foods, 10(1):1-10.</w:t>
      </w:r>
    </w:p>
    <w:p w14:paraId="660F4D98" w14:textId="77777777" w:rsidR="00C427D0" w:rsidRPr="00C427D0" w:rsidRDefault="00C427D0" w:rsidP="00C427D0">
      <w:pPr>
        <w:spacing w:after="0" w:line="360" w:lineRule="auto"/>
        <w:ind w:left="810" w:hanging="810"/>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Taubert, D., Roesen, R., Lehmann, C., Jung, N., Schömig, E. 2007.  Effects of low habitual cocoa intake on blood pressure and bioactive nitric oxide: a randomized controlled trial. Journal of American Medical Association, 298(1):49-60.</w:t>
      </w:r>
    </w:p>
    <w:p w14:paraId="7420B554" w14:textId="77777777" w:rsidR="00C427D0" w:rsidRPr="00C427D0" w:rsidRDefault="00C427D0" w:rsidP="00C427D0">
      <w:pPr>
        <w:spacing w:after="0" w:line="360" w:lineRule="auto"/>
        <w:ind w:left="810" w:hanging="810"/>
        <w:jc w:val="both"/>
        <w:rPr>
          <w:rFonts w:ascii="Times New Roman" w:eastAsia="Calibri" w:hAnsi="Times New Roman" w:cs="Times New Roman"/>
          <w:snapToGrid w:val="0"/>
          <w:sz w:val="24"/>
          <w:szCs w:val="24"/>
          <w:highlight w:val="white"/>
          <w:lang w:val="en-GB"/>
        </w:rPr>
      </w:pPr>
      <w:r w:rsidRPr="00C427D0">
        <w:rPr>
          <w:rFonts w:ascii="Times New Roman" w:eastAsia="Calibri" w:hAnsi="Times New Roman" w:cs="Times New Roman"/>
          <w:snapToGrid w:val="0"/>
          <w:sz w:val="24"/>
          <w:szCs w:val="24"/>
          <w:highlight w:val="white"/>
          <w:lang w:val="en-GB"/>
        </w:rPr>
        <w:t>Tjolsen, A., Berge, O., Hunskaar, S., Rosland, J.H., Hole, K. 1992. The formalin test: An evaluation of the            method. Pain,</w:t>
      </w:r>
      <w:r w:rsidRPr="00C427D0">
        <w:rPr>
          <w:rFonts w:ascii="Times New Roman" w:eastAsia="Calibri" w:hAnsi="Times New Roman" w:cs="Times New Roman"/>
          <w:i/>
          <w:snapToGrid w:val="0"/>
          <w:sz w:val="24"/>
          <w:szCs w:val="24"/>
          <w:highlight w:val="white"/>
          <w:lang w:val="en-GB"/>
        </w:rPr>
        <w:t xml:space="preserve"> </w:t>
      </w:r>
      <w:r w:rsidRPr="00C427D0">
        <w:rPr>
          <w:rFonts w:ascii="Times New Roman" w:eastAsia="Calibri" w:hAnsi="Times New Roman" w:cs="Times New Roman"/>
          <w:snapToGrid w:val="0"/>
          <w:sz w:val="24"/>
          <w:szCs w:val="24"/>
          <w:highlight w:val="white"/>
          <w:lang w:val="en-GB"/>
        </w:rPr>
        <w:t>51:5-14.</w:t>
      </w:r>
    </w:p>
    <w:p w14:paraId="25D9540C" w14:textId="77777777" w:rsidR="00C427D0" w:rsidRPr="00C427D0" w:rsidRDefault="00C427D0" w:rsidP="00C427D0">
      <w:pPr>
        <w:spacing w:after="0" w:line="360" w:lineRule="auto"/>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Trease, G.E. 2000. Evans MCT Textbook of Pharmacognosy, 20</w:t>
      </w:r>
      <w:r w:rsidRPr="00C427D0">
        <w:rPr>
          <w:rFonts w:ascii="Times New Roman" w:eastAsia="Calibri" w:hAnsi="Times New Roman" w:cs="Times New Roman"/>
          <w:sz w:val="24"/>
          <w:szCs w:val="24"/>
          <w:vertAlign w:val="superscript"/>
          <w:lang w:val="en-GB"/>
        </w:rPr>
        <w:t>th</w:t>
      </w:r>
      <w:r w:rsidRPr="00C427D0">
        <w:rPr>
          <w:rFonts w:ascii="Times New Roman" w:eastAsia="Calibri" w:hAnsi="Times New Roman" w:cs="Times New Roman"/>
          <w:sz w:val="24"/>
          <w:szCs w:val="24"/>
          <w:lang w:val="en-GB"/>
        </w:rPr>
        <w:t xml:space="preserve"> edition, Tindall, London pp179-280</w:t>
      </w:r>
    </w:p>
    <w:p w14:paraId="1D7A2601" w14:textId="77777777" w:rsidR="00C427D0" w:rsidRPr="00C427D0" w:rsidRDefault="00C427D0" w:rsidP="00C427D0">
      <w:pPr>
        <w:tabs>
          <w:tab w:val="left" w:pos="0"/>
        </w:tabs>
        <w:spacing w:after="0" w:line="240" w:lineRule="auto"/>
        <w:ind w:left="720" w:hanging="720"/>
        <w:contextualSpacing/>
        <w:jc w:val="both"/>
        <w:rPr>
          <w:rFonts w:ascii="Times New Roman" w:eastAsia="Calibri" w:hAnsi="Times New Roman" w:cs="Times New Roman"/>
          <w:sz w:val="24"/>
          <w:szCs w:val="24"/>
          <w:lang w:val="en-GB"/>
        </w:rPr>
      </w:pPr>
    </w:p>
    <w:p w14:paraId="7210BF70" w14:textId="77777777" w:rsidR="00C427D0" w:rsidRPr="00C427D0" w:rsidRDefault="00C427D0" w:rsidP="00C427D0">
      <w:pPr>
        <w:tabs>
          <w:tab w:val="left" w:pos="0"/>
        </w:tabs>
        <w:spacing w:after="0" w:line="360" w:lineRule="auto"/>
        <w:ind w:left="720" w:hanging="720"/>
        <w:contextualSpacing/>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Umukoro, S., Olugbemi, A.S. 2011. Antinociceptive effects of methyl jasmonate in experimental animals.     Journal of Natural Medicine, 65:466-470</w:t>
      </w:r>
    </w:p>
    <w:p w14:paraId="078D2C0B" w14:textId="77777777" w:rsidR="00C427D0" w:rsidRPr="00C427D0" w:rsidRDefault="00C427D0" w:rsidP="00C427D0">
      <w:pPr>
        <w:autoSpaceDE w:val="0"/>
        <w:autoSpaceDN w:val="0"/>
        <w:adjustRightInd w:val="0"/>
        <w:spacing w:after="0" w:line="360" w:lineRule="auto"/>
        <w:ind w:left="720" w:hanging="720"/>
        <w:rPr>
          <w:rFonts w:ascii="Times New Roman" w:eastAsia="Calibri" w:hAnsi="Times New Roman" w:cs="Times New Roman"/>
          <w:bCs/>
          <w:sz w:val="24"/>
          <w:szCs w:val="24"/>
          <w:lang w:val="en-GB"/>
        </w:rPr>
      </w:pPr>
      <w:r w:rsidRPr="00C427D0">
        <w:rPr>
          <w:rFonts w:ascii="Times New Roman" w:eastAsia="Calibri" w:hAnsi="Times New Roman" w:cs="Times New Roman"/>
          <w:bCs/>
          <w:sz w:val="24"/>
          <w:szCs w:val="24"/>
          <w:lang w:val="en-GB"/>
        </w:rPr>
        <w:t xml:space="preserve">Umukoro, S., Ashorobi, R.B. 2006. Evaluation of anti-inflammatory and membrane stabilizing property of aqueous leaf extract of </w:t>
      </w:r>
      <w:r w:rsidRPr="00C427D0">
        <w:rPr>
          <w:rFonts w:ascii="Times New Roman" w:eastAsia="Calibri" w:hAnsi="Times New Roman" w:cs="Times New Roman"/>
          <w:bCs/>
          <w:i/>
          <w:iCs/>
          <w:sz w:val="24"/>
          <w:szCs w:val="24"/>
          <w:lang w:val="en-GB"/>
        </w:rPr>
        <w:t xml:space="preserve">Momordica charantia </w:t>
      </w:r>
      <w:r w:rsidRPr="00C427D0">
        <w:rPr>
          <w:rFonts w:ascii="Times New Roman" w:eastAsia="Calibri" w:hAnsi="Times New Roman" w:cs="Times New Roman"/>
          <w:bCs/>
          <w:sz w:val="24"/>
          <w:szCs w:val="24"/>
          <w:lang w:val="en-GB"/>
        </w:rPr>
        <w:t>in rats. African Journal of Biomedical Research, 9:119 –124.</w:t>
      </w:r>
    </w:p>
    <w:p w14:paraId="4DDF5B51" w14:textId="77777777" w:rsidR="00C427D0" w:rsidRPr="00C427D0" w:rsidRDefault="00C427D0" w:rsidP="00C427D0">
      <w:pPr>
        <w:spacing w:after="0" w:line="360" w:lineRule="auto"/>
        <w:ind w:left="720" w:hanging="720"/>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Vandebroek, I. J., Calewaert, S., Dejonkckheere, S.  Semo, L. Damme, P.V. Puyvelde, L.V. Kimpe N.D. 2004. Use on medicinal plants and Pharmaceuticals by indigenous communities in the Bolivian Andes and Amason.</w:t>
      </w:r>
      <w:r w:rsidRPr="00C427D0">
        <w:rPr>
          <w:rFonts w:ascii="Times New Roman" w:eastAsia="Calibri" w:hAnsi="Times New Roman" w:cs="Times New Roman"/>
          <w:i/>
          <w:sz w:val="24"/>
          <w:szCs w:val="24"/>
          <w:lang w:val="en-GB"/>
        </w:rPr>
        <w:t xml:space="preserve"> </w:t>
      </w:r>
      <w:r w:rsidRPr="00C427D0">
        <w:rPr>
          <w:rFonts w:ascii="Times New Roman" w:eastAsia="Calibri" w:hAnsi="Times New Roman" w:cs="Times New Roman"/>
          <w:sz w:val="24"/>
          <w:szCs w:val="24"/>
          <w:lang w:val="en-GB"/>
        </w:rPr>
        <w:t xml:space="preserve">Bull. World Health Organ, 82:243-250 </w:t>
      </w:r>
    </w:p>
    <w:p w14:paraId="0CBF0A8B" w14:textId="77777777" w:rsidR="00C427D0" w:rsidRPr="00C427D0" w:rsidRDefault="00C427D0" w:rsidP="00C427D0">
      <w:pPr>
        <w:spacing w:after="0" w:line="360" w:lineRule="auto"/>
        <w:rPr>
          <w:rFonts w:ascii="Times New Roman" w:eastAsia="Calibri" w:hAnsi="Times New Roman" w:cs="Times New Roman"/>
          <w:sz w:val="24"/>
          <w:szCs w:val="24"/>
          <w:highlight w:val="white"/>
          <w:lang w:val="en-GB"/>
        </w:rPr>
      </w:pPr>
      <w:r w:rsidRPr="00C427D0">
        <w:rPr>
          <w:rFonts w:ascii="Times New Roman" w:eastAsia="Times New Roman" w:hAnsi="Times New Roman" w:cs="Times New Roman"/>
          <w:color w:val="000000"/>
          <w:sz w:val="24"/>
          <w:szCs w:val="24"/>
          <w:lang w:val="en-GB"/>
        </w:rPr>
        <w:t xml:space="preserve">Vane, J.R., Botting, R.M. 1998. </w:t>
      </w:r>
      <w:r w:rsidRPr="00C427D0">
        <w:rPr>
          <w:rFonts w:ascii="Times New Roman" w:eastAsia="Times New Roman" w:hAnsi="Times New Roman" w:cs="Times New Roman"/>
          <w:bCs/>
          <w:color w:val="000000"/>
          <w:kern w:val="36"/>
          <w:sz w:val="24"/>
          <w:szCs w:val="24"/>
          <w:lang w:val="en-GB"/>
        </w:rPr>
        <w:t>Anti-inflammatory drugs and their mechanism of action.</w:t>
      </w:r>
      <w:r w:rsidRPr="00C427D0">
        <w:rPr>
          <w:rFonts w:ascii="Times New Roman" w:eastAsia="Times New Roman" w:hAnsi="Times New Roman" w:cs="Times New Roman"/>
          <w:color w:val="000000"/>
          <w:sz w:val="24"/>
          <w:szCs w:val="24"/>
          <w:lang w:val="en-GB"/>
        </w:rPr>
        <w:t xml:space="preserve"> Inflammation </w:t>
      </w:r>
      <w:r w:rsidRPr="00C427D0">
        <w:rPr>
          <w:rFonts w:ascii="Times New Roman" w:eastAsia="Calibri" w:hAnsi="Times New Roman" w:cs="Times New Roman"/>
          <w:sz w:val="24"/>
          <w:szCs w:val="24"/>
          <w:highlight w:val="white"/>
          <w:lang w:val="en-GB"/>
        </w:rPr>
        <w:t xml:space="preserve"> Journal of  Rheumatology, 25(102):9-12. </w:t>
      </w:r>
    </w:p>
    <w:p w14:paraId="1804415A"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i/>
          <w:color w:val="000000"/>
          <w:sz w:val="24"/>
          <w:szCs w:val="24"/>
          <w:highlight w:val="white"/>
        </w:rPr>
      </w:pPr>
      <w:r w:rsidRPr="00C427D0">
        <w:rPr>
          <w:rFonts w:ascii="Times New Roman" w:eastAsia="Calibri" w:hAnsi="Times New Roman" w:cs="Times New Roman"/>
          <w:color w:val="000000"/>
          <w:sz w:val="24"/>
          <w:szCs w:val="24"/>
          <w:highlight w:val="white"/>
        </w:rPr>
        <w:lastRenderedPageBreak/>
        <w:t>Van Kempen, L.C.L., de Visser, K.E., Coussens, L.M. 2006. Inflammation, proteases and cancer</w:t>
      </w:r>
      <w:r w:rsidRPr="00C427D0">
        <w:rPr>
          <w:rFonts w:ascii="Times New Roman" w:eastAsia="Calibri" w:hAnsi="Times New Roman" w:cs="Times New Roman"/>
          <w:i/>
          <w:color w:val="000000"/>
          <w:sz w:val="24"/>
          <w:szCs w:val="24"/>
          <w:highlight w:val="white"/>
        </w:rPr>
        <w:t xml:space="preserve">. </w:t>
      </w:r>
      <w:r w:rsidRPr="00C427D0">
        <w:rPr>
          <w:rFonts w:ascii="Times New Roman" w:eastAsia="Calibri" w:hAnsi="Times New Roman" w:cs="Times New Roman"/>
          <w:color w:val="000000"/>
          <w:sz w:val="24"/>
          <w:szCs w:val="24"/>
          <w:highlight w:val="white"/>
        </w:rPr>
        <w:t xml:space="preserve">Eur. J. Canc., </w:t>
      </w:r>
    </w:p>
    <w:p w14:paraId="764BDEC7"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color w:val="000000"/>
          <w:sz w:val="24"/>
          <w:szCs w:val="24"/>
          <w:highlight w:val="white"/>
        </w:rPr>
      </w:pPr>
      <w:r w:rsidRPr="00C427D0">
        <w:rPr>
          <w:rFonts w:ascii="Times New Roman" w:eastAsia="Calibri" w:hAnsi="Times New Roman" w:cs="Times New Roman"/>
          <w:color w:val="000000"/>
          <w:sz w:val="24"/>
          <w:szCs w:val="24"/>
          <w:highlight w:val="white"/>
        </w:rPr>
        <w:t xml:space="preserve">         42:728-734. </w:t>
      </w:r>
    </w:p>
    <w:p w14:paraId="57AE6443"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color w:val="000000"/>
          <w:sz w:val="24"/>
          <w:szCs w:val="24"/>
          <w:highlight w:val="white"/>
        </w:rPr>
      </w:pPr>
      <w:r w:rsidRPr="00C427D0">
        <w:rPr>
          <w:rFonts w:ascii="Times New Roman" w:eastAsia="Calibri" w:hAnsi="Times New Roman" w:cs="Times New Roman"/>
          <w:color w:val="000000"/>
          <w:sz w:val="24"/>
          <w:szCs w:val="24"/>
          <w:highlight w:val="white"/>
        </w:rPr>
        <w:t xml:space="preserve">Vogel, G.H., Vogel, W.H. 1997. Analgesic, anti-inflammatory and antipyretic activity. In: Drug Discovery and    </w:t>
      </w:r>
    </w:p>
    <w:p w14:paraId="584954CD" w14:textId="77777777" w:rsidR="00C427D0" w:rsidRPr="00C427D0" w:rsidRDefault="00C427D0" w:rsidP="00C427D0">
      <w:pPr>
        <w:autoSpaceDE w:val="0"/>
        <w:autoSpaceDN w:val="0"/>
        <w:adjustRightInd w:val="0"/>
        <w:spacing w:after="0" w:line="360" w:lineRule="auto"/>
        <w:rPr>
          <w:rFonts w:ascii="Times New Roman" w:eastAsia="Calibri" w:hAnsi="Times New Roman" w:cs="Times New Roman"/>
          <w:color w:val="000000"/>
          <w:sz w:val="24"/>
          <w:szCs w:val="24"/>
          <w:highlight w:val="white"/>
        </w:rPr>
      </w:pPr>
      <w:r w:rsidRPr="00C427D0">
        <w:rPr>
          <w:rFonts w:ascii="Times New Roman" w:eastAsia="Calibri" w:hAnsi="Times New Roman" w:cs="Times New Roman"/>
          <w:color w:val="000000"/>
          <w:sz w:val="24"/>
          <w:szCs w:val="24"/>
          <w:highlight w:val="white"/>
        </w:rPr>
        <w:t xml:space="preserve">         Evaluation, Pharmacological assays 360, Springer-Verlaag, Berlin Heidelderg pp. 360-418. </w:t>
      </w:r>
    </w:p>
    <w:p w14:paraId="10471CFC" w14:textId="77777777" w:rsidR="00C427D0" w:rsidRPr="00C427D0" w:rsidRDefault="00C427D0" w:rsidP="00C427D0">
      <w:pPr>
        <w:tabs>
          <w:tab w:val="left" w:pos="0"/>
        </w:tabs>
        <w:spacing w:after="0" w:line="360" w:lineRule="auto"/>
        <w:ind w:left="720" w:hanging="720"/>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 White, M. 1999. Mediators of inflammation and inflammatory process. Journal of Allergy and Clinical Immunology,</w:t>
      </w:r>
      <w:r w:rsidRPr="00C427D0">
        <w:rPr>
          <w:rFonts w:ascii="Times New Roman" w:eastAsia="Calibri" w:hAnsi="Times New Roman" w:cs="Times New Roman"/>
          <w:i/>
          <w:sz w:val="24"/>
          <w:szCs w:val="24"/>
          <w:lang w:val="en-GB"/>
        </w:rPr>
        <w:t xml:space="preserve"> </w:t>
      </w:r>
      <w:r w:rsidRPr="00C427D0">
        <w:rPr>
          <w:rFonts w:ascii="Times New Roman" w:eastAsia="Calibri" w:hAnsi="Times New Roman" w:cs="Times New Roman"/>
          <w:sz w:val="24"/>
          <w:szCs w:val="24"/>
          <w:lang w:val="en-GB"/>
        </w:rPr>
        <w:t>103: 5378-5381.</w:t>
      </w:r>
    </w:p>
    <w:p w14:paraId="132FA13A" w14:textId="77777777" w:rsidR="00C427D0" w:rsidRPr="00C427D0" w:rsidRDefault="00C427D0" w:rsidP="00C427D0">
      <w:pPr>
        <w:tabs>
          <w:tab w:val="left" w:pos="0"/>
        </w:tabs>
        <w:spacing w:after="0" w:line="360" w:lineRule="auto"/>
        <w:ind w:left="720" w:hanging="720"/>
        <w:jc w:val="both"/>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 xml:space="preserve">Williams, T.J.,  Morley, J. 1973. Prostaglandins as potentiators of increased vascular permeability in </w:t>
      </w:r>
    </w:p>
    <w:p w14:paraId="2548F1F5" w14:textId="77777777" w:rsidR="00C427D0" w:rsidRPr="00C427D0" w:rsidRDefault="00C427D0" w:rsidP="00C427D0">
      <w:pPr>
        <w:autoSpaceDE w:val="0"/>
        <w:autoSpaceDN w:val="0"/>
        <w:adjustRightInd w:val="0"/>
        <w:spacing w:after="0" w:line="360" w:lineRule="auto"/>
        <w:ind w:firstLine="720"/>
        <w:rPr>
          <w:rFonts w:ascii="Times New Roman" w:eastAsia="Calibri" w:hAnsi="Times New Roman" w:cs="Times New Roman"/>
          <w:sz w:val="24"/>
          <w:szCs w:val="24"/>
          <w:lang w:val="en-GB"/>
        </w:rPr>
      </w:pPr>
      <w:r w:rsidRPr="00C427D0">
        <w:rPr>
          <w:rFonts w:ascii="Times New Roman" w:eastAsia="Calibri" w:hAnsi="Times New Roman" w:cs="Times New Roman"/>
          <w:sz w:val="24"/>
          <w:szCs w:val="24"/>
          <w:lang w:val="en-GB"/>
        </w:rPr>
        <w:t>inflammation. Nature: 246, 215-217.</w:t>
      </w:r>
    </w:p>
    <w:p w14:paraId="7A770D35" w14:textId="77777777" w:rsidR="00C427D0" w:rsidRPr="00C427D0" w:rsidRDefault="00C427D0" w:rsidP="00C427D0">
      <w:pPr>
        <w:tabs>
          <w:tab w:val="left" w:pos="0"/>
        </w:tabs>
        <w:spacing w:after="200" w:line="360" w:lineRule="auto"/>
        <w:ind w:left="720" w:hanging="720"/>
        <w:contextualSpacing/>
        <w:rPr>
          <w:rFonts w:ascii="Times New Roman" w:eastAsia="AdvEPSTIM" w:hAnsi="Times New Roman" w:cs="Times New Roman"/>
          <w:sz w:val="24"/>
          <w:szCs w:val="24"/>
          <w:lang w:val="en-GB"/>
        </w:rPr>
      </w:pPr>
      <w:r w:rsidRPr="00C427D0">
        <w:rPr>
          <w:rFonts w:ascii="Times New Roman" w:eastAsia="AdvEPSTIM" w:hAnsi="Times New Roman" w:cs="Times New Roman"/>
          <w:sz w:val="24"/>
          <w:szCs w:val="24"/>
          <w:lang w:val="en-GB"/>
        </w:rPr>
        <w:t xml:space="preserve">Wood, G.A.R. Lass, R.A., 2001. Cacao, fourth ed. Blackwell Science Ltd., Oxford, 620 pp. </w:t>
      </w:r>
    </w:p>
    <w:p w14:paraId="444295DA" w14:textId="77777777" w:rsidR="00C427D0" w:rsidRPr="00C427D0" w:rsidRDefault="00C427D0" w:rsidP="00C427D0">
      <w:pPr>
        <w:tabs>
          <w:tab w:val="left" w:pos="0"/>
        </w:tabs>
        <w:spacing w:after="200" w:line="360" w:lineRule="auto"/>
        <w:ind w:left="720" w:hanging="720"/>
        <w:contextualSpacing/>
        <w:rPr>
          <w:rFonts w:ascii="Times New Roman" w:eastAsia="Times New Roman" w:hAnsi="Times New Roman" w:cs="Times New Roman"/>
          <w:sz w:val="24"/>
          <w:szCs w:val="24"/>
        </w:rPr>
      </w:pPr>
      <w:r w:rsidRPr="00C427D0">
        <w:rPr>
          <w:rFonts w:ascii="Times New Roman" w:eastAsia="Calibri" w:hAnsi="Times New Roman" w:cs="Times New Roman"/>
          <w:sz w:val="24"/>
          <w:szCs w:val="24"/>
          <w:lang w:val="en-GB"/>
        </w:rPr>
        <w:t>Zakaria, Z.A., Nor, R.N.S.R.M., Sulaiman, M.R., Ghani, Z.D.F.A., Kumar, G.H., Fatimah, C.A. 2006.</w:t>
      </w:r>
      <w:bookmarkStart w:id="6" w:name="121734_ja"/>
      <w:bookmarkEnd w:id="6"/>
      <w:r w:rsidRPr="00C427D0">
        <w:rPr>
          <w:rFonts w:ascii="Times New Roman" w:eastAsia="Calibri" w:hAnsi="Times New Roman" w:cs="Times New Roman"/>
          <w:sz w:val="24"/>
          <w:szCs w:val="24"/>
          <w:lang w:val="en-GB"/>
        </w:rPr>
        <w:t xml:space="preserve"> Antinociceptive and anti-inflammatory properties of </w:t>
      </w:r>
      <w:r w:rsidRPr="00C427D0">
        <w:rPr>
          <w:rFonts w:ascii="Times New Roman" w:eastAsia="Calibri" w:hAnsi="Times New Roman" w:cs="Times New Roman"/>
          <w:i/>
          <w:iCs/>
          <w:sz w:val="24"/>
          <w:szCs w:val="24"/>
          <w:lang w:val="en-GB"/>
        </w:rPr>
        <w:t>Melastoma malabathricum</w:t>
      </w:r>
      <w:r w:rsidRPr="00C427D0">
        <w:rPr>
          <w:rFonts w:ascii="Times New Roman" w:eastAsia="Calibri" w:hAnsi="Times New Roman" w:cs="Times New Roman"/>
          <w:sz w:val="24"/>
          <w:szCs w:val="24"/>
          <w:lang w:val="en-GB"/>
        </w:rPr>
        <w:t xml:space="preserve"> leaves chloroform extract in experimental animals. Journal of Pharmacology and Toxicology, 1: 337-345.</w:t>
      </w:r>
    </w:p>
    <w:p w14:paraId="497B9FBD" w14:textId="77777777" w:rsidR="00C427D0" w:rsidRPr="00C427D0" w:rsidRDefault="00C427D0" w:rsidP="00C427D0">
      <w:pPr>
        <w:spacing w:after="200" w:line="276" w:lineRule="auto"/>
        <w:rPr>
          <w:rFonts w:ascii="Calibri" w:eastAsia="Calibri" w:hAnsi="Calibri" w:cs="Times New Roman"/>
          <w:lang w:val="en-GB"/>
        </w:rPr>
      </w:pPr>
    </w:p>
    <w:p w14:paraId="26AC03CE" w14:textId="77777777" w:rsidR="00C427D0" w:rsidRPr="00C427D0" w:rsidRDefault="00C427D0" w:rsidP="00C427D0">
      <w:pPr>
        <w:spacing w:after="200" w:line="276" w:lineRule="auto"/>
        <w:rPr>
          <w:rFonts w:ascii="Calibri" w:eastAsia="Calibri" w:hAnsi="Calibri" w:cs="Times New Roman"/>
          <w:lang w:val="en-GB"/>
        </w:rPr>
      </w:pPr>
    </w:p>
    <w:p w14:paraId="301AD020" w14:textId="77777777" w:rsidR="00C427D0" w:rsidRDefault="00C427D0"/>
    <w:sectPr w:rsidR="00C427D0" w:rsidSect="00C427D0">
      <w:footerReference w:type="default" r:id="rId19"/>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User" w:date="2016-08-16T22:57:00Z" w:initials="BO">
    <w:p w14:paraId="5AA57008" w14:textId="77777777" w:rsidR="00C427D0" w:rsidRDefault="00C427D0" w:rsidP="00C427D0">
      <w:pPr>
        <w:pStyle w:val="CommentText"/>
      </w:pPr>
      <w:r>
        <w:rPr>
          <w:rStyle w:val="CommentReference"/>
        </w:rPr>
        <w:annotationRef/>
      </w:r>
      <w:r>
        <w:t>This can only be fig 2c or fig 3, there were 2a and 2b before this figure</w:t>
      </w:r>
    </w:p>
  </w:comment>
  <w:comment w:id="2" w:author="USER1" w:date="2017-08-08T17:59:00Z" w:initials="U">
    <w:p w14:paraId="17C7D8FF" w14:textId="77777777" w:rsidR="00C427D0" w:rsidRDefault="00C427D0" w:rsidP="00C427D0">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AA57008" w15:done="0"/>
  <w15:commentEx w15:paraId="17C7D8FF" w15:paraIdParent="5AA5700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auto"/>
    <w:notTrueType/>
    <w:pitch w:val="default"/>
    <w:sig w:usb0="00000001" w:usb1="08070000" w:usb2="00000010" w:usb3="00000000" w:csb0="00020000" w:csb1="00000000"/>
  </w:font>
  <w:font w:name="AdvEPSTIM">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3B29E" w14:textId="77777777" w:rsidR="00C427D0" w:rsidRDefault="00C427D0">
    <w:pPr>
      <w:pStyle w:val="Footer"/>
      <w:jc w:val="center"/>
    </w:pPr>
    <w:r>
      <w:fldChar w:fldCharType="begin"/>
    </w:r>
    <w:r>
      <w:instrText xml:space="preserve"> PAGE   \* MERGEFORMAT </w:instrText>
    </w:r>
    <w:r>
      <w:fldChar w:fldCharType="separate"/>
    </w:r>
    <w:r w:rsidR="000973B8">
      <w:rPr>
        <w:noProof/>
      </w:rPr>
      <w:t>13</w:t>
    </w:r>
    <w:r>
      <w:fldChar w:fldCharType="end"/>
    </w:r>
  </w:p>
  <w:p w14:paraId="39583FC6" w14:textId="77777777" w:rsidR="00C427D0" w:rsidRDefault="00C427D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6770C"/>
    <w:multiLevelType w:val="multilevel"/>
    <w:tmpl w:val="AEFEB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EB4DAC"/>
    <w:multiLevelType w:val="hybridMultilevel"/>
    <w:tmpl w:val="F8BE2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ADD1BCD"/>
    <w:multiLevelType w:val="hybridMultilevel"/>
    <w:tmpl w:val="AF003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2C3640"/>
    <w:multiLevelType w:val="hybridMultilevel"/>
    <w:tmpl w:val="F718E16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5BDB32A7"/>
    <w:multiLevelType w:val="hybridMultilevel"/>
    <w:tmpl w:val="CC00D30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653A3901"/>
    <w:multiLevelType w:val="hybridMultilevel"/>
    <w:tmpl w:val="3A0C2D1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00071C"/>
    <w:multiLevelType w:val="multilevel"/>
    <w:tmpl w:val="0C86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F14172"/>
    <w:multiLevelType w:val="hybridMultilevel"/>
    <w:tmpl w:val="67524F44"/>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3"/>
  </w:num>
  <w:num w:numId="6">
    <w:abstractNumId w:val="4"/>
  </w:num>
  <w:num w:numId="7">
    <w:abstractNumId w:val="7"/>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1">
    <w15:presenceInfo w15:providerId="None" w15:userId="USER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7D0"/>
    <w:rsid w:val="000973B8"/>
    <w:rsid w:val="00490273"/>
    <w:rsid w:val="00571E1F"/>
    <w:rsid w:val="00C42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C1D1F"/>
  <w15:chartTrackingRefBased/>
  <w15:docId w15:val="{6C94D9FC-DA1F-4BD7-83BF-5EB8A089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27D0"/>
    <w:pPr>
      <w:keepNext/>
      <w:spacing w:before="240" w:after="60" w:line="276" w:lineRule="auto"/>
      <w:outlineLvl w:val="0"/>
    </w:pPr>
    <w:rPr>
      <w:rFonts w:ascii="Cambria" w:eastAsia="Times New Roman" w:hAnsi="Cambria" w:cs="Times New Roman"/>
      <w:b/>
      <w:bCs/>
      <w:kern w:val="32"/>
      <w:sz w:val="32"/>
      <w:szCs w:val="32"/>
      <w:lang w:val="en-GB"/>
    </w:rPr>
  </w:style>
  <w:style w:type="paragraph" w:styleId="Heading3">
    <w:name w:val="heading 3"/>
    <w:basedOn w:val="Normal"/>
    <w:next w:val="Normal"/>
    <w:link w:val="Heading3Char"/>
    <w:uiPriority w:val="9"/>
    <w:unhideWhenUsed/>
    <w:qFormat/>
    <w:rsid w:val="00C427D0"/>
    <w:pPr>
      <w:keepNext/>
      <w:keepLines/>
      <w:spacing w:before="200" w:after="0" w:line="276" w:lineRule="auto"/>
      <w:outlineLvl w:val="2"/>
    </w:pPr>
    <w:rPr>
      <w:rFonts w:ascii="Cambria" w:eastAsia="Times New Roman" w:hAnsi="Cambria" w:cs="Times New Roman"/>
      <w:b/>
      <w:bCs/>
      <w:color w:val="4F81BD"/>
      <w:lang w:val="en-GB"/>
    </w:rPr>
  </w:style>
  <w:style w:type="paragraph" w:styleId="Heading4">
    <w:name w:val="heading 4"/>
    <w:basedOn w:val="Normal"/>
    <w:next w:val="Normal"/>
    <w:link w:val="Heading4Char"/>
    <w:uiPriority w:val="9"/>
    <w:unhideWhenUsed/>
    <w:qFormat/>
    <w:rsid w:val="00C427D0"/>
    <w:pPr>
      <w:keepNext/>
      <w:spacing w:before="240" w:after="60" w:line="276" w:lineRule="auto"/>
      <w:outlineLvl w:val="3"/>
    </w:pPr>
    <w:rPr>
      <w:rFonts w:ascii="Calibri" w:eastAsia="Times New Roman" w:hAnsi="Calibri" w:cs="Times New Roman"/>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7D0"/>
    <w:rPr>
      <w:rFonts w:ascii="Cambria" w:eastAsia="Times New Roman" w:hAnsi="Cambria" w:cs="Times New Roman"/>
      <w:b/>
      <w:bCs/>
      <w:kern w:val="32"/>
      <w:sz w:val="32"/>
      <w:szCs w:val="32"/>
      <w:lang w:val="en-GB"/>
    </w:rPr>
  </w:style>
  <w:style w:type="character" w:customStyle="1" w:styleId="Heading3Char">
    <w:name w:val="Heading 3 Char"/>
    <w:basedOn w:val="DefaultParagraphFont"/>
    <w:link w:val="Heading3"/>
    <w:uiPriority w:val="9"/>
    <w:rsid w:val="00C427D0"/>
    <w:rPr>
      <w:rFonts w:ascii="Cambria" w:eastAsia="Times New Roman" w:hAnsi="Cambria" w:cs="Times New Roman"/>
      <w:b/>
      <w:bCs/>
      <w:color w:val="4F81BD"/>
      <w:lang w:val="en-GB"/>
    </w:rPr>
  </w:style>
  <w:style w:type="character" w:customStyle="1" w:styleId="Heading4Char">
    <w:name w:val="Heading 4 Char"/>
    <w:basedOn w:val="DefaultParagraphFont"/>
    <w:link w:val="Heading4"/>
    <w:uiPriority w:val="9"/>
    <w:rsid w:val="00C427D0"/>
    <w:rPr>
      <w:rFonts w:ascii="Calibri" w:eastAsia="Times New Roman" w:hAnsi="Calibri" w:cs="Times New Roman"/>
      <w:b/>
      <w:bCs/>
      <w:sz w:val="28"/>
      <w:szCs w:val="28"/>
      <w:lang w:val="en-GB"/>
    </w:rPr>
  </w:style>
  <w:style w:type="numbering" w:customStyle="1" w:styleId="NoList1">
    <w:name w:val="No List1"/>
    <w:next w:val="NoList"/>
    <w:uiPriority w:val="99"/>
    <w:semiHidden/>
    <w:unhideWhenUsed/>
    <w:rsid w:val="00C427D0"/>
  </w:style>
  <w:style w:type="character" w:styleId="Hyperlink">
    <w:name w:val="Hyperlink"/>
    <w:basedOn w:val="DefaultParagraphFont"/>
    <w:uiPriority w:val="99"/>
    <w:unhideWhenUsed/>
    <w:rsid w:val="00C427D0"/>
    <w:rPr>
      <w:color w:val="0000FF"/>
      <w:u w:val="single"/>
    </w:rPr>
  </w:style>
  <w:style w:type="paragraph" w:styleId="Header">
    <w:name w:val="header"/>
    <w:basedOn w:val="Normal"/>
    <w:link w:val="HeaderChar"/>
    <w:uiPriority w:val="99"/>
    <w:unhideWhenUsed/>
    <w:rsid w:val="00C427D0"/>
    <w:pPr>
      <w:tabs>
        <w:tab w:val="center" w:pos="4680"/>
        <w:tab w:val="right" w:pos="9360"/>
      </w:tabs>
      <w:spacing w:after="200" w:line="276" w:lineRule="auto"/>
    </w:pPr>
    <w:rPr>
      <w:rFonts w:ascii="Calibri" w:eastAsia="Calibri" w:hAnsi="Calibri" w:cs="Times New Roman"/>
      <w:lang w:val="en-GB"/>
    </w:rPr>
  </w:style>
  <w:style w:type="character" w:customStyle="1" w:styleId="HeaderChar">
    <w:name w:val="Header Char"/>
    <w:basedOn w:val="DefaultParagraphFont"/>
    <w:link w:val="Header"/>
    <w:uiPriority w:val="99"/>
    <w:rsid w:val="00C427D0"/>
    <w:rPr>
      <w:rFonts w:ascii="Calibri" w:eastAsia="Calibri" w:hAnsi="Calibri" w:cs="Times New Roman"/>
      <w:lang w:val="en-GB"/>
    </w:rPr>
  </w:style>
  <w:style w:type="paragraph" w:styleId="Footer">
    <w:name w:val="footer"/>
    <w:basedOn w:val="Normal"/>
    <w:link w:val="FooterChar"/>
    <w:uiPriority w:val="99"/>
    <w:unhideWhenUsed/>
    <w:rsid w:val="00C427D0"/>
    <w:pPr>
      <w:tabs>
        <w:tab w:val="center" w:pos="4680"/>
        <w:tab w:val="right" w:pos="9360"/>
      </w:tabs>
      <w:spacing w:after="200" w:line="276" w:lineRule="auto"/>
    </w:pPr>
    <w:rPr>
      <w:rFonts w:ascii="Calibri" w:eastAsia="Calibri" w:hAnsi="Calibri" w:cs="Times New Roman"/>
      <w:lang w:val="en-GB"/>
    </w:rPr>
  </w:style>
  <w:style w:type="character" w:customStyle="1" w:styleId="FooterChar">
    <w:name w:val="Footer Char"/>
    <w:basedOn w:val="DefaultParagraphFont"/>
    <w:link w:val="Footer"/>
    <w:uiPriority w:val="99"/>
    <w:rsid w:val="00C427D0"/>
    <w:rPr>
      <w:rFonts w:ascii="Calibri" w:eastAsia="Calibri" w:hAnsi="Calibri" w:cs="Times New Roman"/>
      <w:lang w:val="en-GB"/>
    </w:rPr>
  </w:style>
  <w:style w:type="character" w:customStyle="1" w:styleId="qdef">
    <w:name w:val="qdef"/>
    <w:basedOn w:val="DefaultParagraphFont"/>
    <w:rsid w:val="00C427D0"/>
  </w:style>
  <w:style w:type="paragraph" w:styleId="NormalWeb">
    <w:name w:val="Normal (Web)"/>
    <w:basedOn w:val="Normal"/>
    <w:uiPriority w:val="99"/>
    <w:unhideWhenUsed/>
    <w:rsid w:val="00C427D0"/>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Default">
    <w:name w:val="Default"/>
    <w:rsid w:val="00C427D0"/>
    <w:pPr>
      <w:autoSpaceDE w:val="0"/>
      <w:autoSpaceDN w:val="0"/>
      <w:adjustRightInd w:val="0"/>
      <w:spacing w:after="0" w:line="240" w:lineRule="auto"/>
    </w:pPr>
    <w:rPr>
      <w:rFonts w:ascii="Arial" w:eastAsia="Calibri" w:hAnsi="Arial" w:cs="Arial"/>
      <w:color w:val="000000"/>
      <w:sz w:val="24"/>
      <w:szCs w:val="24"/>
    </w:rPr>
  </w:style>
  <w:style w:type="character" w:styleId="FollowedHyperlink">
    <w:name w:val="FollowedHyperlink"/>
    <w:uiPriority w:val="99"/>
    <w:semiHidden/>
    <w:unhideWhenUsed/>
    <w:rsid w:val="00C427D0"/>
    <w:rPr>
      <w:color w:val="800080"/>
      <w:u w:val="single"/>
    </w:rPr>
  </w:style>
  <w:style w:type="paragraph" w:styleId="BodyText">
    <w:name w:val="Body Text"/>
    <w:basedOn w:val="Normal"/>
    <w:link w:val="BodyTextChar"/>
    <w:uiPriority w:val="99"/>
    <w:unhideWhenUsed/>
    <w:rsid w:val="00C427D0"/>
    <w:pPr>
      <w:spacing w:after="120" w:line="276" w:lineRule="auto"/>
    </w:pPr>
    <w:rPr>
      <w:rFonts w:ascii="Calibri" w:eastAsia="Calibri" w:hAnsi="Calibri" w:cs="Times New Roman"/>
      <w:lang w:val="en-GB"/>
    </w:rPr>
  </w:style>
  <w:style w:type="character" w:customStyle="1" w:styleId="BodyTextChar">
    <w:name w:val="Body Text Char"/>
    <w:basedOn w:val="DefaultParagraphFont"/>
    <w:link w:val="BodyText"/>
    <w:uiPriority w:val="99"/>
    <w:rsid w:val="00C427D0"/>
    <w:rPr>
      <w:rFonts w:ascii="Calibri" w:eastAsia="Calibri" w:hAnsi="Calibri" w:cs="Times New Roman"/>
      <w:lang w:val="en-GB"/>
    </w:rPr>
  </w:style>
  <w:style w:type="paragraph" w:styleId="ListParagraph">
    <w:name w:val="List Paragraph"/>
    <w:basedOn w:val="Normal"/>
    <w:uiPriority w:val="34"/>
    <w:qFormat/>
    <w:rsid w:val="00C427D0"/>
    <w:pPr>
      <w:spacing w:after="200" w:line="276" w:lineRule="auto"/>
      <w:ind w:left="720"/>
      <w:contextualSpacing/>
    </w:pPr>
    <w:rPr>
      <w:rFonts w:ascii="Calibri" w:eastAsia="Calibri" w:hAnsi="Calibri" w:cs="Times New Roman"/>
      <w:lang w:val="en-GB"/>
    </w:rPr>
  </w:style>
  <w:style w:type="paragraph" w:styleId="HTMLAddress">
    <w:name w:val="HTML Address"/>
    <w:basedOn w:val="Normal"/>
    <w:link w:val="HTMLAddressChar1"/>
    <w:uiPriority w:val="99"/>
    <w:semiHidden/>
    <w:unhideWhenUsed/>
    <w:rsid w:val="00C427D0"/>
    <w:pPr>
      <w:spacing w:after="0" w:line="240" w:lineRule="auto"/>
    </w:pPr>
    <w:rPr>
      <w:rFonts w:ascii="Times New Roman" w:eastAsia="Times New Roman" w:hAnsi="Times New Roman" w:cs="Times New Roman"/>
      <w:i/>
      <w:iCs/>
      <w:sz w:val="24"/>
      <w:szCs w:val="24"/>
      <w:lang w:val="en-GB"/>
    </w:rPr>
  </w:style>
  <w:style w:type="character" w:customStyle="1" w:styleId="HTMLAddressChar">
    <w:name w:val="HTML Address Char"/>
    <w:basedOn w:val="DefaultParagraphFont"/>
    <w:uiPriority w:val="99"/>
    <w:semiHidden/>
    <w:rsid w:val="00C427D0"/>
    <w:rPr>
      <w:i/>
      <w:iCs/>
    </w:rPr>
  </w:style>
  <w:style w:type="character" w:customStyle="1" w:styleId="HTMLAddressChar1">
    <w:name w:val="HTML Address Char1"/>
    <w:basedOn w:val="DefaultParagraphFont"/>
    <w:link w:val="HTMLAddress"/>
    <w:uiPriority w:val="99"/>
    <w:semiHidden/>
    <w:locked/>
    <w:rsid w:val="00C427D0"/>
    <w:rPr>
      <w:rFonts w:ascii="Times New Roman" w:eastAsia="Times New Roman" w:hAnsi="Times New Roman" w:cs="Times New Roman"/>
      <w:i/>
      <w:iCs/>
      <w:sz w:val="24"/>
      <w:szCs w:val="24"/>
      <w:lang w:val="en-GB"/>
    </w:rPr>
  </w:style>
  <w:style w:type="character" w:customStyle="1" w:styleId="referencetext1">
    <w:name w:val="referencetext1"/>
    <w:basedOn w:val="DefaultParagraphFont"/>
    <w:rsid w:val="00C427D0"/>
    <w:rPr>
      <w:vanish w:val="0"/>
      <w:webHidden w:val="0"/>
      <w:specVanish w:val="0"/>
    </w:rPr>
  </w:style>
  <w:style w:type="character" w:styleId="Emphasis">
    <w:name w:val="Emphasis"/>
    <w:basedOn w:val="DefaultParagraphFont"/>
    <w:uiPriority w:val="20"/>
    <w:qFormat/>
    <w:rsid w:val="00C427D0"/>
    <w:rPr>
      <w:i/>
      <w:iCs/>
    </w:rPr>
  </w:style>
  <w:style w:type="character" w:styleId="Strong">
    <w:name w:val="Strong"/>
    <w:basedOn w:val="DefaultParagraphFont"/>
    <w:uiPriority w:val="22"/>
    <w:qFormat/>
    <w:rsid w:val="00C427D0"/>
    <w:rPr>
      <w:b/>
      <w:bCs/>
    </w:rPr>
  </w:style>
  <w:style w:type="character" w:customStyle="1" w:styleId="pseudotab">
    <w:name w:val="pseudotab"/>
    <w:basedOn w:val="DefaultParagraphFont"/>
    <w:rsid w:val="00C427D0"/>
  </w:style>
  <w:style w:type="paragraph" w:customStyle="1" w:styleId="desc">
    <w:name w:val="desc"/>
    <w:basedOn w:val="Normal"/>
    <w:rsid w:val="00C427D0"/>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ref-journal">
    <w:name w:val="ref-journal"/>
    <w:basedOn w:val="DefaultParagraphFont"/>
    <w:rsid w:val="00C427D0"/>
  </w:style>
  <w:style w:type="character" w:customStyle="1" w:styleId="ref-vol">
    <w:name w:val="ref-vol"/>
    <w:basedOn w:val="DefaultParagraphFont"/>
    <w:rsid w:val="00C427D0"/>
  </w:style>
  <w:style w:type="character" w:customStyle="1" w:styleId="authorname">
    <w:name w:val="authorname"/>
    <w:basedOn w:val="DefaultParagraphFont"/>
    <w:rsid w:val="00C427D0"/>
  </w:style>
  <w:style w:type="character" w:customStyle="1" w:styleId="element-citation">
    <w:name w:val="element-citation"/>
    <w:basedOn w:val="DefaultParagraphFont"/>
    <w:rsid w:val="00C427D0"/>
  </w:style>
  <w:style w:type="character" w:customStyle="1" w:styleId="searchmatch">
    <w:name w:val="searchmatch"/>
    <w:basedOn w:val="DefaultParagraphFont"/>
    <w:rsid w:val="00C427D0"/>
  </w:style>
  <w:style w:type="character" w:customStyle="1" w:styleId="name">
    <w:name w:val="name"/>
    <w:basedOn w:val="DefaultParagraphFont"/>
    <w:rsid w:val="00C427D0"/>
  </w:style>
  <w:style w:type="paragraph" w:styleId="BalloonText">
    <w:name w:val="Balloon Text"/>
    <w:basedOn w:val="Normal"/>
    <w:link w:val="BalloonTextChar"/>
    <w:uiPriority w:val="99"/>
    <w:semiHidden/>
    <w:unhideWhenUsed/>
    <w:rsid w:val="00C427D0"/>
    <w:pPr>
      <w:spacing w:after="0" w:line="240" w:lineRule="auto"/>
    </w:pPr>
    <w:rPr>
      <w:rFonts w:ascii="Tahoma" w:eastAsia="Calibri" w:hAnsi="Tahoma" w:cs="Tahoma"/>
      <w:sz w:val="16"/>
      <w:szCs w:val="16"/>
      <w:lang w:val="en-GB"/>
    </w:rPr>
  </w:style>
  <w:style w:type="character" w:customStyle="1" w:styleId="BalloonTextChar">
    <w:name w:val="Balloon Text Char"/>
    <w:basedOn w:val="DefaultParagraphFont"/>
    <w:link w:val="BalloonText"/>
    <w:uiPriority w:val="99"/>
    <w:semiHidden/>
    <w:rsid w:val="00C427D0"/>
    <w:rPr>
      <w:rFonts w:ascii="Tahoma" w:eastAsia="Calibri" w:hAnsi="Tahoma" w:cs="Tahoma"/>
      <w:sz w:val="16"/>
      <w:szCs w:val="16"/>
      <w:lang w:val="en-GB"/>
    </w:rPr>
  </w:style>
  <w:style w:type="character" w:styleId="CommentReference">
    <w:name w:val="annotation reference"/>
    <w:basedOn w:val="DefaultParagraphFont"/>
    <w:uiPriority w:val="99"/>
    <w:semiHidden/>
    <w:unhideWhenUsed/>
    <w:rsid w:val="00C427D0"/>
    <w:rPr>
      <w:sz w:val="16"/>
      <w:szCs w:val="16"/>
    </w:rPr>
  </w:style>
  <w:style w:type="paragraph" w:styleId="CommentText">
    <w:name w:val="annotation text"/>
    <w:basedOn w:val="Normal"/>
    <w:link w:val="CommentTextChar"/>
    <w:uiPriority w:val="99"/>
    <w:semiHidden/>
    <w:unhideWhenUsed/>
    <w:rsid w:val="00C427D0"/>
    <w:pPr>
      <w:spacing w:after="200" w:line="240"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semiHidden/>
    <w:rsid w:val="00C427D0"/>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27D0"/>
    <w:rPr>
      <w:b/>
      <w:bCs/>
    </w:rPr>
  </w:style>
  <w:style w:type="character" w:customStyle="1" w:styleId="CommentSubjectChar">
    <w:name w:val="Comment Subject Char"/>
    <w:basedOn w:val="CommentTextChar"/>
    <w:link w:val="CommentSubject"/>
    <w:uiPriority w:val="99"/>
    <w:semiHidden/>
    <w:rsid w:val="00C427D0"/>
    <w:rPr>
      <w:rFonts w:ascii="Calibri" w:eastAsia="Calibri" w:hAnsi="Calibri" w:cs="Times New Roman"/>
      <w:b/>
      <w:bCs/>
      <w:sz w:val="20"/>
      <w:szCs w:val="20"/>
      <w:lang w:val="en-GB"/>
    </w:rPr>
  </w:style>
  <w:style w:type="paragraph" w:styleId="Revision">
    <w:name w:val="Revision"/>
    <w:hidden/>
    <w:uiPriority w:val="99"/>
    <w:semiHidden/>
    <w:rsid w:val="00C427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omments" Target="comments.xml"/><Relationship Id="rId18" Type="http://schemas.openxmlformats.org/officeDocument/2006/relationships/hyperlink" Target="http://www.ncbi.nlm.nih.gov/pubmed?term=Mayadas-Norton%20T%5BAuthor%5D&amp;cauthor=true&amp;cauthor_uid=9769911"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hyperlink" Target="mailto:safoyeleke@yahoo.co.uk" TargetMode="External"/><Relationship Id="rId12" Type="http://schemas.openxmlformats.org/officeDocument/2006/relationships/chart" Target="charts/chart5.xml"/><Relationship Id="rId17" Type="http://schemas.openxmlformats.org/officeDocument/2006/relationships/hyperlink" Target="http://www.ncbi.nlm.nih.gov/pubmed?term=Cotran%20RS%5BAuthor%5D&amp;cauthor=true&amp;cauthor_uid=9769911" TargetMode="Externa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alakefola@unilorin.edu.ng" TargetMode="Externa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microsoft.com/office/2011/relationships/commentsExtended" Target="commentsExtended.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OYELEKE%20SABI\Desktop\Mrs%20Oyeleke's%20data%20-%20Cop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OYELEKE%20SABI\Desktop\Mrs%20Oyeleke's%20data%20-%20Cop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OYELEKE%20SABI\Desktop\Mrs%20Oyeleke's%20data%20-%20Copy.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OYELEKE%20SABI\Desktop\Mrs%20Oyeleke's%20data%20-%20Copy.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OYELEKE%20SABI\Desktop\Mrs%20Oyeleke's%20data%20-%20Copy.xlsx"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Sheet1!$F$233</c:f>
              <c:strCache>
                <c:ptCount val="1"/>
                <c:pt idx="0">
                  <c:v>Paw Oedema Volume (ml)</c:v>
                </c:pt>
              </c:strCache>
            </c:strRef>
          </c:tx>
          <c:invertIfNegative val="0"/>
          <c:errBars>
            <c:errBarType val="both"/>
            <c:errValType val="cust"/>
            <c:noEndCap val="0"/>
            <c:plus>
              <c:numLit>
                <c:formatCode>General</c:formatCode>
                <c:ptCount val="5"/>
                <c:pt idx="0">
                  <c:v>3.0000000000000002E-2</c:v>
                </c:pt>
                <c:pt idx="1">
                  <c:v>4.0000000000000022E-2</c:v>
                </c:pt>
                <c:pt idx="2">
                  <c:v>2.0000000000000011E-2</c:v>
                </c:pt>
                <c:pt idx="3">
                  <c:v>4.0000000000000022E-2</c:v>
                </c:pt>
                <c:pt idx="4">
                  <c:v>3.0000000000000002E-2</c:v>
                </c:pt>
              </c:numLit>
            </c:plus>
            <c:minus>
              <c:numLit>
                <c:formatCode>General</c:formatCode>
                <c:ptCount val="5"/>
                <c:pt idx="0">
                  <c:v>3.0000000000000002E-2</c:v>
                </c:pt>
                <c:pt idx="1">
                  <c:v>4.0000000000000022E-2</c:v>
                </c:pt>
                <c:pt idx="2">
                  <c:v>2.0000000000000011E-2</c:v>
                </c:pt>
                <c:pt idx="3">
                  <c:v>4.0000000000000022E-2</c:v>
                </c:pt>
                <c:pt idx="4">
                  <c:v>3.0000000000000002E-2</c:v>
                </c:pt>
              </c:numLit>
            </c:minus>
          </c:errBars>
          <c:cat>
            <c:strRef>
              <c:f>Sheet1!$E$234:$E$238</c:f>
              <c:strCache>
                <c:ptCount val="5"/>
                <c:pt idx="0">
                  <c:v>Control</c:v>
                </c:pt>
                <c:pt idx="1">
                  <c:v>ETC 250</c:v>
                </c:pt>
                <c:pt idx="2">
                  <c:v>ETC 500</c:v>
                </c:pt>
                <c:pt idx="3">
                  <c:v>ETC 1000</c:v>
                </c:pt>
                <c:pt idx="4">
                  <c:v>ASA 150</c:v>
                </c:pt>
              </c:strCache>
            </c:strRef>
          </c:cat>
          <c:val>
            <c:numRef>
              <c:f>Sheet1!$F$234:$F$238</c:f>
              <c:numCache>
                <c:formatCode>General</c:formatCode>
                <c:ptCount val="5"/>
                <c:pt idx="0">
                  <c:v>1.5660000000000001</c:v>
                </c:pt>
                <c:pt idx="1">
                  <c:v>1.276</c:v>
                </c:pt>
                <c:pt idx="2">
                  <c:v>1.018</c:v>
                </c:pt>
                <c:pt idx="3">
                  <c:v>0.79200000000000004</c:v>
                </c:pt>
                <c:pt idx="4">
                  <c:v>0.8380000000000003</c:v>
                </c:pt>
              </c:numCache>
            </c:numRef>
          </c:val>
        </c:ser>
        <c:dLbls>
          <c:showLegendKey val="0"/>
          <c:showVal val="0"/>
          <c:showCatName val="0"/>
          <c:showSerName val="0"/>
          <c:showPercent val="0"/>
          <c:showBubbleSize val="0"/>
        </c:dLbls>
        <c:gapWidth val="150"/>
        <c:overlap val="100"/>
        <c:axId val="464518792"/>
        <c:axId val="464529768"/>
      </c:barChart>
      <c:catAx>
        <c:axId val="464518792"/>
        <c:scaling>
          <c:orientation val="minMax"/>
        </c:scaling>
        <c:delete val="0"/>
        <c:axPos val="b"/>
        <c:title>
          <c:tx>
            <c:rich>
              <a:bodyPr/>
              <a:lstStyle/>
              <a:p>
                <a:pPr>
                  <a:defRPr/>
                </a:pPr>
                <a:r>
                  <a:rPr lang="en-US" sz="1200" b="0"/>
                  <a:t>Treatment</a:t>
                </a:r>
                <a:r>
                  <a:rPr lang="en-US" sz="1200" b="0" baseline="0"/>
                  <a:t> (mg/kg)</a:t>
                </a:r>
                <a:endParaRPr lang="en-US" sz="1200" b="0"/>
              </a:p>
            </c:rich>
          </c:tx>
          <c:overlay val="0"/>
        </c:title>
        <c:numFmt formatCode="General" sourceLinked="0"/>
        <c:majorTickMark val="out"/>
        <c:minorTickMark val="none"/>
        <c:tickLblPos val="nextTo"/>
        <c:crossAx val="464529768"/>
        <c:crossesAt val="0"/>
        <c:auto val="1"/>
        <c:lblAlgn val="ctr"/>
        <c:lblOffset val="100"/>
        <c:noMultiLvlLbl val="0"/>
      </c:catAx>
      <c:valAx>
        <c:axId val="464529768"/>
        <c:scaling>
          <c:orientation val="minMax"/>
          <c:max val="2"/>
          <c:min val="0"/>
        </c:scaling>
        <c:delete val="0"/>
        <c:axPos val="l"/>
        <c:title>
          <c:tx>
            <c:rich>
              <a:bodyPr rot="-5400000" vert="horz"/>
              <a:lstStyle/>
              <a:p>
                <a:pPr>
                  <a:defRPr/>
                </a:pPr>
                <a:r>
                  <a:rPr lang="en-US" sz="1200" b="0"/>
                  <a:t>Paw</a:t>
                </a:r>
                <a:r>
                  <a:rPr lang="en-US" sz="1200" b="0" baseline="0"/>
                  <a:t> oedema volume (ml)</a:t>
                </a:r>
                <a:endParaRPr lang="en-US" sz="1200" b="0"/>
              </a:p>
            </c:rich>
          </c:tx>
          <c:overlay val="0"/>
        </c:title>
        <c:numFmt formatCode="General" sourceLinked="1"/>
        <c:majorTickMark val="out"/>
        <c:minorTickMark val="none"/>
        <c:tickLblPos val="nextTo"/>
        <c:crossAx val="464518792"/>
        <c:crosses val="autoZero"/>
        <c:crossBetween val="between"/>
        <c:majorUnit val="0.4"/>
        <c:minorUnit val="0.2"/>
      </c:valAx>
    </c:plotArea>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Sheet1!$F$248</c:f>
              <c:strCache>
                <c:ptCount val="1"/>
                <c:pt idx="0">
                  <c:v>% Inhibition</c:v>
                </c:pt>
              </c:strCache>
            </c:strRef>
          </c:tx>
          <c:invertIfNegative val="0"/>
          <c:cat>
            <c:strRef>
              <c:f>Sheet1!$E$249:$E$253</c:f>
              <c:strCache>
                <c:ptCount val="5"/>
                <c:pt idx="0">
                  <c:v>Control</c:v>
                </c:pt>
                <c:pt idx="1">
                  <c:v>ETC 250</c:v>
                </c:pt>
                <c:pt idx="2">
                  <c:v>ETC 500</c:v>
                </c:pt>
                <c:pt idx="3">
                  <c:v>ETC 1000</c:v>
                </c:pt>
                <c:pt idx="4">
                  <c:v>ASA 150</c:v>
                </c:pt>
              </c:strCache>
            </c:strRef>
          </c:cat>
          <c:val>
            <c:numRef>
              <c:f>Sheet1!$F$249:$F$253</c:f>
              <c:numCache>
                <c:formatCode>General</c:formatCode>
                <c:ptCount val="5"/>
                <c:pt idx="1">
                  <c:v>18.47</c:v>
                </c:pt>
                <c:pt idx="2">
                  <c:v>35.03</c:v>
                </c:pt>
                <c:pt idx="3">
                  <c:v>49.68</c:v>
                </c:pt>
                <c:pt idx="4">
                  <c:v>46.5</c:v>
                </c:pt>
              </c:numCache>
            </c:numRef>
          </c:val>
        </c:ser>
        <c:dLbls>
          <c:showLegendKey val="0"/>
          <c:showVal val="0"/>
          <c:showCatName val="0"/>
          <c:showSerName val="0"/>
          <c:showPercent val="0"/>
          <c:showBubbleSize val="0"/>
        </c:dLbls>
        <c:gapWidth val="150"/>
        <c:overlap val="100"/>
        <c:axId val="464520360"/>
        <c:axId val="464520752"/>
      </c:barChart>
      <c:catAx>
        <c:axId val="464520360"/>
        <c:scaling>
          <c:orientation val="minMax"/>
        </c:scaling>
        <c:delete val="0"/>
        <c:axPos val="b"/>
        <c:title>
          <c:tx>
            <c:rich>
              <a:bodyPr/>
              <a:lstStyle/>
              <a:p>
                <a:pPr>
                  <a:defRPr/>
                </a:pPr>
                <a:r>
                  <a:rPr lang="en-US" sz="1200" b="0"/>
                  <a:t>Treatment</a:t>
                </a:r>
                <a:r>
                  <a:rPr lang="en-US" sz="1200" b="0" baseline="0"/>
                  <a:t> (mg/kg)</a:t>
                </a:r>
                <a:endParaRPr lang="en-US" sz="1200" b="0"/>
              </a:p>
            </c:rich>
          </c:tx>
          <c:overlay val="0"/>
        </c:title>
        <c:numFmt formatCode="General" sourceLinked="0"/>
        <c:majorTickMark val="out"/>
        <c:minorTickMark val="none"/>
        <c:tickLblPos val="nextTo"/>
        <c:crossAx val="464520752"/>
        <c:crosses val="autoZero"/>
        <c:auto val="1"/>
        <c:lblAlgn val="ctr"/>
        <c:lblOffset val="100"/>
        <c:noMultiLvlLbl val="0"/>
      </c:catAx>
      <c:valAx>
        <c:axId val="464520752"/>
        <c:scaling>
          <c:orientation val="minMax"/>
        </c:scaling>
        <c:delete val="0"/>
        <c:axPos val="l"/>
        <c:title>
          <c:tx>
            <c:rich>
              <a:bodyPr rot="-5400000" vert="horz"/>
              <a:lstStyle/>
              <a:p>
                <a:pPr>
                  <a:defRPr/>
                </a:pPr>
                <a:r>
                  <a:rPr lang="en-US" sz="1200" b="0"/>
                  <a:t>%</a:t>
                </a:r>
                <a:r>
                  <a:rPr lang="en-US" sz="1200" b="0" baseline="0"/>
                  <a:t> Inhibition</a:t>
                </a:r>
                <a:endParaRPr lang="en-US" sz="1200" b="0"/>
              </a:p>
            </c:rich>
          </c:tx>
          <c:overlay val="0"/>
        </c:title>
        <c:numFmt formatCode="General" sourceLinked="1"/>
        <c:majorTickMark val="out"/>
        <c:minorTickMark val="none"/>
        <c:tickLblPos val="nextTo"/>
        <c:crossAx val="464520360"/>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625910855102844"/>
          <c:y val="2.3181461291697514E-2"/>
          <c:w val="0.81180949696724147"/>
          <c:h val="0.77282365345357473"/>
        </c:manualLayout>
      </c:layout>
      <c:barChart>
        <c:barDir val="col"/>
        <c:grouping val="stacked"/>
        <c:varyColors val="0"/>
        <c:ser>
          <c:idx val="0"/>
          <c:order val="0"/>
          <c:tx>
            <c:strRef>
              <c:f>Sheet1!$F$273</c:f>
              <c:strCache>
                <c:ptCount val="1"/>
                <c:pt idx="0">
                  <c:v>Paw Oedema Volume (ml)</c:v>
                </c:pt>
              </c:strCache>
            </c:strRef>
          </c:tx>
          <c:invertIfNegative val="0"/>
          <c:errBars>
            <c:errBarType val="both"/>
            <c:errValType val="cust"/>
            <c:noEndCap val="0"/>
            <c:plus>
              <c:numLit>
                <c:formatCode>General</c:formatCode>
                <c:ptCount val="5"/>
                <c:pt idx="0">
                  <c:v>4.0000000000000022E-2</c:v>
                </c:pt>
                <c:pt idx="1">
                  <c:v>2.0000000000000011E-2</c:v>
                </c:pt>
                <c:pt idx="2">
                  <c:v>3.0000000000000002E-2</c:v>
                </c:pt>
                <c:pt idx="3">
                  <c:v>2.0000000000000011E-2</c:v>
                </c:pt>
                <c:pt idx="4">
                  <c:v>3.0000000000000002E-2</c:v>
                </c:pt>
              </c:numLit>
            </c:plus>
            <c:minus>
              <c:numLit>
                <c:formatCode>General</c:formatCode>
                <c:ptCount val="5"/>
                <c:pt idx="0">
                  <c:v>4.0000000000000022E-2</c:v>
                </c:pt>
                <c:pt idx="1">
                  <c:v>2.0000000000000011E-2</c:v>
                </c:pt>
                <c:pt idx="2">
                  <c:v>3.0000000000000002E-2</c:v>
                </c:pt>
                <c:pt idx="3">
                  <c:v>2.0000000000000011E-2</c:v>
                </c:pt>
                <c:pt idx="4">
                  <c:v>3.0000000000000002E-2</c:v>
                </c:pt>
              </c:numLit>
            </c:minus>
          </c:errBars>
          <c:cat>
            <c:strRef>
              <c:f>Sheet1!$E$274:$E$278</c:f>
              <c:strCache>
                <c:ptCount val="5"/>
                <c:pt idx="0">
                  <c:v>Control</c:v>
                </c:pt>
                <c:pt idx="1">
                  <c:v>ETC 250</c:v>
                </c:pt>
                <c:pt idx="2">
                  <c:v>ETC 500</c:v>
                </c:pt>
                <c:pt idx="3">
                  <c:v>ETC 1000</c:v>
                </c:pt>
                <c:pt idx="4">
                  <c:v>ASA 150</c:v>
                </c:pt>
              </c:strCache>
            </c:strRef>
          </c:cat>
          <c:val>
            <c:numRef>
              <c:f>Sheet1!$F$274:$F$278</c:f>
              <c:numCache>
                <c:formatCode>General</c:formatCode>
                <c:ptCount val="5"/>
                <c:pt idx="0">
                  <c:v>1.49</c:v>
                </c:pt>
                <c:pt idx="1">
                  <c:v>1.36</c:v>
                </c:pt>
                <c:pt idx="2">
                  <c:v>1.34</c:v>
                </c:pt>
                <c:pt idx="3">
                  <c:v>1.25</c:v>
                </c:pt>
                <c:pt idx="4">
                  <c:v>1.33</c:v>
                </c:pt>
              </c:numCache>
            </c:numRef>
          </c:val>
        </c:ser>
        <c:dLbls>
          <c:showLegendKey val="0"/>
          <c:showVal val="0"/>
          <c:showCatName val="0"/>
          <c:showSerName val="0"/>
          <c:showPercent val="0"/>
          <c:showBubbleSize val="0"/>
        </c:dLbls>
        <c:gapWidth val="150"/>
        <c:overlap val="100"/>
        <c:axId val="464538000"/>
        <c:axId val="464550152"/>
      </c:barChart>
      <c:catAx>
        <c:axId val="464538000"/>
        <c:scaling>
          <c:orientation val="minMax"/>
        </c:scaling>
        <c:delete val="0"/>
        <c:axPos val="b"/>
        <c:title>
          <c:tx>
            <c:rich>
              <a:bodyPr/>
              <a:lstStyle/>
              <a:p>
                <a:pPr>
                  <a:defRPr/>
                </a:pPr>
                <a:r>
                  <a:rPr lang="en-US" sz="1200" b="0"/>
                  <a:t>Treatment</a:t>
                </a:r>
                <a:r>
                  <a:rPr lang="en-US" sz="1200" b="0" baseline="0"/>
                  <a:t> (mg/kg)</a:t>
                </a:r>
                <a:endParaRPr lang="en-US" sz="1200" b="0"/>
              </a:p>
            </c:rich>
          </c:tx>
          <c:overlay val="0"/>
        </c:title>
        <c:numFmt formatCode="General" sourceLinked="0"/>
        <c:majorTickMark val="out"/>
        <c:minorTickMark val="none"/>
        <c:tickLblPos val="nextTo"/>
        <c:crossAx val="464550152"/>
        <c:crosses val="autoZero"/>
        <c:auto val="1"/>
        <c:lblAlgn val="ctr"/>
        <c:lblOffset val="100"/>
        <c:noMultiLvlLbl val="0"/>
      </c:catAx>
      <c:valAx>
        <c:axId val="464550152"/>
        <c:scaling>
          <c:orientation val="minMax"/>
          <c:max val="2"/>
          <c:min val="0"/>
        </c:scaling>
        <c:delete val="0"/>
        <c:axPos val="l"/>
        <c:title>
          <c:tx>
            <c:rich>
              <a:bodyPr rot="-5400000" vert="horz"/>
              <a:lstStyle/>
              <a:p>
                <a:pPr>
                  <a:defRPr/>
                </a:pPr>
                <a:r>
                  <a:rPr lang="en-US" sz="1200" b="0"/>
                  <a:t>Paw</a:t>
                </a:r>
                <a:r>
                  <a:rPr lang="en-US" sz="1200" b="0" baseline="0"/>
                  <a:t> oedema volume (ml)</a:t>
                </a:r>
                <a:endParaRPr lang="en-US" sz="1200" b="0"/>
              </a:p>
            </c:rich>
          </c:tx>
          <c:overlay val="0"/>
        </c:title>
        <c:numFmt formatCode="General" sourceLinked="1"/>
        <c:majorTickMark val="out"/>
        <c:minorTickMark val="none"/>
        <c:tickLblPos val="nextTo"/>
        <c:crossAx val="464538000"/>
        <c:crosses val="autoZero"/>
        <c:crossBetween val="between"/>
        <c:majorUnit val="0.4"/>
        <c:minorUnit val="0.2"/>
      </c:valAx>
    </c:plotArea>
    <c:plotVisOnly val="1"/>
    <c:dispBlanksAs val="gap"/>
    <c:showDLblsOverMax val="0"/>
  </c:chart>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736528003605118"/>
          <c:y val="8.7015140056645457E-2"/>
          <c:w val="0.81263471996394887"/>
          <c:h val="0.77474887672939186"/>
        </c:manualLayout>
      </c:layout>
      <c:barChart>
        <c:barDir val="col"/>
        <c:grouping val="stacked"/>
        <c:varyColors val="0"/>
        <c:ser>
          <c:idx val="0"/>
          <c:order val="0"/>
          <c:tx>
            <c:strRef>
              <c:f>Sheet1!$F$291</c:f>
              <c:strCache>
                <c:ptCount val="1"/>
                <c:pt idx="0">
                  <c:v>% Inhibition</c:v>
                </c:pt>
              </c:strCache>
            </c:strRef>
          </c:tx>
          <c:invertIfNegative val="0"/>
          <c:cat>
            <c:strRef>
              <c:f>Sheet1!$E$292:$E$296</c:f>
              <c:strCache>
                <c:ptCount val="5"/>
                <c:pt idx="0">
                  <c:v>Control</c:v>
                </c:pt>
                <c:pt idx="1">
                  <c:v>ETC 250</c:v>
                </c:pt>
                <c:pt idx="2">
                  <c:v>ETC 500</c:v>
                </c:pt>
                <c:pt idx="3">
                  <c:v>ETC 1000</c:v>
                </c:pt>
                <c:pt idx="4">
                  <c:v>ASA 150</c:v>
                </c:pt>
              </c:strCache>
            </c:strRef>
          </c:cat>
          <c:val>
            <c:numRef>
              <c:f>Sheet1!$F$292:$F$296</c:f>
              <c:numCache>
                <c:formatCode>General</c:formatCode>
                <c:ptCount val="5"/>
                <c:pt idx="1">
                  <c:v>8.7200000000000006</c:v>
                </c:pt>
                <c:pt idx="2">
                  <c:v>10.07</c:v>
                </c:pt>
                <c:pt idx="3">
                  <c:v>16.11</c:v>
                </c:pt>
                <c:pt idx="4">
                  <c:v>10.74</c:v>
                </c:pt>
              </c:numCache>
            </c:numRef>
          </c:val>
        </c:ser>
        <c:dLbls>
          <c:showLegendKey val="0"/>
          <c:showVal val="0"/>
          <c:showCatName val="0"/>
          <c:showSerName val="0"/>
          <c:showPercent val="0"/>
          <c:showBubbleSize val="0"/>
        </c:dLbls>
        <c:gapWidth val="150"/>
        <c:overlap val="100"/>
        <c:axId val="464547016"/>
        <c:axId val="464545448"/>
      </c:barChart>
      <c:catAx>
        <c:axId val="464547016"/>
        <c:scaling>
          <c:orientation val="minMax"/>
        </c:scaling>
        <c:delete val="0"/>
        <c:axPos val="b"/>
        <c:title>
          <c:tx>
            <c:rich>
              <a:bodyPr/>
              <a:lstStyle/>
              <a:p>
                <a:pPr>
                  <a:defRPr/>
                </a:pPr>
                <a:r>
                  <a:rPr lang="en-US" sz="1200" b="0"/>
                  <a:t>Treatment</a:t>
                </a:r>
                <a:r>
                  <a:rPr lang="en-US" sz="1200" b="0" baseline="0"/>
                  <a:t> (mg/kg)</a:t>
                </a:r>
                <a:endParaRPr lang="en-US" sz="1200" b="0"/>
              </a:p>
            </c:rich>
          </c:tx>
          <c:overlay val="0"/>
        </c:title>
        <c:numFmt formatCode="General" sourceLinked="0"/>
        <c:majorTickMark val="out"/>
        <c:minorTickMark val="none"/>
        <c:tickLblPos val="nextTo"/>
        <c:crossAx val="464545448"/>
        <c:crossesAt val="0"/>
        <c:auto val="1"/>
        <c:lblAlgn val="ctr"/>
        <c:lblOffset val="100"/>
        <c:noMultiLvlLbl val="0"/>
      </c:catAx>
      <c:valAx>
        <c:axId val="464545448"/>
        <c:scaling>
          <c:orientation val="minMax"/>
          <c:max val="20"/>
          <c:min val="0"/>
        </c:scaling>
        <c:delete val="0"/>
        <c:axPos val="l"/>
        <c:title>
          <c:tx>
            <c:rich>
              <a:bodyPr rot="-5400000" vert="horz"/>
              <a:lstStyle/>
              <a:p>
                <a:pPr>
                  <a:defRPr/>
                </a:pPr>
                <a:r>
                  <a:rPr lang="en-US" sz="1200" b="0"/>
                  <a:t>%</a:t>
                </a:r>
                <a:r>
                  <a:rPr lang="en-US" sz="1200" b="0" baseline="0"/>
                  <a:t> Inhibition</a:t>
                </a:r>
                <a:endParaRPr lang="en-US" sz="1200" b="0"/>
              </a:p>
            </c:rich>
          </c:tx>
          <c:overlay val="0"/>
        </c:title>
        <c:numFmt formatCode="General" sourceLinked="1"/>
        <c:majorTickMark val="out"/>
        <c:minorTickMark val="none"/>
        <c:tickLblPos val="nextTo"/>
        <c:crossAx val="464547016"/>
        <c:crosses val="autoZero"/>
        <c:crossBetween val="between"/>
        <c:majorUnit val="5"/>
        <c:minorUnit val="0.4"/>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909618650609914"/>
          <c:y val="0.1162153689122196"/>
          <c:w val="0.84312593278781489"/>
          <c:h val="0.68873432487605657"/>
        </c:manualLayout>
      </c:layout>
      <c:barChart>
        <c:barDir val="col"/>
        <c:grouping val="stacked"/>
        <c:varyColors val="0"/>
        <c:ser>
          <c:idx val="0"/>
          <c:order val="0"/>
          <c:tx>
            <c:strRef>
              <c:f>Sheet1!$E$195</c:f>
              <c:strCache>
                <c:ptCount val="1"/>
                <c:pt idx="0">
                  <c:v>Number of Writhes</c:v>
                </c:pt>
              </c:strCache>
            </c:strRef>
          </c:tx>
          <c:invertIfNegative val="0"/>
          <c:errBars>
            <c:errBarType val="both"/>
            <c:errValType val="cust"/>
            <c:noEndCap val="0"/>
            <c:plus>
              <c:numLit>
                <c:formatCode>General</c:formatCode>
                <c:ptCount val="5"/>
                <c:pt idx="0">
                  <c:v>3.67</c:v>
                </c:pt>
                <c:pt idx="1">
                  <c:v>1.47</c:v>
                </c:pt>
                <c:pt idx="2">
                  <c:v>1.9100000000000001</c:v>
                </c:pt>
                <c:pt idx="3">
                  <c:v>0.51</c:v>
                </c:pt>
                <c:pt idx="4">
                  <c:v>1.02</c:v>
                </c:pt>
              </c:numLit>
            </c:plus>
            <c:minus>
              <c:numLit>
                <c:formatCode>General</c:formatCode>
                <c:ptCount val="5"/>
                <c:pt idx="0">
                  <c:v>3.67</c:v>
                </c:pt>
                <c:pt idx="1">
                  <c:v>1.47</c:v>
                </c:pt>
                <c:pt idx="2">
                  <c:v>1.9100000000000001</c:v>
                </c:pt>
                <c:pt idx="3">
                  <c:v>0.51</c:v>
                </c:pt>
                <c:pt idx="4">
                  <c:v>1.02</c:v>
                </c:pt>
              </c:numLit>
            </c:minus>
          </c:errBars>
          <c:cat>
            <c:strRef>
              <c:f>Sheet1!$D$196:$D$200</c:f>
              <c:strCache>
                <c:ptCount val="5"/>
                <c:pt idx="0">
                  <c:v>Control</c:v>
                </c:pt>
                <c:pt idx="1">
                  <c:v>ETC 250</c:v>
                </c:pt>
                <c:pt idx="2">
                  <c:v>ETC 500</c:v>
                </c:pt>
                <c:pt idx="3">
                  <c:v>ETC 1000</c:v>
                </c:pt>
                <c:pt idx="4">
                  <c:v>ASA 150</c:v>
                </c:pt>
              </c:strCache>
            </c:strRef>
          </c:cat>
          <c:val>
            <c:numRef>
              <c:f>Sheet1!$E$196:$E$200</c:f>
              <c:numCache>
                <c:formatCode>General</c:formatCode>
                <c:ptCount val="5"/>
                <c:pt idx="0">
                  <c:v>54.6</c:v>
                </c:pt>
                <c:pt idx="1">
                  <c:v>45.6</c:v>
                </c:pt>
                <c:pt idx="2">
                  <c:v>32.200000000000003</c:v>
                </c:pt>
                <c:pt idx="3">
                  <c:v>26.4</c:v>
                </c:pt>
                <c:pt idx="4">
                  <c:v>15.8</c:v>
                </c:pt>
              </c:numCache>
            </c:numRef>
          </c:val>
        </c:ser>
        <c:dLbls>
          <c:showLegendKey val="0"/>
          <c:showVal val="0"/>
          <c:showCatName val="0"/>
          <c:showSerName val="0"/>
          <c:showPercent val="0"/>
          <c:showBubbleSize val="0"/>
        </c:dLbls>
        <c:gapWidth val="150"/>
        <c:overlap val="100"/>
        <c:axId val="463631888"/>
        <c:axId val="463629536"/>
      </c:barChart>
      <c:catAx>
        <c:axId val="463631888"/>
        <c:scaling>
          <c:orientation val="minMax"/>
        </c:scaling>
        <c:delete val="0"/>
        <c:axPos val="b"/>
        <c:title>
          <c:tx>
            <c:rich>
              <a:bodyPr/>
              <a:lstStyle/>
              <a:p>
                <a:pPr>
                  <a:defRPr/>
                </a:pPr>
                <a:r>
                  <a:rPr lang="en-US" sz="1200" b="0"/>
                  <a:t>Treatment</a:t>
                </a:r>
                <a:r>
                  <a:rPr lang="en-US" sz="1200" b="0" baseline="0"/>
                  <a:t> (mg/kg)</a:t>
                </a:r>
                <a:endParaRPr lang="en-US" sz="1200" b="0"/>
              </a:p>
            </c:rich>
          </c:tx>
          <c:overlay val="0"/>
        </c:title>
        <c:numFmt formatCode="General" sourceLinked="0"/>
        <c:majorTickMark val="out"/>
        <c:minorTickMark val="none"/>
        <c:tickLblPos val="nextTo"/>
        <c:crossAx val="463629536"/>
        <c:crosses val="autoZero"/>
        <c:auto val="1"/>
        <c:lblAlgn val="ctr"/>
        <c:lblOffset val="100"/>
        <c:noMultiLvlLbl val="0"/>
      </c:catAx>
      <c:valAx>
        <c:axId val="463629536"/>
        <c:scaling>
          <c:orientation val="minMax"/>
        </c:scaling>
        <c:delete val="0"/>
        <c:axPos val="l"/>
        <c:title>
          <c:tx>
            <c:rich>
              <a:bodyPr rot="-5400000" vert="horz"/>
              <a:lstStyle/>
              <a:p>
                <a:pPr>
                  <a:defRPr/>
                </a:pPr>
                <a:r>
                  <a:rPr lang="en-US" sz="1200" b="0"/>
                  <a:t>Number of writhes</a:t>
                </a:r>
              </a:p>
            </c:rich>
          </c:tx>
          <c:overlay val="0"/>
        </c:title>
        <c:numFmt formatCode="General" sourceLinked="1"/>
        <c:majorTickMark val="out"/>
        <c:minorTickMark val="none"/>
        <c:tickLblPos val="nextTo"/>
        <c:crossAx val="463631888"/>
        <c:crosses val="autoZero"/>
        <c:crossBetween val="between"/>
      </c:valAx>
    </c:plotArea>
    <c:plotVisOnly val="1"/>
    <c:dispBlanksAs val="gap"/>
    <c:showDLblsOverMax val="0"/>
  </c:chart>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19981971950475"/>
          <c:y val="4.3014906155598533E-2"/>
          <c:w val="0.6965709343961326"/>
          <c:h val="0.74172061825605329"/>
        </c:manualLayout>
      </c:layout>
      <c:barChart>
        <c:barDir val="col"/>
        <c:grouping val="clustered"/>
        <c:varyColors val="0"/>
        <c:ser>
          <c:idx val="0"/>
          <c:order val="0"/>
          <c:tx>
            <c:strRef>
              <c:f>Sheet1!$E$213</c:f>
              <c:strCache>
                <c:ptCount val="1"/>
                <c:pt idx="0">
                  <c:v>First Phase</c:v>
                </c:pt>
              </c:strCache>
            </c:strRef>
          </c:tx>
          <c:invertIfNegative val="0"/>
          <c:errBars>
            <c:errBarType val="both"/>
            <c:errValType val="cust"/>
            <c:noEndCap val="0"/>
            <c:plus>
              <c:numLit>
                <c:formatCode>General</c:formatCode>
                <c:ptCount val="5"/>
                <c:pt idx="0">
                  <c:v>9.52</c:v>
                </c:pt>
                <c:pt idx="1">
                  <c:v>3.8299999999999987</c:v>
                </c:pt>
                <c:pt idx="2">
                  <c:v>0.85000000000000064</c:v>
                </c:pt>
                <c:pt idx="3">
                  <c:v>3.59</c:v>
                </c:pt>
                <c:pt idx="4">
                  <c:v>2.0000000000000011E-2</c:v>
                </c:pt>
              </c:numLit>
            </c:plus>
            <c:minus>
              <c:numLit>
                <c:formatCode>General</c:formatCode>
                <c:ptCount val="5"/>
                <c:pt idx="0">
                  <c:v>9.52</c:v>
                </c:pt>
                <c:pt idx="1">
                  <c:v>3.8299999999999987</c:v>
                </c:pt>
                <c:pt idx="2">
                  <c:v>0.85000000000000064</c:v>
                </c:pt>
                <c:pt idx="3">
                  <c:v>3.59</c:v>
                </c:pt>
                <c:pt idx="4">
                  <c:v>2.0000000000000011E-2</c:v>
                </c:pt>
              </c:numLit>
            </c:minus>
          </c:errBars>
          <c:cat>
            <c:strRef>
              <c:f>Sheet1!$D$214:$D$218</c:f>
              <c:strCache>
                <c:ptCount val="5"/>
                <c:pt idx="0">
                  <c:v>Control</c:v>
                </c:pt>
                <c:pt idx="1">
                  <c:v>ETC 250</c:v>
                </c:pt>
                <c:pt idx="2">
                  <c:v>ETC 500</c:v>
                </c:pt>
                <c:pt idx="3">
                  <c:v>ETC 1000</c:v>
                </c:pt>
                <c:pt idx="4">
                  <c:v>Morphine 5</c:v>
                </c:pt>
              </c:strCache>
            </c:strRef>
          </c:cat>
          <c:val>
            <c:numRef>
              <c:f>Sheet1!$E$214:$E$218</c:f>
              <c:numCache>
                <c:formatCode>General</c:formatCode>
                <c:ptCount val="5"/>
                <c:pt idx="0">
                  <c:v>74.16</c:v>
                </c:pt>
                <c:pt idx="1">
                  <c:v>46.2</c:v>
                </c:pt>
                <c:pt idx="2">
                  <c:v>41.39</c:v>
                </c:pt>
                <c:pt idx="3">
                  <c:v>32.349999999999994</c:v>
                </c:pt>
                <c:pt idx="4">
                  <c:v>1</c:v>
                </c:pt>
              </c:numCache>
            </c:numRef>
          </c:val>
        </c:ser>
        <c:ser>
          <c:idx val="1"/>
          <c:order val="1"/>
          <c:tx>
            <c:strRef>
              <c:f>Sheet1!$F$213</c:f>
              <c:strCache>
                <c:ptCount val="1"/>
                <c:pt idx="0">
                  <c:v>Second Phase</c:v>
                </c:pt>
              </c:strCache>
            </c:strRef>
          </c:tx>
          <c:invertIfNegative val="0"/>
          <c:errBars>
            <c:errBarType val="both"/>
            <c:errValType val="cust"/>
            <c:noEndCap val="0"/>
            <c:plus>
              <c:numLit>
                <c:formatCode>General</c:formatCode>
                <c:ptCount val="5"/>
                <c:pt idx="0">
                  <c:v>2.98</c:v>
                </c:pt>
                <c:pt idx="1">
                  <c:v>5.31</c:v>
                </c:pt>
                <c:pt idx="2">
                  <c:v>9.1</c:v>
                </c:pt>
                <c:pt idx="3">
                  <c:v>5.6199999999999966</c:v>
                </c:pt>
                <c:pt idx="4">
                  <c:v>4.03</c:v>
                </c:pt>
              </c:numLit>
            </c:plus>
            <c:minus>
              <c:numLit>
                <c:formatCode>General</c:formatCode>
                <c:ptCount val="5"/>
                <c:pt idx="0">
                  <c:v>2.98</c:v>
                </c:pt>
                <c:pt idx="1">
                  <c:v>5.31</c:v>
                </c:pt>
                <c:pt idx="2">
                  <c:v>9.1</c:v>
                </c:pt>
                <c:pt idx="3">
                  <c:v>5.6199999999999966</c:v>
                </c:pt>
                <c:pt idx="4">
                  <c:v>4.03</c:v>
                </c:pt>
              </c:numLit>
            </c:minus>
          </c:errBars>
          <c:cat>
            <c:strRef>
              <c:f>Sheet1!$D$214:$D$218</c:f>
              <c:strCache>
                <c:ptCount val="5"/>
                <c:pt idx="0">
                  <c:v>Control</c:v>
                </c:pt>
                <c:pt idx="1">
                  <c:v>ETC 250</c:v>
                </c:pt>
                <c:pt idx="2">
                  <c:v>ETC 500</c:v>
                </c:pt>
                <c:pt idx="3">
                  <c:v>ETC 1000</c:v>
                </c:pt>
                <c:pt idx="4">
                  <c:v>Morphine 5</c:v>
                </c:pt>
              </c:strCache>
            </c:strRef>
          </c:cat>
          <c:val>
            <c:numRef>
              <c:f>Sheet1!$F$214:$F$218</c:f>
              <c:numCache>
                <c:formatCode>General</c:formatCode>
                <c:ptCount val="5"/>
                <c:pt idx="0">
                  <c:v>100.4</c:v>
                </c:pt>
                <c:pt idx="1">
                  <c:v>59.01</c:v>
                </c:pt>
                <c:pt idx="2">
                  <c:v>47.77</c:v>
                </c:pt>
                <c:pt idx="3">
                  <c:v>50.720000000000013</c:v>
                </c:pt>
                <c:pt idx="4">
                  <c:v>40.89</c:v>
                </c:pt>
              </c:numCache>
            </c:numRef>
          </c:val>
        </c:ser>
        <c:dLbls>
          <c:showLegendKey val="0"/>
          <c:showVal val="0"/>
          <c:showCatName val="0"/>
          <c:showSerName val="0"/>
          <c:showPercent val="0"/>
          <c:showBubbleSize val="0"/>
        </c:dLbls>
        <c:gapWidth val="150"/>
        <c:axId val="463625224"/>
        <c:axId val="463633848"/>
      </c:barChart>
      <c:catAx>
        <c:axId val="463625224"/>
        <c:scaling>
          <c:orientation val="minMax"/>
        </c:scaling>
        <c:delete val="0"/>
        <c:axPos val="b"/>
        <c:title>
          <c:tx>
            <c:rich>
              <a:bodyPr/>
              <a:lstStyle/>
              <a:p>
                <a:pPr>
                  <a:defRPr/>
                </a:pPr>
                <a:r>
                  <a:rPr lang="en-US" sz="1200" b="0"/>
                  <a:t>Treatment</a:t>
                </a:r>
                <a:r>
                  <a:rPr lang="en-US" sz="1200" b="0" baseline="0"/>
                  <a:t> (mg/kg)</a:t>
                </a:r>
                <a:endParaRPr lang="en-US" sz="1200" b="0"/>
              </a:p>
            </c:rich>
          </c:tx>
          <c:overlay val="0"/>
        </c:title>
        <c:numFmt formatCode="General" sourceLinked="0"/>
        <c:majorTickMark val="out"/>
        <c:minorTickMark val="none"/>
        <c:tickLblPos val="nextTo"/>
        <c:crossAx val="463633848"/>
        <c:crosses val="autoZero"/>
        <c:auto val="1"/>
        <c:lblAlgn val="ctr"/>
        <c:lblOffset val="100"/>
        <c:noMultiLvlLbl val="0"/>
      </c:catAx>
      <c:valAx>
        <c:axId val="463633848"/>
        <c:scaling>
          <c:orientation val="minMax"/>
        </c:scaling>
        <c:delete val="0"/>
        <c:axPos val="l"/>
        <c:title>
          <c:tx>
            <c:rich>
              <a:bodyPr rot="-5400000" vert="horz"/>
              <a:lstStyle/>
              <a:p>
                <a:pPr>
                  <a:defRPr/>
                </a:pPr>
                <a:r>
                  <a:rPr lang="en-US" sz="1200" b="0"/>
                  <a:t>Time</a:t>
                </a:r>
                <a:r>
                  <a:rPr lang="en-US" sz="1200" b="0" baseline="0"/>
                  <a:t> (s)</a:t>
                </a:r>
                <a:endParaRPr lang="en-US" sz="1200" b="0"/>
              </a:p>
            </c:rich>
          </c:tx>
          <c:layout>
            <c:manualLayout>
              <c:xMode val="edge"/>
              <c:yMode val="edge"/>
              <c:x val="1.3071895424836603E-2"/>
              <c:y val="0.32823585731028931"/>
            </c:manualLayout>
          </c:layout>
          <c:overlay val="0"/>
        </c:title>
        <c:numFmt formatCode="General" sourceLinked="1"/>
        <c:majorTickMark val="out"/>
        <c:minorTickMark val="none"/>
        <c:tickLblPos val="nextTo"/>
        <c:crossAx val="463625224"/>
        <c:crosses val="autoZero"/>
        <c:crossBetween val="between"/>
      </c:valAx>
    </c:plotArea>
    <c:legend>
      <c:legendPos val="r"/>
      <c:layout>
        <c:manualLayout>
          <c:xMode val="edge"/>
          <c:yMode val="edge"/>
          <c:x val="0.79334712572692945"/>
          <c:y val="0.29000874890638678"/>
          <c:w val="0.20256793413476246"/>
          <c:h val="0.15163868667359975"/>
        </c:manualLayout>
      </c:layout>
      <c:overlay val="0"/>
    </c:legend>
    <c:plotVisOnly val="1"/>
    <c:dispBlanksAs val="gap"/>
    <c:showDLblsOverMax val="0"/>
  </c:chart>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Sheet1!$F$315</c:f>
              <c:strCache>
                <c:ptCount val="1"/>
                <c:pt idx="0">
                  <c:v>Non-Inflammed Paw</c:v>
                </c:pt>
              </c:strCache>
            </c:strRef>
          </c:tx>
          <c:invertIfNegative val="0"/>
          <c:errBars>
            <c:errBarType val="both"/>
            <c:errValType val="cust"/>
            <c:noEndCap val="0"/>
            <c:plus>
              <c:numLit>
                <c:formatCode>General</c:formatCode>
                <c:ptCount val="6"/>
                <c:pt idx="0">
                  <c:v>5.24</c:v>
                </c:pt>
                <c:pt idx="1">
                  <c:v>5.23</c:v>
                </c:pt>
                <c:pt idx="2">
                  <c:v>4.83</c:v>
                </c:pt>
                <c:pt idx="3">
                  <c:v>7.17</c:v>
                </c:pt>
                <c:pt idx="4">
                  <c:v>6.14</c:v>
                </c:pt>
                <c:pt idx="5">
                  <c:v>7.6899999999999995</c:v>
                </c:pt>
              </c:numLit>
            </c:plus>
            <c:minus>
              <c:numLit>
                <c:formatCode>General</c:formatCode>
                <c:ptCount val="6"/>
                <c:pt idx="0">
                  <c:v>5.24</c:v>
                </c:pt>
                <c:pt idx="1">
                  <c:v>5.23</c:v>
                </c:pt>
                <c:pt idx="2">
                  <c:v>4.83</c:v>
                </c:pt>
                <c:pt idx="3">
                  <c:v>7.17</c:v>
                </c:pt>
                <c:pt idx="4">
                  <c:v>6.14</c:v>
                </c:pt>
                <c:pt idx="5">
                  <c:v>7.6899999999999995</c:v>
                </c:pt>
              </c:numLit>
            </c:minus>
          </c:errBars>
          <c:cat>
            <c:strRef>
              <c:f>Sheet1!$E$316:$E$321</c:f>
              <c:strCache>
                <c:ptCount val="6"/>
                <c:pt idx="0">
                  <c:v>Control</c:v>
                </c:pt>
                <c:pt idx="1">
                  <c:v>ETC 250</c:v>
                </c:pt>
                <c:pt idx="2">
                  <c:v>ETC 500</c:v>
                </c:pt>
                <c:pt idx="3">
                  <c:v>ETC 1000</c:v>
                </c:pt>
                <c:pt idx="4">
                  <c:v>ASA 100</c:v>
                </c:pt>
                <c:pt idx="5">
                  <c:v>Morphine 1</c:v>
                </c:pt>
              </c:strCache>
            </c:strRef>
          </c:cat>
          <c:val>
            <c:numRef>
              <c:f>Sheet1!$F$316:$F$321</c:f>
              <c:numCache>
                <c:formatCode>General</c:formatCode>
                <c:ptCount val="6"/>
                <c:pt idx="0">
                  <c:v>144.80000000000001</c:v>
                </c:pt>
                <c:pt idx="1">
                  <c:v>146.80000000000001</c:v>
                </c:pt>
                <c:pt idx="2">
                  <c:v>152.6</c:v>
                </c:pt>
                <c:pt idx="3">
                  <c:v>156.4</c:v>
                </c:pt>
                <c:pt idx="4">
                  <c:v>147.6</c:v>
                </c:pt>
                <c:pt idx="5">
                  <c:v>166</c:v>
                </c:pt>
              </c:numCache>
            </c:numRef>
          </c:val>
        </c:ser>
        <c:ser>
          <c:idx val="1"/>
          <c:order val="1"/>
          <c:tx>
            <c:strRef>
              <c:f>Sheet1!$G$315</c:f>
              <c:strCache>
                <c:ptCount val="1"/>
                <c:pt idx="0">
                  <c:v>Inflammed Paw</c:v>
                </c:pt>
              </c:strCache>
            </c:strRef>
          </c:tx>
          <c:invertIfNegative val="0"/>
          <c:errBars>
            <c:errBarType val="both"/>
            <c:errValType val="cust"/>
            <c:noEndCap val="0"/>
            <c:plus>
              <c:numLit>
                <c:formatCode>General</c:formatCode>
                <c:ptCount val="6"/>
                <c:pt idx="0">
                  <c:v>3.46</c:v>
                </c:pt>
                <c:pt idx="1">
                  <c:v>5.54</c:v>
                </c:pt>
                <c:pt idx="2">
                  <c:v>6.4700000000000024</c:v>
                </c:pt>
                <c:pt idx="3">
                  <c:v>7.26</c:v>
                </c:pt>
                <c:pt idx="4">
                  <c:v>5.75</c:v>
                </c:pt>
                <c:pt idx="5">
                  <c:v>7.8199999999999985</c:v>
                </c:pt>
              </c:numLit>
            </c:plus>
            <c:minus>
              <c:numLit>
                <c:formatCode>General</c:formatCode>
                <c:ptCount val="6"/>
                <c:pt idx="0">
                  <c:v>3.46</c:v>
                </c:pt>
                <c:pt idx="1">
                  <c:v>5.54</c:v>
                </c:pt>
                <c:pt idx="2">
                  <c:v>6.4700000000000024</c:v>
                </c:pt>
                <c:pt idx="3">
                  <c:v>7.26</c:v>
                </c:pt>
                <c:pt idx="4">
                  <c:v>5.75</c:v>
                </c:pt>
                <c:pt idx="5">
                  <c:v>7.8199999999999985</c:v>
                </c:pt>
              </c:numLit>
            </c:minus>
          </c:errBars>
          <c:cat>
            <c:strRef>
              <c:f>Sheet1!$E$316:$E$321</c:f>
              <c:strCache>
                <c:ptCount val="6"/>
                <c:pt idx="0">
                  <c:v>Control</c:v>
                </c:pt>
                <c:pt idx="1">
                  <c:v>ETC 250</c:v>
                </c:pt>
                <c:pt idx="2">
                  <c:v>ETC 500</c:v>
                </c:pt>
                <c:pt idx="3">
                  <c:v>ETC 1000</c:v>
                </c:pt>
                <c:pt idx="4">
                  <c:v>ASA 100</c:v>
                </c:pt>
                <c:pt idx="5">
                  <c:v>Morphine 1</c:v>
                </c:pt>
              </c:strCache>
            </c:strRef>
          </c:cat>
          <c:val>
            <c:numRef>
              <c:f>Sheet1!$G$316:$G$321</c:f>
              <c:numCache>
                <c:formatCode>General</c:formatCode>
                <c:ptCount val="6"/>
                <c:pt idx="0">
                  <c:v>72</c:v>
                </c:pt>
                <c:pt idx="1">
                  <c:v>85.8</c:v>
                </c:pt>
                <c:pt idx="2">
                  <c:v>114.2</c:v>
                </c:pt>
                <c:pt idx="3">
                  <c:v>121.2</c:v>
                </c:pt>
                <c:pt idx="4">
                  <c:v>132.80000000000001</c:v>
                </c:pt>
                <c:pt idx="5">
                  <c:v>185.4</c:v>
                </c:pt>
              </c:numCache>
            </c:numRef>
          </c:val>
        </c:ser>
        <c:dLbls>
          <c:showLegendKey val="0"/>
          <c:showVal val="0"/>
          <c:showCatName val="0"/>
          <c:showSerName val="0"/>
          <c:showPercent val="0"/>
          <c:showBubbleSize val="0"/>
        </c:dLbls>
        <c:gapWidth val="150"/>
        <c:axId val="463639728"/>
        <c:axId val="463640512"/>
      </c:barChart>
      <c:catAx>
        <c:axId val="463639728"/>
        <c:scaling>
          <c:orientation val="minMax"/>
        </c:scaling>
        <c:delete val="0"/>
        <c:axPos val="b"/>
        <c:title>
          <c:tx>
            <c:rich>
              <a:bodyPr/>
              <a:lstStyle/>
              <a:p>
                <a:pPr>
                  <a:defRPr/>
                </a:pPr>
                <a:r>
                  <a:rPr lang="en-US" sz="1200" b="0"/>
                  <a:t>Treatment</a:t>
                </a:r>
                <a:r>
                  <a:rPr lang="en-US" sz="1200" b="0" baseline="0"/>
                  <a:t> (mg/kg)</a:t>
                </a:r>
                <a:endParaRPr lang="en-US" sz="1200" b="0"/>
              </a:p>
            </c:rich>
          </c:tx>
          <c:overlay val="0"/>
        </c:title>
        <c:numFmt formatCode="General" sourceLinked="0"/>
        <c:majorTickMark val="out"/>
        <c:minorTickMark val="none"/>
        <c:tickLblPos val="nextTo"/>
        <c:crossAx val="463640512"/>
        <c:crosses val="autoZero"/>
        <c:auto val="1"/>
        <c:lblAlgn val="ctr"/>
        <c:lblOffset val="100"/>
        <c:noMultiLvlLbl val="0"/>
      </c:catAx>
      <c:valAx>
        <c:axId val="463640512"/>
        <c:scaling>
          <c:orientation val="minMax"/>
        </c:scaling>
        <c:delete val="0"/>
        <c:axPos val="l"/>
        <c:title>
          <c:tx>
            <c:rich>
              <a:bodyPr rot="-5400000" vert="horz"/>
              <a:lstStyle/>
              <a:p>
                <a:pPr>
                  <a:defRPr/>
                </a:pPr>
                <a:r>
                  <a:rPr lang="en-US" sz="1200" b="0"/>
                  <a:t>Paw</a:t>
                </a:r>
                <a:r>
                  <a:rPr lang="en-US" sz="1200" b="0" baseline="0"/>
                  <a:t> withdrawal latency (g)</a:t>
                </a:r>
                <a:endParaRPr lang="en-US" sz="1200" b="0"/>
              </a:p>
            </c:rich>
          </c:tx>
          <c:overlay val="0"/>
        </c:title>
        <c:numFmt formatCode="General" sourceLinked="1"/>
        <c:majorTickMark val="out"/>
        <c:minorTickMark val="none"/>
        <c:tickLblPos val="nextTo"/>
        <c:crossAx val="463639728"/>
        <c:crosses val="autoZero"/>
        <c:crossBetween val="between"/>
      </c:valAx>
      <c:spPr>
        <a:noFill/>
        <a:ln w="25400">
          <a:noFill/>
        </a:ln>
      </c:spPr>
    </c:plotArea>
    <c:legend>
      <c:legendPos val="r"/>
      <c:layout>
        <c:manualLayout>
          <c:xMode val="edge"/>
          <c:yMode val="edge"/>
          <c:x val="0.73526255296519305"/>
          <c:y val="0.19965452755905475"/>
          <c:w val="0.21340655666449382"/>
          <c:h val="0.11965534084914324"/>
        </c:manualLayout>
      </c:layout>
      <c:overlay val="0"/>
    </c:legend>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0.37773</cdr:x>
      <cdr:y>0.24138</cdr:y>
    </cdr:from>
    <cdr:to>
      <cdr:x>0.44542</cdr:x>
      <cdr:y>0.31755</cdr:y>
    </cdr:to>
    <cdr:sp macro="" textlink="">
      <cdr:nvSpPr>
        <cdr:cNvPr id="2" name="TextBox 1"/>
        <cdr:cNvSpPr txBox="1"/>
      </cdr:nvSpPr>
      <cdr:spPr>
        <a:xfrm xmlns:a="http://schemas.openxmlformats.org/drawingml/2006/main">
          <a:off x="1647828" y="825388"/>
          <a:ext cx="295294" cy="2604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0.53712</cdr:x>
      <cdr:y>0.3454</cdr:y>
    </cdr:from>
    <cdr:to>
      <cdr:x>0.6048</cdr:x>
      <cdr:y>0.42897</cdr:y>
    </cdr:to>
    <cdr:sp macro="" textlink="">
      <cdr:nvSpPr>
        <cdr:cNvPr id="3" name="TextBox 2"/>
        <cdr:cNvSpPr txBox="1"/>
      </cdr:nvSpPr>
      <cdr:spPr>
        <a:xfrm xmlns:a="http://schemas.openxmlformats.org/drawingml/2006/main">
          <a:off x="2343152" y="1181100"/>
          <a:ext cx="295275" cy="2857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0.85808</cdr:x>
      <cdr:y>0.40947</cdr:y>
    </cdr:from>
    <cdr:to>
      <cdr:x>0.9214</cdr:x>
      <cdr:y>0.52646</cdr:y>
    </cdr:to>
    <cdr:sp macro="" textlink="">
      <cdr:nvSpPr>
        <cdr:cNvPr id="4" name="TextBox 3"/>
        <cdr:cNvSpPr txBox="1"/>
      </cdr:nvSpPr>
      <cdr:spPr>
        <a:xfrm xmlns:a="http://schemas.openxmlformats.org/drawingml/2006/main">
          <a:off x="3743327" y="1400177"/>
          <a:ext cx="276225" cy="4000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0.6956</cdr:x>
      <cdr:y>0.43306</cdr:y>
    </cdr:from>
    <cdr:to>
      <cdr:x>0.73455</cdr:x>
      <cdr:y>0.48276</cdr:y>
    </cdr:to>
    <cdr:sp macro="" textlink="">
      <cdr:nvSpPr>
        <cdr:cNvPr id="5" name="Text Box 4"/>
        <cdr:cNvSpPr txBox="1"/>
      </cdr:nvSpPr>
      <cdr:spPr>
        <a:xfrm xmlns:a="http://schemas.openxmlformats.org/drawingml/2006/main">
          <a:off x="3034513" y="1480842"/>
          <a:ext cx="169933" cy="1699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t>
          </a:r>
        </a:p>
      </cdr:txBody>
    </cdr:sp>
  </cdr:relSizeAnchor>
</c:userShapes>
</file>

<file path=word/drawings/drawing2.xml><?xml version="1.0" encoding="utf-8"?>
<c:userShapes xmlns:c="http://schemas.openxmlformats.org/drawingml/2006/chart">
  <cdr:relSizeAnchor xmlns:cdr="http://schemas.openxmlformats.org/drawingml/2006/chartDrawing">
    <cdr:from>
      <cdr:x>0.37949</cdr:x>
      <cdr:y>0.21321</cdr:y>
    </cdr:from>
    <cdr:to>
      <cdr:x>0.43683</cdr:x>
      <cdr:y>0.26727</cdr:y>
    </cdr:to>
    <cdr:sp macro="" textlink="">
      <cdr:nvSpPr>
        <cdr:cNvPr id="2" name="TextBox 1"/>
        <cdr:cNvSpPr txBox="1"/>
      </cdr:nvSpPr>
      <cdr:spPr>
        <a:xfrm xmlns:a="http://schemas.openxmlformats.org/drawingml/2006/main">
          <a:off x="1615755" y="712831"/>
          <a:ext cx="244132" cy="18071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0.68119</cdr:x>
      <cdr:y>0.37838</cdr:y>
    </cdr:from>
    <cdr:to>
      <cdr:x>0.90138</cdr:x>
      <cdr:y>0.63784</cdr:y>
    </cdr:to>
    <cdr:sp macro="" textlink="">
      <cdr:nvSpPr>
        <cdr:cNvPr id="3" name="TextBox 2"/>
        <cdr:cNvSpPr txBox="1"/>
      </cdr:nvSpPr>
      <cdr:spPr>
        <a:xfrm xmlns:a="http://schemas.openxmlformats.org/drawingml/2006/main">
          <a:off x="2828925" y="1333500"/>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0.69898</cdr:x>
      <cdr:y>0.2566</cdr:y>
    </cdr:from>
    <cdr:to>
      <cdr:x>0.75632</cdr:x>
      <cdr:y>0.33768</cdr:y>
    </cdr:to>
    <cdr:sp macro="" textlink="">
      <cdr:nvSpPr>
        <cdr:cNvPr id="4" name="TextBox 3"/>
        <cdr:cNvSpPr txBox="1"/>
      </cdr:nvSpPr>
      <cdr:spPr>
        <a:xfrm xmlns:a="http://schemas.openxmlformats.org/drawingml/2006/main">
          <a:off x="2976017" y="857895"/>
          <a:ext cx="244132" cy="27107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0.85757</cdr:x>
      <cdr:y>0.22702</cdr:y>
    </cdr:from>
    <cdr:to>
      <cdr:x>0.91032</cdr:x>
      <cdr:y>0.31351</cdr:y>
    </cdr:to>
    <cdr:sp macro="" textlink="">
      <cdr:nvSpPr>
        <cdr:cNvPr id="6" name="TextBox 5"/>
        <cdr:cNvSpPr txBox="1"/>
      </cdr:nvSpPr>
      <cdr:spPr>
        <a:xfrm xmlns:a="http://schemas.openxmlformats.org/drawingml/2006/main">
          <a:off x="3651265" y="758989"/>
          <a:ext cx="224602" cy="289147"/>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0.71091</cdr:x>
      <cdr:y>0.27179</cdr:y>
    </cdr:from>
    <cdr:to>
      <cdr:x>0.76825</cdr:x>
      <cdr:y>0.35287</cdr:y>
    </cdr:to>
    <cdr:sp macro="" textlink="">
      <cdr:nvSpPr>
        <cdr:cNvPr id="7" name="TextBox 3"/>
        <cdr:cNvSpPr txBox="1"/>
      </cdr:nvSpPr>
      <cdr:spPr>
        <a:xfrm xmlns:a="http://schemas.openxmlformats.org/drawingml/2006/main">
          <a:off x="3026830" y="908684"/>
          <a:ext cx="244135" cy="271073"/>
        </a:xfrm>
        <a:prstGeom xmlns:a="http://schemas.openxmlformats.org/drawingml/2006/main" prst="rect">
          <a:avLst/>
        </a:prstGeom>
      </cdr:spPr>
    </cdr:sp>
  </cdr:relSizeAnchor>
  <cdr:relSizeAnchor xmlns:cdr="http://schemas.openxmlformats.org/drawingml/2006/chartDrawing">
    <cdr:from>
      <cdr:x>0.57397</cdr:x>
      <cdr:y>0.2251</cdr:y>
    </cdr:from>
    <cdr:to>
      <cdr:x>0.78874</cdr:x>
      <cdr:y>0.34128</cdr:y>
    </cdr:to>
    <cdr:sp macro="" textlink="">
      <cdr:nvSpPr>
        <cdr:cNvPr id="5" name="Text Box 4"/>
        <cdr:cNvSpPr txBox="1"/>
      </cdr:nvSpPr>
      <cdr:spPr>
        <a:xfrm xmlns:a="http://schemas.openxmlformats.org/drawingml/2006/main">
          <a:off x="2443795" y="752560"/>
          <a:ext cx="914400" cy="3884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0.54927</cdr:x>
      <cdr:y>0.21299</cdr:y>
    </cdr:from>
    <cdr:to>
      <cdr:x>0.61199</cdr:x>
      <cdr:y>0.29529</cdr:y>
    </cdr:to>
    <cdr:sp macro="" textlink="">
      <cdr:nvSpPr>
        <cdr:cNvPr id="8" name="Text Box 7"/>
        <cdr:cNvSpPr txBox="1"/>
      </cdr:nvSpPr>
      <cdr:spPr>
        <a:xfrm xmlns:a="http://schemas.openxmlformats.org/drawingml/2006/main">
          <a:off x="2338598" y="712100"/>
          <a:ext cx="267037" cy="2751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t>
          </a:r>
        </a:p>
      </cdr:txBody>
    </cdr:sp>
  </cdr:relSizeAnchor>
</c:userShapes>
</file>

<file path=word/drawings/drawing3.xml><?xml version="1.0" encoding="utf-8"?>
<c:userShapes xmlns:c="http://schemas.openxmlformats.org/drawingml/2006/chart">
  <cdr:relSizeAnchor xmlns:cdr="http://schemas.openxmlformats.org/drawingml/2006/chartDrawing">
    <cdr:from>
      <cdr:x>0.48297</cdr:x>
      <cdr:y>0.31461</cdr:y>
    </cdr:from>
    <cdr:to>
      <cdr:x>0.55347</cdr:x>
      <cdr:y>0.4073</cdr:y>
    </cdr:to>
    <cdr:sp macro="" textlink="">
      <cdr:nvSpPr>
        <cdr:cNvPr id="2" name="TextBox 1"/>
        <cdr:cNvSpPr txBox="1"/>
      </cdr:nvSpPr>
      <cdr:spPr>
        <a:xfrm xmlns:a="http://schemas.openxmlformats.org/drawingml/2006/main">
          <a:off x="2709584" y="1066811"/>
          <a:ext cx="395520" cy="31430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0.59413</cdr:x>
      <cdr:y>0.30337</cdr:y>
    </cdr:from>
    <cdr:to>
      <cdr:x>0.64793</cdr:x>
      <cdr:y>0.40169</cdr:y>
    </cdr:to>
    <cdr:sp macro="" textlink="">
      <cdr:nvSpPr>
        <cdr:cNvPr id="3" name="TextBox 2"/>
        <cdr:cNvSpPr txBox="1"/>
      </cdr:nvSpPr>
      <cdr:spPr>
        <a:xfrm xmlns:a="http://schemas.openxmlformats.org/drawingml/2006/main">
          <a:off x="2716362" y="832205"/>
          <a:ext cx="245974" cy="26971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0.69167</cdr:x>
      <cdr:y>0.13202</cdr:y>
    </cdr:from>
    <cdr:to>
      <cdr:x>0.76589</cdr:x>
      <cdr:y>0.24438</cdr:y>
    </cdr:to>
    <cdr:sp macro="" textlink="">
      <cdr:nvSpPr>
        <cdr:cNvPr id="4" name="TextBox 3"/>
        <cdr:cNvSpPr txBox="1"/>
      </cdr:nvSpPr>
      <cdr:spPr>
        <a:xfrm xmlns:a="http://schemas.openxmlformats.org/drawingml/2006/main">
          <a:off x="3162315" y="362157"/>
          <a:ext cx="339334" cy="30822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0.45455</cdr:x>
      <cdr:y>0.71348</cdr:y>
    </cdr:from>
    <cdr:to>
      <cdr:x>0.52876</cdr:x>
      <cdr:y>0.76966</cdr:y>
    </cdr:to>
    <cdr:sp macro="" textlink="">
      <cdr:nvSpPr>
        <cdr:cNvPr id="5" name="TextBox 4"/>
        <cdr:cNvSpPr txBox="1"/>
      </cdr:nvSpPr>
      <cdr:spPr>
        <a:xfrm xmlns:a="http://schemas.openxmlformats.org/drawingml/2006/main">
          <a:off x="2333624" y="2419350"/>
          <a:ext cx="381000" cy="1905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0.43785</cdr:x>
      <cdr:y>0.66011</cdr:y>
    </cdr:from>
    <cdr:to>
      <cdr:x>0.50649</cdr:x>
      <cdr:y>0.77247</cdr:y>
    </cdr:to>
    <cdr:sp macro="" textlink="">
      <cdr:nvSpPr>
        <cdr:cNvPr id="6" name="TextBox 5"/>
        <cdr:cNvSpPr txBox="1"/>
      </cdr:nvSpPr>
      <cdr:spPr>
        <a:xfrm xmlns:a="http://schemas.openxmlformats.org/drawingml/2006/main">
          <a:off x="2247899" y="2238375"/>
          <a:ext cx="352425" cy="3810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0.52013</cdr:x>
      <cdr:y>0.40037</cdr:y>
    </cdr:from>
    <cdr:to>
      <cdr:x>0.59063</cdr:x>
      <cdr:y>0.49306</cdr:y>
    </cdr:to>
    <cdr:sp macro="" textlink="">
      <cdr:nvSpPr>
        <cdr:cNvPr id="7" name="TextBox 1"/>
        <cdr:cNvSpPr txBox="1"/>
      </cdr:nvSpPr>
      <cdr:spPr>
        <a:xfrm xmlns:a="http://schemas.openxmlformats.org/drawingml/2006/main">
          <a:off x="2308671" y="1220339"/>
          <a:ext cx="312925" cy="28251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0.85514</cdr:x>
      <cdr:y>0.57073</cdr:y>
    </cdr:from>
    <cdr:to>
      <cdr:x>0.90894</cdr:x>
      <cdr:y>0.66905</cdr:y>
    </cdr:to>
    <cdr:sp macro="" textlink="">
      <cdr:nvSpPr>
        <cdr:cNvPr id="8" name="TextBox 2"/>
        <cdr:cNvSpPr txBox="1"/>
      </cdr:nvSpPr>
      <cdr:spPr>
        <a:xfrm xmlns:a="http://schemas.openxmlformats.org/drawingml/2006/main">
          <a:off x="3795651" y="1739589"/>
          <a:ext cx="238799" cy="29967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0.67867</cdr:x>
      <cdr:y>0.47577</cdr:y>
    </cdr:from>
    <cdr:to>
      <cdr:x>0.75289</cdr:x>
      <cdr:y>0.58813</cdr:y>
    </cdr:to>
    <cdr:sp macro="" textlink="">
      <cdr:nvSpPr>
        <cdr:cNvPr id="9" name="TextBox 3"/>
        <cdr:cNvSpPr txBox="1"/>
      </cdr:nvSpPr>
      <cdr:spPr>
        <a:xfrm xmlns:a="http://schemas.openxmlformats.org/drawingml/2006/main">
          <a:off x="3012385" y="1305132"/>
          <a:ext cx="329435" cy="30822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0.45455</cdr:x>
      <cdr:y>0.71348</cdr:y>
    </cdr:from>
    <cdr:to>
      <cdr:x>0.52876</cdr:x>
      <cdr:y>0.76966</cdr:y>
    </cdr:to>
    <cdr:sp macro="" textlink="">
      <cdr:nvSpPr>
        <cdr:cNvPr id="10" name="TextBox 4"/>
        <cdr:cNvSpPr txBox="1"/>
      </cdr:nvSpPr>
      <cdr:spPr>
        <a:xfrm xmlns:a="http://schemas.openxmlformats.org/drawingml/2006/main">
          <a:off x="2333624" y="2419350"/>
          <a:ext cx="381000" cy="1905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0.43785</cdr:x>
      <cdr:y>0.66011</cdr:y>
    </cdr:from>
    <cdr:to>
      <cdr:x>0.50649</cdr:x>
      <cdr:y>0.77247</cdr:y>
    </cdr:to>
    <cdr:sp macro="" textlink="">
      <cdr:nvSpPr>
        <cdr:cNvPr id="11" name="TextBox 5"/>
        <cdr:cNvSpPr txBox="1"/>
      </cdr:nvSpPr>
      <cdr:spPr>
        <a:xfrm xmlns:a="http://schemas.openxmlformats.org/drawingml/2006/main">
          <a:off x="2247899" y="2238375"/>
          <a:ext cx="352425" cy="3810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0.35214</cdr:x>
      <cdr:y>0.27431</cdr:y>
    </cdr:from>
    <cdr:to>
      <cdr:x>0.41464</cdr:x>
      <cdr:y>0.42014</cdr:y>
    </cdr:to>
    <cdr:sp macro="" textlink="">
      <cdr:nvSpPr>
        <cdr:cNvPr id="12" name="TextBox 11"/>
        <cdr:cNvSpPr txBox="1"/>
      </cdr:nvSpPr>
      <cdr:spPr>
        <a:xfrm xmlns:a="http://schemas.openxmlformats.org/drawingml/2006/main">
          <a:off x="1563045" y="752475"/>
          <a:ext cx="277416" cy="4000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0.3445</cdr:x>
      <cdr:y>0.24653</cdr:y>
    </cdr:from>
    <cdr:to>
      <cdr:x>0.40283</cdr:x>
      <cdr:y>0.38542</cdr:y>
    </cdr:to>
    <cdr:sp macro="" textlink="">
      <cdr:nvSpPr>
        <cdr:cNvPr id="13" name="TextBox 12"/>
        <cdr:cNvSpPr txBox="1"/>
      </cdr:nvSpPr>
      <cdr:spPr>
        <a:xfrm xmlns:a="http://schemas.openxmlformats.org/drawingml/2006/main">
          <a:off x="1529119" y="676274"/>
          <a:ext cx="258922" cy="38100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userShapes>
</file>

<file path=word/drawings/drawing4.xml><?xml version="1.0" encoding="utf-8"?>
<c:userShapes xmlns:c="http://schemas.openxmlformats.org/drawingml/2006/chart">
  <cdr:relSizeAnchor xmlns:cdr="http://schemas.openxmlformats.org/drawingml/2006/chartDrawing">
    <cdr:from>
      <cdr:x>0.28505</cdr:x>
      <cdr:y>0.42138</cdr:y>
    </cdr:from>
    <cdr:to>
      <cdr:x>0.33505</cdr:x>
      <cdr:y>0.5</cdr:y>
    </cdr:to>
    <cdr:sp macro="" textlink="">
      <cdr:nvSpPr>
        <cdr:cNvPr id="2" name="TextBox 1"/>
        <cdr:cNvSpPr txBox="1"/>
      </cdr:nvSpPr>
      <cdr:spPr>
        <a:xfrm xmlns:a="http://schemas.openxmlformats.org/drawingml/2006/main">
          <a:off x="1384698" y="1276350"/>
          <a:ext cx="242888" cy="23812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0.32672</cdr:x>
      <cdr:y>0.3239</cdr:y>
    </cdr:from>
    <cdr:to>
      <cdr:x>0.3902</cdr:x>
      <cdr:y>0.40881</cdr:y>
    </cdr:to>
    <cdr:sp macro="" textlink="">
      <cdr:nvSpPr>
        <cdr:cNvPr id="3" name="TextBox 2"/>
        <cdr:cNvSpPr txBox="1"/>
      </cdr:nvSpPr>
      <cdr:spPr>
        <a:xfrm xmlns:a="http://schemas.openxmlformats.org/drawingml/2006/main">
          <a:off x="1587105" y="981075"/>
          <a:ext cx="308370" cy="2571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0.38958</cdr:x>
      <cdr:y>0.42138</cdr:y>
    </cdr:from>
    <cdr:to>
      <cdr:x>0.58958</cdr:x>
      <cdr:y>0.72327</cdr:y>
    </cdr:to>
    <cdr:sp macro="" textlink="">
      <cdr:nvSpPr>
        <cdr:cNvPr id="4" name="TextBox 3"/>
        <cdr:cNvSpPr txBox="1"/>
      </cdr:nvSpPr>
      <cdr:spPr>
        <a:xfrm xmlns:a="http://schemas.openxmlformats.org/drawingml/2006/main">
          <a:off x="1781177" y="1276350"/>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0.42451</cdr:x>
      <cdr:y>0.45598</cdr:y>
    </cdr:from>
    <cdr:to>
      <cdr:x>0.46471</cdr:x>
      <cdr:y>0.53774</cdr:y>
    </cdr:to>
    <cdr:sp macro="" textlink="">
      <cdr:nvSpPr>
        <cdr:cNvPr id="5" name="TextBox 4"/>
        <cdr:cNvSpPr txBox="1"/>
      </cdr:nvSpPr>
      <cdr:spPr>
        <a:xfrm xmlns:a="http://schemas.openxmlformats.org/drawingml/2006/main">
          <a:off x="2062163" y="1381126"/>
          <a:ext cx="195261" cy="2476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0.45</cdr:x>
      <cdr:y>0.39308</cdr:y>
    </cdr:from>
    <cdr:to>
      <cdr:x>0.65</cdr:x>
      <cdr:y>0.69497</cdr:y>
    </cdr:to>
    <cdr:sp macro="" textlink="">
      <cdr:nvSpPr>
        <cdr:cNvPr id="6" name="TextBox 5"/>
        <cdr:cNvSpPr txBox="1"/>
      </cdr:nvSpPr>
      <cdr:spPr>
        <a:xfrm xmlns:a="http://schemas.openxmlformats.org/drawingml/2006/main">
          <a:off x="2057402" y="119062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0.4625</cdr:x>
      <cdr:y>0.37107</cdr:y>
    </cdr:from>
    <cdr:to>
      <cdr:x>0.53333</cdr:x>
      <cdr:y>0.46541</cdr:y>
    </cdr:to>
    <cdr:sp macro="" textlink="">
      <cdr:nvSpPr>
        <cdr:cNvPr id="7" name="TextBox 6"/>
        <cdr:cNvSpPr txBox="1"/>
      </cdr:nvSpPr>
      <cdr:spPr>
        <a:xfrm xmlns:a="http://schemas.openxmlformats.org/drawingml/2006/main">
          <a:off x="2246710" y="1123951"/>
          <a:ext cx="344089" cy="2857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0.56042</cdr:x>
      <cdr:y>0.50314</cdr:y>
    </cdr:from>
    <cdr:to>
      <cdr:x>0.61176</cdr:x>
      <cdr:y>0.58176</cdr:y>
    </cdr:to>
    <cdr:sp macro="" textlink="">
      <cdr:nvSpPr>
        <cdr:cNvPr id="8" name="TextBox 7"/>
        <cdr:cNvSpPr txBox="1"/>
      </cdr:nvSpPr>
      <cdr:spPr>
        <a:xfrm xmlns:a="http://schemas.openxmlformats.org/drawingml/2006/main">
          <a:off x="2722364" y="1524000"/>
          <a:ext cx="249435" cy="23812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0.60392</cdr:x>
      <cdr:y>0.3805</cdr:y>
    </cdr:from>
    <cdr:to>
      <cdr:x>0.65306</cdr:x>
      <cdr:y>0.46226</cdr:y>
    </cdr:to>
    <cdr:sp macro="" textlink="">
      <cdr:nvSpPr>
        <cdr:cNvPr id="9" name="TextBox 8"/>
        <cdr:cNvSpPr txBox="1"/>
      </cdr:nvSpPr>
      <cdr:spPr>
        <a:xfrm xmlns:a="http://schemas.openxmlformats.org/drawingml/2006/main">
          <a:off x="2933701" y="1152526"/>
          <a:ext cx="238720" cy="2476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0.725</cdr:x>
      <cdr:y>0.46289</cdr:y>
    </cdr:from>
    <cdr:to>
      <cdr:x>0.735</cdr:x>
      <cdr:y>0.47799</cdr:y>
    </cdr:to>
    <cdr:sp macro="" textlink="">
      <cdr:nvSpPr>
        <cdr:cNvPr id="10" name="TextBox 9"/>
        <cdr:cNvSpPr txBox="1"/>
      </cdr:nvSpPr>
      <cdr:spPr>
        <a:xfrm xmlns:a="http://schemas.openxmlformats.org/drawingml/2006/main">
          <a:off x="3314702" y="1402081"/>
          <a:ext cx="45719" cy="4571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0.74338</cdr:x>
      <cdr:y>0.4434</cdr:y>
    </cdr:from>
    <cdr:to>
      <cdr:x>0.79963</cdr:x>
      <cdr:y>0.51572</cdr:y>
    </cdr:to>
    <cdr:sp macro="" textlink="">
      <cdr:nvSpPr>
        <cdr:cNvPr id="11" name="TextBox 10"/>
        <cdr:cNvSpPr txBox="1"/>
      </cdr:nvSpPr>
      <cdr:spPr>
        <a:xfrm xmlns:a="http://schemas.openxmlformats.org/drawingml/2006/main">
          <a:off x="3611166" y="1343026"/>
          <a:ext cx="273249" cy="21907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0.70601</cdr:x>
      <cdr:y>0.70126</cdr:y>
    </cdr:from>
    <cdr:to>
      <cdr:x>0.74975</cdr:x>
      <cdr:y>0.81761</cdr:y>
    </cdr:to>
    <cdr:sp macro="" textlink="">
      <cdr:nvSpPr>
        <cdr:cNvPr id="12" name="TextBox 11"/>
        <cdr:cNvSpPr txBox="1"/>
      </cdr:nvSpPr>
      <cdr:spPr>
        <a:xfrm xmlns:a="http://schemas.openxmlformats.org/drawingml/2006/main">
          <a:off x="3429596" y="2124075"/>
          <a:ext cx="212526" cy="35242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userShapes>
</file>

<file path=word/drawings/drawing5.xml><?xml version="1.0" encoding="utf-8"?>
<c:userShapes xmlns:c="http://schemas.openxmlformats.org/drawingml/2006/chart">
  <cdr:relSizeAnchor xmlns:cdr="http://schemas.openxmlformats.org/drawingml/2006/chartDrawing">
    <cdr:from>
      <cdr:x>0.37274</cdr:x>
      <cdr:y>0.39191</cdr:y>
    </cdr:from>
    <cdr:to>
      <cdr:x>0.41914</cdr:x>
      <cdr:y>0.47875</cdr:y>
    </cdr:to>
    <cdr:sp macro="" textlink="">
      <cdr:nvSpPr>
        <cdr:cNvPr id="2" name="TextBox 1"/>
        <cdr:cNvSpPr txBox="1"/>
      </cdr:nvSpPr>
      <cdr:spPr>
        <a:xfrm xmlns:a="http://schemas.openxmlformats.org/drawingml/2006/main">
          <a:off x="2144390" y="1493177"/>
          <a:ext cx="266964" cy="33086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0.4712</cdr:x>
      <cdr:y>0.37014</cdr:y>
    </cdr:from>
    <cdr:to>
      <cdr:x>0.53308</cdr:x>
      <cdr:y>0.46258</cdr:y>
    </cdr:to>
    <cdr:sp macro="" textlink="">
      <cdr:nvSpPr>
        <cdr:cNvPr id="3" name="TextBox 2"/>
        <cdr:cNvSpPr txBox="1"/>
      </cdr:nvSpPr>
      <cdr:spPr>
        <a:xfrm xmlns:a="http://schemas.openxmlformats.org/drawingml/2006/main">
          <a:off x="2710832" y="1410233"/>
          <a:ext cx="356050" cy="35219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0.58091</cdr:x>
      <cdr:y>0.33685</cdr:y>
    </cdr:from>
    <cdr:to>
      <cdr:x>0.62699</cdr:x>
      <cdr:y>0.41248</cdr:y>
    </cdr:to>
    <cdr:sp macro="" textlink="">
      <cdr:nvSpPr>
        <cdr:cNvPr id="4" name="TextBox 3"/>
        <cdr:cNvSpPr txBox="1"/>
      </cdr:nvSpPr>
      <cdr:spPr>
        <a:xfrm xmlns:a="http://schemas.openxmlformats.org/drawingml/2006/main">
          <a:off x="3342011" y="1283399"/>
          <a:ext cx="265125" cy="2881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0.68358</cdr:x>
      <cdr:y>0.16342</cdr:y>
    </cdr:from>
    <cdr:to>
      <cdr:x>0.72524</cdr:x>
      <cdr:y>0.23345</cdr:y>
    </cdr:to>
    <cdr:sp macro="" textlink="">
      <cdr:nvSpPr>
        <cdr:cNvPr id="5" name="TextBox 4"/>
        <cdr:cNvSpPr txBox="1"/>
      </cdr:nvSpPr>
      <cdr:spPr>
        <a:xfrm xmlns:a="http://schemas.openxmlformats.org/drawingml/2006/main">
          <a:off x="3932729" y="622630"/>
          <a:ext cx="239649" cy="26681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2E0EE-BEAB-459C-A6E0-43AB01071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5366</Words>
  <Characters>30589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cp:revision>
  <cp:lastPrinted>2017-08-09T14:33:00Z</cp:lastPrinted>
  <dcterms:created xsi:type="dcterms:W3CDTF">2017-08-09T14:16:00Z</dcterms:created>
  <dcterms:modified xsi:type="dcterms:W3CDTF">2017-08-09T14:37:00Z</dcterms:modified>
</cp:coreProperties>
</file>