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A1286" w:rsidRDefault="002A1286">
      <w:pPr>
        <w:rPr>
          <w:rFonts w:ascii="Garamond" w:hAnsi="Garamond" w:cs="Arial"/>
          <w:sz w:val="28"/>
          <w:szCs w:val="28"/>
        </w:rPr>
      </w:pPr>
      <w:r w:rsidRPr="002A1286">
        <w:rPr>
          <w:rFonts w:ascii="Garamond" w:hAnsi="Garamond" w:cs="Arial"/>
          <w:sz w:val="28"/>
          <w:szCs w:val="28"/>
        </w:rPr>
        <w:t xml:space="preserve">Amos Olusegun </w:t>
      </w:r>
      <w:proofErr w:type="spellStart"/>
      <w:r w:rsidRPr="002A1286">
        <w:rPr>
          <w:rFonts w:ascii="Garamond" w:hAnsi="Garamond" w:cs="Arial"/>
          <w:sz w:val="28"/>
          <w:szCs w:val="28"/>
        </w:rPr>
        <w:t>Abioye</w:t>
      </w:r>
      <w:proofErr w:type="spellEnd"/>
      <w:r w:rsidRPr="002A1286">
        <w:rPr>
          <w:rFonts w:ascii="Garamond" w:hAnsi="Garamond" w:cs="Arial"/>
          <w:sz w:val="28"/>
          <w:szCs w:val="28"/>
        </w:rPr>
        <w:t xml:space="preserve">, Rachel Armitage and </w:t>
      </w:r>
      <w:r w:rsidRPr="002A1286">
        <w:rPr>
          <w:rFonts w:ascii="Garamond" w:hAnsi="Garamond" w:cs="Arial"/>
          <w:b/>
          <w:sz w:val="28"/>
          <w:szCs w:val="28"/>
        </w:rPr>
        <w:t xml:space="preserve">Adeola </w:t>
      </w:r>
      <w:proofErr w:type="spellStart"/>
      <w:r w:rsidRPr="002A1286">
        <w:rPr>
          <w:rFonts w:ascii="Garamond" w:hAnsi="Garamond" w:cs="Arial"/>
          <w:b/>
          <w:sz w:val="28"/>
          <w:szCs w:val="28"/>
        </w:rPr>
        <w:t>Tawakalitu</w:t>
      </w:r>
      <w:proofErr w:type="spellEnd"/>
      <w:r w:rsidRPr="002A1286">
        <w:rPr>
          <w:rFonts w:ascii="Garamond" w:hAnsi="Garamond" w:cs="Arial"/>
          <w:b/>
          <w:sz w:val="28"/>
          <w:szCs w:val="28"/>
        </w:rPr>
        <w:t xml:space="preserve"> Kola-Mustapha </w:t>
      </w:r>
      <w:r w:rsidRPr="002A1286">
        <w:rPr>
          <w:rFonts w:ascii="Garamond" w:hAnsi="Garamond" w:cs="Arial"/>
          <w:sz w:val="28"/>
          <w:szCs w:val="28"/>
        </w:rPr>
        <w:t>(2016)</w:t>
      </w:r>
      <w:r w:rsidRPr="002A1286">
        <w:rPr>
          <w:rFonts w:ascii="Garamond" w:hAnsi="Garamond" w:cs="Arial"/>
          <w:b/>
          <w:sz w:val="28"/>
          <w:szCs w:val="28"/>
        </w:rPr>
        <w:t xml:space="preserve"> </w:t>
      </w:r>
      <w:r w:rsidRPr="002A1286">
        <w:rPr>
          <w:rFonts w:ascii="Garamond" w:hAnsi="Garamond" w:cs="Arial"/>
          <w:sz w:val="28"/>
          <w:szCs w:val="28"/>
        </w:rPr>
        <w:t xml:space="preserve">Thermodynamic Changes Induced by Intermolecular Interaction Between Ibuprofen and Chitosan: Effect on Crystal Habit, Solubility and In Vitro Release Kinetics of Ibuprofen, </w:t>
      </w:r>
      <w:r w:rsidRPr="002A1286">
        <w:rPr>
          <w:rFonts w:ascii="Garamond" w:hAnsi="Garamond" w:cs="Arial"/>
          <w:b/>
          <w:i/>
          <w:sz w:val="28"/>
          <w:szCs w:val="28"/>
        </w:rPr>
        <w:t>Pharmaceutical Research,</w:t>
      </w:r>
      <w:r w:rsidRPr="002A1286">
        <w:rPr>
          <w:rFonts w:ascii="Garamond" w:hAnsi="Garamond" w:cs="Arial"/>
          <w:sz w:val="28"/>
          <w:szCs w:val="28"/>
        </w:rPr>
        <w:t xml:space="preserve"> </w:t>
      </w:r>
      <w:r w:rsidRPr="002A1286">
        <w:rPr>
          <w:rFonts w:ascii="Garamond" w:hAnsi="Garamond"/>
          <w:b/>
          <w:sz w:val="28"/>
          <w:szCs w:val="28"/>
        </w:rPr>
        <w:t>33(2):</w:t>
      </w:r>
      <w:r w:rsidRPr="002A1286">
        <w:rPr>
          <w:rFonts w:ascii="Garamond" w:hAnsi="Garamond"/>
          <w:sz w:val="28"/>
          <w:szCs w:val="28"/>
        </w:rPr>
        <w:t xml:space="preserve"> 337-57. </w:t>
      </w:r>
      <w:r w:rsidRPr="002A1286">
        <w:rPr>
          <w:rFonts w:ascii="Garamond" w:hAnsi="Garamond" w:cs="Arial"/>
          <w:sz w:val="28"/>
          <w:szCs w:val="28"/>
        </w:rPr>
        <w:t>DOI 10.1007/s11095-015-1793-0. Available online 24</w:t>
      </w:r>
      <w:r w:rsidRPr="002A1286">
        <w:rPr>
          <w:rFonts w:ascii="Garamond" w:hAnsi="Garamond" w:cs="Arial"/>
          <w:sz w:val="28"/>
          <w:szCs w:val="28"/>
          <w:vertAlign w:val="superscript"/>
        </w:rPr>
        <w:t>th</w:t>
      </w:r>
      <w:r w:rsidRPr="002A1286">
        <w:rPr>
          <w:rFonts w:ascii="Garamond" w:hAnsi="Garamond" w:cs="Arial"/>
          <w:sz w:val="28"/>
          <w:szCs w:val="28"/>
        </w:rPr>
        <w:t xml:space="preserve"> September 2015. </w:t>
      </w:r>
    </w:p>
    <w:p w:rsidR="003034E7" w:rsidRDefault="002A1286">
      <w:bookmarkStart w:id="0" w:name="_GoBack"/>
      <w:bookmarkEnd w:id="0"/>
      <w:r w:rsidRPr="002A1286">
        <w:rPr>
          <w:rFonts w:ascii="Garamond" w:hAnsi="Garamond" w:cs="Arial"/>
          <w:sz w:val="28"/>
          <w:szCs w:val="28"/>
        </w:rPr>
        <w:t xml:space="preserve">Abstract: PURPOSE: The direct impact of intermolecular attraction between ibuprofen and chitosan on crystal behaviour, saturated solubility and dissolution efficiency of ibuprofen was investigated </w:t>
      </w:r>
      <w:proofErr w:type="gramStart"/>
      <w:r w:rsidRPr="002A1286">
        <w:rPr>
          <w:rFonts w:ascii="Garamond" w:hAnsi="Garamond" w:cs="Arial"/>
          <w:sz w:val="28"/>
          <w:szCs w:val="28"/>
        </w:rPr>
        <w:t>in order to</w:t>
      </w:r>
      <w:proofErr w:type="gramEnd"/>
      <w:r w:rsidRPr="002A1286">
        <w:rPr>
          <w:rFonts w:ascii="Garamond" w:hAnsi="Garamond" w:cs="Arial"/>
          <w:sz w:val="28"/>
          <w:szCs w:val="28"/>
        </w:rPr>
        <w:t xml:space="preserve"> expand the drug delivery strategy for ibuprofen. METHODS: Amorphous nanoparticle complex (</w:t>
      </w:r>
      <w:proofErr w:type="spellStart"/>
      <w:r w:rsidRPr="002A1286">
        <w:rPr>
          <w:rFonts w:ascii="Garamond" w:hAnsi="Garamond" w:cs="Arial"/>
          <w:sz w:val="28"/>
          <w:szCs w:val="28"/>
        </w:rPr>
        <w:t>nanoplex</w:t>
      </w:r>
      <w:proofErr w:type="spellEnd"/>
      <w:r w:rsidRPr="002A1286">
        <w:rPr>
          <w:rFonts w:ascii="Garamond" w:hAnsi="Garamond" w:cs="Arial"/>
          <w:sz w:val="28"/>
          <w:szCs w:val="28"/>
        </w:rPr>
        <w:t xml:space="preserve">) was prepared by controlled drug-polymer </w:t>
      </w:r>
      <w:proofErr w:type="spellStart"/>
      <w:r w:rsidRPr="002A1286">
        <w:rPr>
          <w:rFonts w:ascii="Garamond" w:hAnsi="Garamond" w:cs="Arial"/>
          <w:sz w:val="28"/>
          <w:szCs w:val="28"/>
        </w:rPr>
        <w:t>nanoassembly</w:t>
      </w:r>
      <w:proofErr w:type="spellEnd"/>
      <w:r w:rsidRPr="002A1286">
        <w:rPr>
          <w:rFonts w:ascii="Garamond" w:hAnsi="Garamond" w:cs="Arial"/>
          <w:sz w:val="28"/>
          <w:szCs w:val="28"/>
        </w:rPr>
        <w:t xml:space="preserve">. Intermolecular attraction was confirmed with surface tension, conductivity measurements and FTIR spectroscopy. The </w:t>
      </w:r>
      <w:proofErr w:type="spellStart"/>
      <w:r w:rsidRPr="002A1286">
        <w:rPr>
          <w:rFonts w:ascii="Garamond" w:hAnsi="Garamond" w:cs="Arial"/>
          <w:sz w:val="28"/>
          <w:szCs w:val="28"/>
        </w:rPr>
        <w:t>nanoplex</w:t>
      </w:r>
      <w:proofErr w:type="spellEnd"/>
      <w:r w:rsidRPr="002A1286">
        <w:rPr>
          <w:rFonts w:ascii="Garamond" w:hAnsi="Garamond" w:cs="Arial"/>
          <w:sz w:val="28"/>
          <w:szCs w:val="28"/>
        </w:rPr>
        <w:t xml:space="preserve"> was characterized using DSC, TGA and SEM. The in vitro release kinetics and mechanism of drug release were evaluated using mathematical models. RESULTS: The </w:t>
      </w:r>
      <w:proofErr w:type="spellStart"/>
      <w:r w:rsidRPr="002A1286">
        <w:rPr>
          <w:rFonts w:ascii="Garamond" w:hAnsi="Garamond" w:cs="Arial"/>
          <w:sz w:val="28"/>
          <w:szCs w:val="28"/>
        </w:rPr>
        <w:t>cmc</w:t>
      </w:r>
      <w:proofErr w:type="spellEnd"/>
      <w:r w:rsidRPr="002A1286">
        <w:rPr>
          <w:rFonts w:ascii="Garamond" w:hAnsi="Garamond" w:cs="Arial"/>
          <w:sz w:val="28"/>
          <w:szCs w:val="28"/>
        </w:rPr>
        <w:t xml:space="preserve"> of ibuprofen decreased significantly in the </w:t>
      </w:r>
      <w:proofErr w:type="spellStart"/>
      <w:r w:rsidRPr="002A1286">
        <w:rPr>
          <w:rFonts w:ascii="Garamond" w:hAnsi="Garamond" w:cs="Arial"/>
          <w:sz w:val="28"/>
          <w:szCs w:val="28"/>
        </w:rPr>
        <w:t>nanoplex</w:t>
      </w:r>
      <w:proofErr w:type="spellEnd"/>
      <w:r w:rsidRPr="002A1286">
        <w:rPr>
          <w:rFonts w:ascii="Garamond" w:hAnsi="Garamond" w:cs="Arial"/>
          <w:sz w:val="28"/>
          <w:szCs w:val="28"/>
        </w:rPr>
        <w:t xml:space="preserve"> (1.85 </w:t>
      </w:r>
      <w:proofErr w:type="spellStart"/>
      <w:r w:rsidRPr="002A1286">
        <w:rPr>
          <w:rFonts w:ascii="Garamond" w:hAnsi="Garamond" w:cs="Arial"/>
          <w:sz w:val="28"/>
          <w:szCs w:val="28"/>
        </w:rPr>
        <w:t>mM</w:t>
      </w:r>
      <w:proofErr w:type="spellEnd"/>
      <w:r w:rsidRPr="002A1286">
        <w:rPr>
          <w:rFonts w:ascii="Garamond" w:hAnsi="Garamond" w:cs="Arial"/>
          <w:sz w:val="28"/>
          <w:szCs w:val="28"/>
        </w:rPr>
        <w:t xml:space="preserve">) compared with pure ibuprofen (177.62 </w:t>
      </w:r>
      <w:proofErr w:type="spellStart"/>
      <w:r w:rsidRPr="002A1286">
        <w:rPr>
          <w:rFonts w:ascii="Garamond" w:hAnsi="Garamond" w:cs="Arial"/>
          <w:sz w:val="28"/>
          <w:szCs w:val="28"/>
        </w:rPr>
        <w:t>mM</w:t>
      </w:r>
      <w:proofErr w:type="spellEnd"/>
      <w:r w:rsidRPr="002A1286">
        <w:rPr>
          <w:rFonts w:ascii="Garamond" w:hAnsi="Garamond" w:cs="Arial"/>
          <w:sz w:val="28"/>
          <w:szCs w:val="28"/>
        </w:rPr>
        <w:t xml:space="preserve">) suggesting a remarkable affinity between the chitosan and ibuprofen. The disappearance of ibuprofen melting peak in the </w:t>
      </w:r>
      <w:proofErr w:type="spellStart"/>
      <w:r w:rsidRPr="002A1286">
        <w:rPr>
          <w:rFonts w:ascii="Garamond" w:hAnsi="Garamond" w:cs="Arial"/>
          <w:sz w:val="28"/>
          <w:szCs w:val="28"/>
        </w:rPr>
        <w:t>nanoplex</w:t>
      </w:r>
      <w:proofErr w:type="spellEnd"/>
      <w:r w:rsidRPr="002A1286">
        <w:rPr>
          <w:rFonts w:ascii="Garamond" w:hAnsi="Garamond" w:cs="Arial"/>
          <w:sz w:val="28"/>
          <w:szCs w:val="28"/>
        </w:rPr>
        <w:t xml:space="preserve"> and the broadened DSC endothermic peaks of the </w:t>
      </w:r>
      <w:proofErr w:type="spellStart"/>
      <w:r w:rsidRPr="002A1286">
        <w:rPr>
          <w:rFonts w:ascii="Garamond" w:hAnsi="Garamond" w:cs="Arial"/>
          <w:sz w:val="28"/>
          <w:szCs w:val="28"/>
        </w:rPr>
        <w:t>nanoplex</w:t>
      </w:r>
      <w:proofErr w:type="spellEnd"/>
      <w:r w:rsidRPr="002A1286">
        <w:rPr>
          <w:rFonts w:ascii="Garamond" w:hAnsi="Garamond" w:cs="Arial"/>
          <w:sz w:val="28"/>
          <w:szCs w:val="28"/>
        </w:rPr>
        <w:t xml:space="preserve"> indicate formation of eutectic amorphous product which corresponded to higher saturated solubility and dissolution velocity. Ibuprofen (aspect ratio 5.16</w:t>
      </w:r>
      <w:r w:rsidRPr="002A1286">
        <w:rPr>
          <w:rFonts w:ascii="Times New Roman" w:hAnsi="Times New Roman"/>
          <w:sz w:val="28"/>
          <w:szCs w:val="28"/>
        </w:rPr>
        <w:t> </w:t>
      </w:r>
      <w:r w:rsidRPr="002A1286">
        <w:rPr>
          <w:rFonts w:ascii="Garamond" w:hAnsi="Garamond" w:cs="Garamond"/>
          <w:sz w:val="28"/>
          <w:szCs w:val="28"/>
        </w:rPr>
        <w:t>±</w:t>
      </w:r>
      <w:r w:rsidRPr="002A1286">
        <w:rPr>
          <w:rFonts w:ascii="Times New Roman" w:hAnsi="Times New Roman"/>
          <w:sz w:val="28"/>
          <w:szCs w:val="28"/>
        </w:rPr>
        <w:t> </w:t>
      </w:r>
      <w:r w:rsidRPr="002A1286">
        <w:rPr>
          <w:rFonts w:ascii="Garamond" w:hAnsi="Garamond" w:cs="Arial"/>
          <w:sz w:val="28"/>
          <w:szCs w:val="28"/>
        </w:rPr>
        <w:t>1.15) was converted into spherical nanoparticle complex with particle size of 14.96</w:t>
      </w:r>
      <w:r w:rsidRPr="002A1286">
        <w:rPr>
          <w:rFonts w:ascii="Times New Roman" w:hAnsi="Times New Roman"/>
          <w:sz w:val="28"/>
          <w:szCs w:val="28"/>
        </w:rPr>
        <w:t> </w:t>
      </w:r>
      <w:r w:rsidRPr="002A1286">
        <w:rPr>
          <w:rFonts w:ascii="Garamond" w:hAnsi="Garamond" w:cs="Garamond"/>
          <w:sz w:val="28"/>
          <w:szCs w:val="28"/>
        </w:rPr>
        <w:t>±</w:t>
      </w:r>
      <w:r w:rsidRPr="002A1286">
        <w:rPr>
          <w:rFonts w:ascii="Times New Roman" w:hAnsi="Times New Roman"/>
          <w:sz w:val="28"/>
          <w:szCs w:val="28"/>
        </w:rPr>
        <w:t> </w:t>
      </w:r>
      <w:r w:rsidRPr="002A1286">
        <w:rPr>
          <w:rFonts w:ascii="Garamond" w:hAnsi="Garamond" w:cs="Arial"/>
          <w:sz w:val="28"/>
          <w:szCs w:val="28"/>
        </w:rPr>
        <w:t>1.162-143.17</w:t>
      </w:r>
      <w:r w:rsidRPr="002A1286">
        <w:rPr>
          <w:rFonts w:ascii="Times New Roman" w:hAnsi="Times New Roman"/>
          <w:sz w:val="28"/>
          <w:szCs w:val="28"/>
        </w:rPr>
        <w:t> </w:t>
      </w:r>
      <w:r w:rsidRPr="002A1286">
        <w:rPr>
          <w:rFonts w:ascii="Garamond" w:hAnsi="Garamond" w:cs="Garamond"/>
          <w:sz w:val="28"/>
          <w:szCs w:val="28"/>
        </w:rPr>
        <w:t>±</w:t>
      </w:r>
      <w:r w:rsidRPr="002A1286">
        <w:rPr>
          <w:rFonts w:ascii="Times New Roman" w:hAnsi="Times New Roman"/>
          <w:sz w:val="28"/>
          <w:szCs w:val="28"/>
        </w:rPr>
        <w:t> </w:t>
      </w:r>
      <w:r w:rsidRPr="002A1286">
        <w:rPr>
          <w:rFonts w:ascii="Garamond" w:hAnsi="Garamond" w:cs="Arial"/>
          <w:sz w:val="28"/>
          <w:szCs w:val="28"/>
        </w:rPr>
        <w:t xml:space="preserve">17.5247 nm (36-345 folds reduction) dictated by chitosan concentration. Pure ibuprofen exhibited burst release while the </w:t>
      </w:r>
      <w:proofErr w:type="spellStart"/>
      <w:r w:rsidRPr="002A1286">
        <w:rPr>
          <w:rFonts w:ascii="Garamond" w:hAnsi="Garamond" w:cs="Arial"/>
          <w:sz w:val="28"/>
          <w:szCs w:val="28"/>
        </w:rPr>
        <w:t>nanoplexes</w:t>
      </w:r>
      <w:proofErr w:type="spellEnd"/>
      <w:r w:rsidRPr="002A1286">
        <w:rPr>
          <w:rFonts w:ascii="Garamond" w:hAnsi="Garamond" w:cs="Arial"/>
          <w:sz w:val="28"/>
          <w:szCs w:val="28"/>
        </w:rPr>
        <w:t xml:space="preserve"> showed both fast and extended release profiles. DE increased to a maximum (81.76</w:t>
      </w:r>
      <w:r w:rsidRPr="002A1286">
        <w:rPr>
          <w:rFonts w:ascii="Times New Roman" w:hAnsi="Times New Roman"/>
          <w:sz w:val="28"/>
          <w:szCs w:val="28"/>
        </w:rPr>
        <w:t> </w:t>
      </w:r>
      <w:r w:rsidRPr="002A1286">
        <w:rPr>
          <w:rFonts w:ascii="Garamond" w:hAnsi="Garamond" w:cs="Garamond"/>
          <w:sz w:val="28"/>
          <w:szCs w:val="28"/>
        </w:rPr>
        <w:t>±</w:t>
      </w:r>
      <w:r w:rsidRPr="002A1286">
        <w:rPr>
          <w:rFonts w:ascii="Times New Roman" w:hAnsi="Times New Roman"/>
          <w:sz w:val="28"/>
          <w:szCs w:val="28"/>
        </w:rPr>
        <w:t> </w:t>
      </w:r>
      <w:r w:rsidRPr="002A1286">
        <w:rPr>
          <w:rFonts w:ascii="Garamond" w:hAnsi="Garamond" w:cs="Arial"/>
          <w:sz w:val="28"/>
          <w:szCs w:val="28"/>
        </w:rPr>
        <w:t>2.1031%) with chitosan concentrations at 3.28</w:t>
      </w:r>
      <w:r w:rsidRPr="002A1286">
        <w:rPr>
          <w:rFonts w:ascii="Times New Roman" w:hAnsi="Times New Roman"/>
          <w:sz w:val="28"/>
          <w:szCs w:val="28"/>
        </w:rPr>
        <w:t> </w:t>
      </w:r>
      <w:r w:rsidRPr="002A1286">
        <w:rPr>
          <w:rFonts w:ascii="Garamond" w:hAnsi="Garamond" w:cs="Garamond"/>
          <w:sz w:val="28"/>
          <w:szCs w:val="28"/>
        </w:rPr>
        <w:t>×</w:t>
      </w:r>
      <w:r w:rsidRPr="002A1286">
        <w:rPr>
          <w:rFonts w:ascii="Times New Roman" w:hAnsi="Times New Roman"/>
          <w:sz w:val="28"/>
          <w:szCs w:val="28"/>
        </w:rPr>
        <w:t> </w:t>
      </w:r>
      <w:r w:rsidRPr="002A1286">
        <w:rPr>
          <w:rFonts w:ascii="Garamond" w:hAnsi="Garamond" w:cs="Arial"/>
          <w:sz w:val="28"/>
          <w:szCs w:val="28"/>
        </w:rPr>
        <w:t xml:space="preserve">10-3 g/dm3, beyond which retardation occurred steadily. Major mechanism of drug release from the </w:t>
      </w:r>
      <w:proofErr w:type="spellStart"/>
      <w:r w:rsidRPr="002A1286">
        <w:rPr>
          <w:rFonts w:ascii="Garamond" w:hAnsi="Garamond" w:cs="Arial"/>
          <w:sz w:val="28"/>
          <w:szCs w:val="28"/>
        </w:rPr>
        <w:t>nanoplex</w:t>
      </w:r>
      <w:proofErr w:type="spellEnd"/>
      <w:r w:rsidRPr="002A1286">
        <w:rPr>
          <w:rFonts w:ascii="Garamond" w:hAnsi="Garamond" w:cs="Arial"/>
          <w:sz w:val="28"/>
          <w:szCs w:val="28"/>
        </w:rPr>
        <w:t xml:space="preserve"> was by diffusion however anomalous transport and super case II transport did occur. CONCLUSION: Ibuprofen-chitosan </w:t>
      </w:r>
      <w:proofErr w:type="spellStart"/>
      <w:r w:rsidRPr="002A1286">
        <w:rPr>
          <w:rFonts w:ascii="Garamond" w:hAnsi="Garamond" w:cs="Arial"/>
          <w:sz w:val="28"/>
          <w:szCs w:val="28"/>
        </w:rPr>
        <w:t>nanoplex</w:t>
      </w:r>
      <w:proofErr w:type="spellEnd"/>
      <w:r w:rsidRPr="002A1286">
        <w:rPr>
          <w:rFonts w:ascii="Garamond" w:hAnsi="Garamond" w:cs="Arial"/>
          <w:sz w:val="28"/>
          <w:szCs w:val="28"/>
        </w:rPr>
        <w:t xml:space="preserve"> exhibited combined fast and extended release profile dictated by chitosan concentration. This study demonstrated the potential application of drug-polymer nanoconjugate design in multifunctional regulated drug delivery</w:t>
      </w:r>
      <w:r w:rsidRPr="00451F4C">
        <w:rPr>
          <w:rFonts w:ascii="Arial" w:hAnsi="Arial" w:cs="Arial"/>
          <w:color w:val="000000"/>
          <w:sz w:val="24"/>
          <w:szCs w:val="24"/>
        </w:rPr>
        <w:t>.</w:t>
      </w:r>
    </w:p>
    <w:sectPr w:rsidR="003034E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1286"/>
    <w:rsid w:val="002A1286"/>
    <w:rsid w:val="003034E7"/>
    <w:rsid w:val="005A7347"/>
    <w:rsid w:val="007F7286"/>
    <w:rsid w:val="00B327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4D55552"/>
  <w15:chartTrackingRefBased/>
  <w15:docId w15:val="{5870E382-B6FE-4FEB-84FA-75EB65D234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338</Words>
  <Characters>1932</Characters>
  <Application>Microsoft Office Word</Application>
  <DocSecurity>0</DocSecurity>
  <Lines>16</Lines>
  <Paragraphs>4</Paragraphs>
  <ScaleCrop>false</ScaleCrop>
  <Company/>
  <LinksUpToDate>false</LinksUpToDate>
  <CharactersWithSpaces>2266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Kola-Mustapha</dc:creator>
  <cp:keywords/>
  <dc:description/>
  <cp:lastModifiedBy>Dr. Kola-Mustapha</cp:lastModifiedBy>
  <cp:revision>1</cp:revision>
  <dcterms:created xsi:type="dcterms:W3CDTF">2018-03-28T10:49:00Z</dcterms:created>
  <dcterms:modified xsi:type="dcterms:W3CDTF">2018-03-28T10:50:00Z</dcterms:modified>
</cp:coreProperties>
</file>