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53AB9" w14:textId="77777777" w:rsidR="00677D6C" w:rsidRPr="00677D6C" w:rsidRDefault="00677D6C" w:rsidP="00677D6C">
      <w:pPr>
        <w:shd w:val="clear" w:color="auto" w:fill="FFFFFF"/>
        <w:spacing w:after="120" w:line="240" w:lineRule="auto"/>
        <w:outlineLvl w:val="2"/>
        <w:rPr>
          <w:rFonts w:ascii="Merriweather Sans" w:eastAsia="Times New Roman" w:hAnsi="Merriweather Sans" w:cs="Times New Roman"/>
          <w:b/>
          <w:bCs/>
          <w:color w:val="222222"/>
          <w:kern w:val="0"/>
          <w:sz w:val="27"/>
          <w:szCs w:val="27"/>
          <w:lang w:eastAsia="en-NG"/>
          <w14:ligatures w14:val="none"/>
        </w:rPr>
      </w:pPr>
      <w:r w:rsidRPr="00677D6C">
        <w:rPr>
          <w:rFonts w:ascii="Merriweather Sans" w:eastAsia="Times New Roman" w:hAnsi="Merriweather Sans" w:cs="Times New Roman"/>
          <w:b/>
          <w:bCs/>
          <w:color w:val="222222"/>
          <w:kern w:val="0"/>
          <w:sz w:val="27"/>
          <w:szCs w:val="27"/>
          <w:lang w:eastAsia="en-NG"/>
          <w14:ligatures w14:val="none"/>
        </w:rPr>
        <w:t>Abstract</w:t>
      </w:r>
    </w:p>
    <w:p w14:paraId="6A4ACEA1" w14:textId="77777777" w:rsidR="00677D6C" w:rsidRPr="00677D6C" w:rsidRDefault="00677D6C" w:rsidP="00677D6C">
      <w:pPr>
        <w:shd w:val="clear" w:color="auto" w:fill="FFFFFF"/>
        <w:spacing w:after="480" w:line="240" w:lineRule="auto"/>
        <w:rPr>
          <w:rFonts w:ascii="Merriweather" w:eastAsia="Times New Roman" w:hAnsi="Merriweather" w:cs="Times New Roman"/>
          <w:color w:val="222222"/>
          <w:kern w:val="0"/>
          <w:sz w:val="27"/>
          <w:szCs w:val="27"/>
          <w:lang w:eastAsia="en-NG"/>
          <w14:ligatures w14:val="none"/>
        </w:rPr>
      </w:pPr>
      <w:r w:rsidRPr="00677D6C">
        <w:rPr>
          <w:rFonts w:ascii="Merriweather" w:eastAsia="Times New Roman" w:hAnsi="Merriweather" w:cs="Times New Roman"/>
          <w:color w:val="222222"/>
          <w:kern w:val="0"/>
          <w:sz w:val="27"/>
          <w:szCs w:val="27"/>
          <w:lang w:eastAsia="en-NG"/>
          <w14:ligatures w14:val="none"/>
        </w:rPr>
        <w:t xml:space="preserve">Piroxicam is a member of the oxicam group known to be nonsteroidal anti-inflammatory drugs (NSAID) which are used in the treatment of pain and arthritis. To improve its effectiveness and lessen the occurrence of side effects, the need to develop drug carrier systems tuned towards improved loading capability and controlled release is imperative. We herein report the synthesis of the zinc-terephthalate metal–organic frameworks (MOFs) and its functionalization by incorporation of amino and </w:t>
      </w:r>
      <w:proofErr w:type="spellStart"/>
      <w:r w:rsidRPr="00677D6C">
        <w:rPr>
          <w:rFonts w:ascii="Merriweather" w:eastAsia="Times New Roman" w:hAnsi="Merriweather" w:cs="Times New Roman"/>
          <w:color w:val="222222"/>
          <w:kern w:val="0"/>
          <w:sz w:val="27"/>
          <w:szCs w:val="27"/>
          <w:lang w:eastAsia="en-NG"/>
          <w14:ligatures w14:val="none"/>
        </w:rPr>
        <w:t>cyano</w:t>
      </w:r>
      <w:proofErr w:type="spellEnd"/>
      <w:r w:rsidRPr="00677D6C">
        <w:rPr>
          <w:rFonts w:ascii="Merriweather" w:eastAsia="Times New Roman" w:hAnsi="Merriweather" w:cs="Times New Roman"/>
          <w:color w:val="222222"/>
          <w:kern w:val="0"/>
          <w:sz w:val="27"/>
          <w:szCs w:val="27"/>
          <w:lang w:eastAsia="en-NG"/>
          <w14:ligatures w14:val="none"/>
        </w:rPr>
        <w:t xml:space="preserve"> groups using ethylenediamine (</w:t>
      </w:r>
      <w:proofErr w:type="spellStart"/>
      <w:r w:rsidRPr="00677D6C">
        <w:rPr>
          <w:rFonts w:ascii="Merriweather" w:eastAsia="Times New Roman" w:hAnsi="Merriweather" w:cs="Times New Roman"/>
          <w:color w:val="222222"/>
          <w:kern w:val="0"/>
          <w:sz w:val="27"/>
          <w:szCs w:val="27"/>
          <w:lang w:eastAsia="en-NG"/>
          <w14:ligatures w14:val="none"/>
        </w:rPr>
        <w:t>en</w:t>
      </w:r>
      <w:proofErr w:type="spellEnd"/>
      <w:r w:rsidRPr="00677D6C">
        <w:rPr>
          <w:rFonts w:ascii="Merriweather" w:eastAsia="Times New Roman" w:hAnsi="Merriweather" w:cs="Times New Roman"/>
          <w:color w:val="222222"/>
          <w:kern w:val="0"/>
          <w:sz w:val="27"/>
          <w:szCs w:val="27"/>
          <w:lang w:eastAsia="en-NG"/>
          <w14:ligatures w14:val="none"/>
        </w:rPr>
        <w:t xml:space="preserve">) and malononitrile (MN), respectively, for the delivery of piroxicam drug. The functionalized and unfunctionalized MOFs were characterized using elemental analysis, Fourier transforms infrared spectroscopy (FTIR), scanning electron microscopy (SEM), </w:t>
      </w:r>
      <w:proofErr w:type="spellStart"/>
      <w:r w:rsidRPr="00677D6C">
        <w:rPr>
          <w:rFonts w:ascii="Merriweather" w:eastAsia="Times New Roman" w:hAnsi="Merriweather" w:cs="Times New Roman"/>
          <w:color w:val="222222"/>
          <w:kern w:val="0"/>
          <w:sz w:val="27"/>
          <w:szCs w:val="27"/>
          <w:lang w:eastAsia="en-NG"/>
          <w14:ligatures w14:val="none"/>
        </w:rPr>
        <w:t>Brunauer</w:t>
      </w:r>
      <w:proofErr w:type="spellEnd"/>
      <w:r w:rsidRPr="00677D6C">
        <w:rPr>
          <w:rFonts w:ascii="Merriweather" w:eastAsia="Times New Roman" w:hAnsi="Merriweather" w:cs="Times New Roman"/>
          <w:color w:val="222222"/>
          <w:kern w:val="0"/>
          <w:sz w:val="27"/>
          <w:szCs w:val="27"/>
          <w:lang w:eastAsia="en-NG"/>
          <w14:ligatures w14:val="none"/>
        </w:rPr>
        <w:t>–Emmett–Teller (BET) and Powder X-ray diffraction (PXRD). BET analysis showed that the zinc terephthalate, zinc terephthalate–</w:t>
      </w:r>
      <w:proofErr w:type="spellStart"/>
      <w:r w:rsidRPr="00677D6C">
        <w:rPr>
          <w:rFonts w:ascii="Merriweather" w:eastAsia="Times New Roman" w:hAnsi="Merriweather" w:cs="Times New Roman"/>
          <w:color w:val="222222"/>
          <w:kern w:val="0"/>
          <w:sz w:val="27"/>
          <w:szCs w:val="27"/>
          <w:lang w:eastAsia="en-NG"/>
          <w14:ligatures w14:val="none"/>
        </w:rPr>
        <w:t>en</w:t>
      </w:r>
      <w:proofErr w:type="spellEnd"/>
      <w:r w:rsidRPr="00677D6C">
        <w:rPr>
          <w:rFonts w:ascii="Merriweather" w:eastAsia="Times New Roman" w:hAnsi="Merriweather" w:cs="Times New Roman"/>
          <w:color w:val="222222"/>
          <w:kern w:val="0"/>
          <w:sz w:val="27"/>
          <w:szCs w:val="27"/>
          <w:lang w:eastAsia="en-NG"/>
          <w14:ligatures w14:val="none"/>
        </w:rPr>
        <w:t xml:space="preserve"> and zinc terephthalate–MN have a surface area and total pore volume of 3130 m</w:t>
      </w:r>
      <w:r w:rsidRPr="00677D6C">
        <w:rPr>
          <w:rFonts w:ascii="Merriweather" w:eastAsia="Times New Roman" w:hAnsi="Merriweather" w:cs="Times New Roman"/>
          <w:color w:val="222222"/>
          <w:kern w:val="0"/>
          <w:sz w:val="27"/>
          <w:szCs w:val="27"/>
          <w:vertAlign w:val="superscript"/>
          <w:lang w:eastAsia="en-NG"/>
          <w14:ligatures w14:val="none"/>
        </w:rPr>
        <w:t>2</w:t>
      </w:r>
      <w:r w:rsidRPr="00677D6C">
        <w:rPr>
          <w:rFonts w:ascii="Merriweather" w:eastAsia="Times New Roman" w:hAnsi="Merriweather" w:cs="Times New Roman"/>
          <w:color w:val="222222"/>
          <w:kern w:val="0"/>
          <w:sz w:val="27"/>
          <w:szCs w:val="27"/>
          <w:lang w:eastAsia="en-NG"/>
          <w14:ligatures w14:val="none"/>
        </w:rPr>
        <w:t>/g (1.437 cm</w:t>
      </w:r>
      <w:r w:rsidRPr="00677D6C">
        <w:rPr>
          <w:rFonts w:ascii="Merriweather" w:eastAsia="Times New Roman" w:hAnsi="Merriweather" w:cs="Times New Roman"/>
          <w:color w:val="222222"/>
          <w:kern w:val="0"/>
          <w:sz w:val="27"/>
          <w:szCs w:val="27"/>
          <w:vertAlign w:val="superscript"/>
          <w:lang w:eastAsia="en-NG"/>
          <w14:ligatures w14:val="none"/>
        </w:rPr>
        <w:t>3</w:t>
      </w:r>
      <w:r w:rsidRPr="00677D6C">
        <w:rPr>
          <w:rFonts w:ascii="Merriweather" w:eastAsia="Times New Roman" w:hAnsi="Merriweather" w:cs="Times New Roman"/>
          <w:color w:val="222222"/>
          <w:kern w:val="0"/>
          <w:sz w:val="27"/>
          <w:szCs w:val="27"/>
          <w:lang w:eastAsia="en-NG"/>
          <w14:ligatures w14:val="none"/>
        </w:rPr>
        <w:t>/g), 3069 m</w:t>
      </w:r>
      <w:r w:rsidRPr="00677D6C">
        <w:rPr>
          <w:rFonts w:ascii="Merriweather" w:eastAsia="Times New Roman" w:hAnsi="Merriweather" w:cs="Times New Roman"/>
          <w:color w:val="222222"/>
          <w:kern w:val="0"/>
          <w:sz w:val="27"/>
          <w:szCs w:val="27"/>
          <w:vertAlign w:val="superscript"/>
          <w:lang w:eastAsia="en-NG"/>
          <w14:ligatures w14:val="none"/>
        </w:rPr>
        <w:t>2</w:t>
      </w:r>
      <w:r w:rsidRPr="00677D6C">
        <w:rPr>
          <w:rFonts w:ascii="Merriweather" w:eastAsia="Times New Roman" w:hAnsi="Merriweather" w:cs="Times New Roman"/>
          <w:color w:val="222222"/>
          <w:kern w:val="0"/>
          <w:sz w:val="27"/>
          <w:szCs w:val="27"/>
          <w:lang w:eastAsia="en-NG"/>
          <w14:ligatures w14:val="none"/>
        </w:rPr>
        <w:t>/g (1.361 cm</w:t>
      </w:r>
      <w:r w:rsidRPr="00677D6C">
        <w:rPr>
          <w:rFonts w:ascii="Merriweather" w:eastAsia="Times New Roman" w:hAnsi="Merriweather" w:cs="Times New Roman"/>
          <w:color w:val="222222"/>
          <w:kern w:val="0"/>
          <w:sz w:val="27"/>
          <w:szCs w:val="27"/>
          <w:vertAlign w:val="superscript"/>
          <w:lang w:eastAsia="en-NG"/>
          <w14:ligatures w14:val="none"/>
        </w:rPr>
        <w:t>3</w:t>
      </w:r>
      <w:r w:rsidRPr="00677D6C">
        <w:rPr>
          <w:rFonts w:ascii="Merriweather" w:eastAsia="Times New Roman" w:hAnsi="Merriweather" w:cs="Times New Roman"/>
          <w:color w:val="222222"/>
          <w:kern w:val="0"/>
          <w:sz w:val="27"/>
          <w:szCs w:val="27"/>
          <w:lang w:eastAsia="en-NG"/>
          <w14:ligatures w14:val="none"/>
        </w:rPr>
        <w:t>/g) and 2975 m</w:t>
      </w:r>
      <w:r w:rsidRPr="00677D6C">
        <w:rPr>
          <w:rFonts w:ascii="Merriweather" w:eastAsia="Times New Roman" w:hAnsi="Merriweather" w:cs="Times New Roman"/>
          <w:color w:val="222222"/>
          <w:kern w:val="0"/>
          <w:sz w:val="27"/>
          <w:szCs w:val="27"/>
          <w:vertAlign w:val="superscript"/>
          <w:lang w:eastAsia="en-NG"/>
          <w14:ligatures w14:val="none"/>
        </w:rPr>
        <w:t>2</w:t>
      </w:r>
      <w:r w:rsidRPr="00677D6C">
        <w:rPr>
          <w:rFonts w:ascii="Merriweather" w:eastAsia="Times New Roman" w:hAnsi="Merriweather" w:cs="Times New Roman"/>
          <w:color w:val="222222"/>
          <w:kern w:val="0"/>
          <w:sz w:val="27"/>
          <w:szCs w:val="27"/>
          <w:lang w:eastAsia="en-NG"/>
          <w14:ligatures w14:val="none"/>
        </w:rPr>
        <w:t>/g (1.232 cm</w:t>
      </w:r>
      <w:r w:rsidRPr="00677D6C">
        <w:rPr>
          <w:rFonts w:ascii="Merriweather" w:eastAsia="Times New Roman" w:hAnsi="Merriweather" w:cs="Times New Roman"/>
          <w:color w:val="222222"/>
          <w:kern w:val="0"/>
          <w:sz w:val="27"/>
          <w:szCs w:val="27"/>
          <w:vertAlign w:val="superscript"/>
          <w:lang w:eastAsia="en-NG"/>
          <w14:ligatures w14:val="none"/>
        </w:rPr>
        <w:t>3</w:t>
      </w:r>
      <w:r w:rsidRPr="00677D6C">
        <w:rPr>
          <w:rFonts w:ascii="Merriweather" w:eastAsia="Times New Roman" w:hAnsi="Merriweather" w:cs="Times New Roman"/>
          <w:color w:val="222222"/>
          <w:kern w:val="0"/>
          <w:sz w:val="27"/>
          <w:szCs w:val="27"/>
          <w:lang w:eastAsia="en-NG"/>
          <w14:ligatures w14:val="none"/>
        </w:rPr>
        <w:t>/g), respectively. The amounts of drug (Piroxicam) loaded on zinc terephthalate and zinc terephthalate–</w:t>
      </w:r>
      <w:proofErr w:type="spellStart"/>
      <w:r w:rsidRPr="00677D6C">
        <w:rPr>
          <w:rFonts w:ascii="Merriweather" w:eastAsia="Times New Roman" w:hAnsi="Merriweather" w:cs="Times New Roman"/>
          <w:color w:val="222222"/>
          <w:kern w:val="0"/>
          <w:sz w:val="27"/>
          <w:szCs w:val="27"/>
          <w:lang w:eastAsia="en-NG"/>
          <w14:ligatures w14:val="none"/>
        </w:rPr>
        <w:t>en</w:t>
      </w:r>
      <w:proofErr w:type="spellEnd"/>
      <w:r w:rsidRPr="00677D6C">
        <w:rPr>
          <w:rFonts w:ascii="Merriweather" w:eastAsia="Times New Roman" w:hAnsi="Merriweather" w:cs="Times New Roman"/>
          <w:color w:val="222222"/>
          <w:kern w:val="0"/>
          <w:sz w:val="27"/>
          <w:szCs w:val="27"/>
          <w:lang w:eastAsia="en-NG"/>
          <w14:ligatures w14:val="none"/>
        </w:rPr>
        <w:t xml:space="preserve"> are 92.06 </w:t>
      </w:r>
      <w:proofErr w:type="spellStart"/>
      <w:r w:rsidRPr="00677D6C">
        <w:rPr>
          <w:rFonts w:ascii="Merriweather" w:eastAsia="Times New Roman" w:hAnsi="Merriweather" w:cs="Times New Roman"/>
          <w:color w:val="222222"/>
          <w:kern w:val="0"/>
          <w:sz w:val="27"/>
          <w:szCs w:val="27"/>
          <w:lang w:eastAsia="en-NG"/>
          <w14:ligatures w14:val="none"/>
        </w:rPr>
        <w:t>wt</w:t>
      </w:r>
      <w:proofErr w:type="spellEnd"/>
      <w:r w:rsidRPr="00677D6C">
        <w:rPr>
          <w:rFonts w:ascii="Merriweather" w:eastAsia="Times New Roman" w:hAnsi="Merriweather" w:cs="Times New Roman"/>
          <w:color w:val="222222"/>
          <w:kern w:val="0"/>
          <w:sz w:val="27"/>
          <w:szCs w:val="27"/>
          <w:lang w:eastAsia="en-NG"/>
          <w14:ligatures w14:val="none"/>
        </w:rPr>
        <w:t>% and 95.23 </w:t>
      </w:r>
      <w:proofErr w:type="spellStart"/>
      <w:r w:rsidRPr="00677D6C">
        <w:rPr>
          <w:rFonts w:ascii="Merriweather" w:eastAsia="Times New Roman" w:hAnsi="Merriweather" w:cs="Times New Roman"/>
          <w:color w:val="222222"/>
          <w:kern w:val="0"/>
          <w:sz w:val="27"/>
          <w:szCs w:val="27"/>
          <w:lang w:eastAsia="en-NG"/>
          <w14:ligatures w14:val="none"/>
        </w:rPr>
        <w:t>wt</w:t>
      </w:r>
      <w:proofErr w:type="spellEnd"/>
      <w:r w:rsidRPr="00677D6C">
        <w:rPr>
          <w:rFonts w:ascii="Merriweather" w:eastAsia="Times New Roman" w:hAnsi="Merriweather" w:cs="Times New Roman"/>
          <w:color w:val="222222"/>
          <w:kern w:val="0"/>
          <w:sz w:val="27"/>
          <w:szCs w:val="27"/>
          <w:lang w:eastAsia="en-NG"/>
          <w14:ligatures w14:val="none"/>
        </w:rPr>
        <w:t>%, respectively. This work reveals that the as-synthesized functionalized MOFs can serve as promising candidates for the delivery of the piroxicam drug and other nonsteroidal anti-inflammatory drugs.</w:t>
      </w:r>
    </w:p>
    <w:p w14:paraId="6B224540" w14:textId="77777777" w:rsidR="00677D6C" w:rsidRDefault="00677D6C"/>
    <w:sectPr w:rsidR="00677D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erriweather Sans">
    <w:charset w:val="00"/>
    <w:family w:val="auto"/>
    <w:pitch w:val="variable"/>
    <w:sig w:usb0="A00004FF" w:usb1="4000207B" w:usb2="00000000" w:usb3="00000000" w:csb0="00000193" w:csb1="00000000"/>
  </w:font>
  <w:font w:name="Merriweather">
    <w:charset w:val="00"/>
    <w:family w:val="auto"/>
    <w:pitch w:val="variable"/>
    <w:sig w:usb0="20000207" w:usb1="00000002"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D6C"/>
    <w:rsid w:val="00677D6C"/>
  </w:rsids>
  <m:mathPr>
    <m:mathFont m:val="Cambria Math"/>
    <m:brkBin m:val="before"/>
    <m:brkBinSub m:val="--"/>
    <m:smallFrac m:val="0"/>
    <m:dispDef/>
    <m:lMargin m:val="0"/>
    <m:rMargin m:val="0"/>
    <m:defJc m:val="centerGroup"/>
    <m:wrapIndent m:val="1440"/>
    <m:intLim m:val="subSup"/>
    <m:naryLim m:val="undOvr"/>
  </m:mathPr>
  <w:themeFontLang w:val="en-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E99BE"/>
  <w15:chartTrackingRefBased/>
  <w15:docId w15:val="{3C660237-2AFA-457F-91D0-F307E43A7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7D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7D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77D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7D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7D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7D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D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D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D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D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7D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77D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7D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7D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7D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D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D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D6C"/>
    <w:rPr>
      <w:rFonts w:eastAsiaTheme="majorEastAsia" w:cstheme="majorBidi"/>
      <w:color w:val="272727" w:themeColor="text1" w:themeTint="D8"/>
    </w:rPr>
  </w:style>
  <w:style w:type="paragraph" w:styleId="Title">
    <w:name w:val="Title"/>
    <w:basedOn w:val="Normal"/>
    <w:next w:val="Normal"/>
    <w:link w:val="TitleChar"/>
    <w:uiPriority w:val="10"/>
    <w:qFormat/>
    <w:rsid w:val="00677D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D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D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D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D6C"/>
    <w:pPr>
      <w:spacing w:before="160"/>
      <w:jc w:val="center"/>
    </w:pPr>
    <w:rPr>
      <w:i/>
      <w:iCs/>
      <w:color w:val="404040" w:themeColor="text1" w:themeTint="BF"/>
    </w:rPr>
  </w:style>
  <w:style w:type="character" w:customStyle="1" w:styleId="QuoteChar">
    <w:name w:val="Quote Char"/>
    <w:basedOn w:val="DefaultParagraphFont"/>
    <w:link w:val="Quote"/>
    <w:uiPriority w:val="29"/>
    <w:rsid w:val="00677D6C"/>
    <w:rPr>
      <w:i/>
      <w:iCs/>
      <w:color w:val="404040" w:themeColor="text1" w:themeTint="BF"/>
    </w:rPr>
  </w:style>
  <w:style w:type="paragraph" w:styleId="ListParagraph">
    <w:name w:val="List Paragraph"/>
    <w:basedOn w:val="Normal"/>
    <w:uiPriority w:val="34"/>
    <w:qFormat/>
    <w:rsid w:val="00677D6C"/>
    <w:pPr>
      <w:ind w:left="720"/>
      <w:contextualSpacing/>
    </w:pPr>
  </w:style>
  <w:style w:type="character" w:styleId="IntenseEmphasis">
    <w:name w:val="Intense Emphasis"/>
    <w:basedOn w:val="DefaultParagraphFont"/>
    <w:uiPriority w:val="21"/>
    <w:qFormat/>
    <w:rsid w:val="00677D6C"/>
    <w:rPr>
      <w:i/>
      <w:iCs/>
      <w:color w:val="0F4761" w:themeColor="accent1" w:themeShade="BF"/>
    </w:rPr>
  </w:style>
  <w:style w:type="paragraph" w:styleId="IntenseQuote">
    <w:name w:val="Intense Quote"/>
    <w:basedOn w:val="Normal"/>
    <w:next w:val="Normal"/>
    <w:link w:val="IntenseQuoteChar"/>
    <w:uiPriority w:val="30"/>
    <w:qFormat/>
    <w:rsid w:val="00677D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7D6C"/>
    <w:rPr>
      <w:i/>
      <w:iCs/>
      <w:color w:val="0F4761" w:themeColor="accent1" w:themeShade="BF"/>
    </w:rPr>
  </w:style>
  <w:style w:type="character" w:styleId="IntenseReference">
    <w:name w:val="Intense Reference"/>
    <w:basedOn w:val="DefaultParagraphFont"/>
    <w:uiPriority w:val="32"/>
    <w:qFormat/>
    <w:rsid w:val="00677D6C"/>
    <w:rPr>
      <w:b/>
      <w:bCs/>
      <w:smallCaps/>
      <w:color w:val="0F4761" w:themeColor="accent1" w:themeShade="BF"/>
      <w:spacing w:val="5"/>
    </w:rPr>
  </w:style>
  <w:style w:type="paragraph" w:styleId="NormalWeb">
    <w:name w:val="Normal (Web)"/>
    <w:basedOn w:val="Normal"/>
    <w:uiPriority w:val="99"/>
    <w:semiHidden/>
    <w:unhideWhenUsed/>
    <w:rsid w:val="00677D6C"/>
    <w:pPr>
      <w:spacing w:before="100" w:beforeAutospacing="1" w:after="100" w:afterAutospacing="1" w:line="240" w:lineRule="auto"/>
    </w:pPr>
    <w:rPr>
      <w:rFonts w:ascii="Times New Roman" w:eastAsia="Times New Roman" w:hAnsi="Times New Roman" w:cs="Times New Roman"/>
      <w:kern w:val="0"/>
      <w:lang w:eastAsia="en-N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60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1195</Characters>
  <Application>Microsoft Office Word</Application>
  <DocSecurity>0</DocSecurity>
  <Lines>9</Lines>
  <Paragraphs>2</Paragraphs>
  <ScaleCrop>false</ScaleCrop>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 ATKM</dc:creator>
  <cp:keywords/>
  <dc:description/>
  <cp:lastModifiedBy>Reviewer ATKM</cp:lastModifiedBy>
  <cp:revision>1</cp:revision>
  <dcterms:created xsi:type="dcterms:W3CDTF">2024-04-17T19:27:00Z</dcterms:created>
  <dcterms:modified xsi:type="dcterms:W3CDTF">2024-04-17T19:28:00Z</dcterms:modified>
</cp:coreProperties>
</file>