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71BD6" w:rsidRDefault="00071BD6" w:rsidP="00071BD6">
      <w:pPr>
        <w:jc w:val="both"/>
      </w:pPr>
      <w:proofErr w:type="spellStart"/>
      <w:r w:rsidRPr="008B62D5">
        <w:rPr>
          <w:rFonts w:ascii="Tahoma" w:hAnsi="Tahoma" w:cs="Tahoma"/>
          <w:b/>
        </w:rPr>
        <w:t>Eletta</w:t>
      </w:r>
      <w:proofErr w:type="spellEnd"/>
      <w:r w:rsidRPr="008B62D5">
        <w:rPr>
          <w:rFonts w:ascii="Tahoma" w:hAnsi="Tahoma" w:cs="Tahoma"/>
          <w:b/>
        </w:rPr>
        <w:t xml:space="preserve"> O.A.A</w:t>
      </w:r>
      <w:r w:rsidRPr="008B62D5">
        <w:rPr>
          <w:rFonts w:ascii="Tahoma" w:hAnsi="Tahoma" w:cs="Tahoma"/>
        </w:rPr>
        <w:t xml:space="preserve">, </w:t>
      </w:r>
      <w:proofErr w:type="spellStart"/>
      <w:r w:rsidRPr="008B62D5">
        <w:rPr>
          <w:rFonts w:ascii="Tahoma" w:hAnsi="Tahoma" w:cs="Tahoma"/>
        </w:rPr>
        <w:t>Ajayi</w:t>
      </w:r>
      <w:proofErr w:type="spellEnd"/>
      <w:r w:rsidRPr="008B62D5">
        <w:rPr>
          <w:rFonts w:ascii="Tahoma" w:hAnsi="Tahoma" w:cs="Tahoma"/>
        </w:rPr>
        <w:t xml:space="preserve">, O.A, </w:t>
      </w:r>
      <w:proofErr w:type="spellStart"/>
      <w:r w:rsidRPr="008B62D5">
        <w:rPr>
          <w:rFonts w:ascii="Tahoma" w:hAnsi="Tahoma" w:cs="Tahoma"/>
        </w:rPr>
        <w:t>Ogunleye</w:t>
      </w:r>
      <w:proofErr w:type="spellEnd"/>
      <w:r w:rsidRPr="008B62D5">
        <w:rPr>
          <w:rFonts w:ascii="Tahoma" w:hAnsi="Tahoma" w:cs="Tahoma"/>
        </w:rPr>
        <w:t xml:space="preserve">, </w:t>
      </w:r>
      <w:proofErr w:type="gramStart"/>
      <w:r w:rsidRPr="008B62D5">
        <w:rPr>
          <w:rFonts w:ascii="Tahoma" w:hAnsi="Tahoma" w:cs="Tahoma"/>
        </w:rPr>
        <w:t>O.O</w:t>
      </w:r>
      <w:proofErr w:type="gramEnd"/>
      <w:r w:rsidRPr="008B62D5">
        <w:rPr>
          <w:rFonts w:ascii="Tahoma" w:hAnsi="Tahoma" w:cs="Tahoma"/>
        </w:rPr>
        <w:t>. &amp;</w:t>
      </w:r>
      <w:r>
        <w:rPr>
          <w:rFonts w:ascii="Tahoma" w:hAnsi="Tahoma" w:cs="Tahoma"/>
        </w:rPr>
        <w:t xml:space="preserve"> </w:t>
      </w:r>
      <w:proofErr w:type="spellStart"/>
      <w:r w:rsidRPr="008B62D5">
        <w:rPr>
          <w:rFonts w:ascii="Tahoma" w:hAnsi="Tahoma" w:cs="Tahoma"/>
        </w:rPr>
        <w:t>Akpan</w:t>
      </w:r>
      <w:proofErr w:type="spellEnd"/>
      <w:r w:rsidRPr="008B62D5">
        <w:rPr>
          <w:rFonts w:ascii="Tahoma" w:hAnsi="Tahoma" w:cs="Tahoma"/>
        </w:rPr>
        <w:t xml:space="preserve">, I.C. </w:t>
      </w:r>
      <w:r w:rsidRPr="008B62D5">
        <w:rPr>
          <w:rFonts w:ascii="Tahoma" w:hAnsi="Tahoma" w:cs="Tahoma"/>
          <w:b/>
        </w:rPr>
        <w:t>(2016)</w:t>
      </w:r>
      <w:r w:rsidRPr="008B62D5">
        <w:rPr>
          <w:rFonts w:ascii="Tahoma" w:hAnsi="Tahoma" w:cs="Tahoma"/>
        </w:rPr>
        <w:t xml:space="preserve">: </w:t>
      </w:r>
      <w:bookmarkStart w:id="0" w:name="_GoBack"/>
      <w:r w:rsidRPr="008B62D5">
        <w:rPr>
          <w:rFonts w:ascii="Tahoma" w:hAnsi="Tahoma" w:cs="Tahoma"/>
          <w:bCs/>
        </w:rPr>
        <w:t>Ad</w:t>
      </w:r>
      <w:r>
        <w:rPr>
          <w:rFonts w:ascii="Tahoma" w:hAnsi="Tahoma" w:cs="Tahoma"/>
          <w:bCs/>
        </w:rPr>
        <w:t>sorption of c</w:t>
      </w:r>
      <w:r w:rsidRPr="008B62D5">
        <w:rPr>
          <w:rFonts w:ascii="Tahoma" w:hAnsi="Tahoma" w:cs="Tahoma"/>
          <w:bCs/>
        </w:rPr>
        <w:t>yanide</w:t>
      </w:r>
      <w:r>
        <w:rPr>
          <w:rFonts w:ascii="Tahoma" w:hAnsi="Tahoma" w:cs="Tahoma"/>
          <w:bCs/>
        </w:rPr>
        <w:t xml:space="preserve"> </w:t>
      </w:r>
      <w:r w:rsidRPr="008B62D5">
        <w:rPr>
          <w:rFonts w:ascii="Tahoma" w:hAnsi="Tahoma" w:cs="Tahoma"/>
          <w:bCs/>
        </w:rPr>
        <w:t xml:space="preserve">from </w:t>
      </w:r>
      <w:r>
        <w:rPr>
          <w:rFonts w:ascii="Tahoma" w:hAnsi="Tahoma" w:cs="Tahoma"/>
          <w:bCs/>
        </w:rPr>
        <w:t>a</w:t>
      </w:r>
      <w:r w:rsidRPr="008B62D5">
        <w:rPr>
          <w:rFonts w:ascii="Tahoma" w:hAnsi="Tahoma" w:cs="Tahoma"/>
          <w:bCs/>
        </w:rPr>
        <w:t xml:space="preserve">queous </w:t>
      </w:r>
      <w:r>
        <w:rPr>
          <w:rFonts w:ascii="Tahoma" w:hAnsi="Tahoma" w:cs="Tahoma"/>
          <w:bCs/>
        </w:rPr>
        <w:t>solution u</w:t>
      </w:r>
      <w:r w:rsidRPr="008B62D5">
        <w:rPr>
          <w:rFonts w:ascii="Tahoma" w:hAnsi="Tahoma" w:cs="Tahoma"/>
          <w:bCs/>
        </w:rPr>
        <w:t xml:space="preserve">sing </w:t>
      </w:r>
      <w:proofErr w:type="spellStart"/>
      <w:r>
        <w:rPr>
          <w:rFonts w:ascii="Tahoma" w:hAnsi="Tahoma" w:cs="Tahoma"/>
          <w:bCs/>
        </w:rPr>
        <w:t>c</w:t>
      </w:r>
      <w:r w:rsidRPr="008B62D5">
        <w:rPr>
          <w:rFonts w:ascii="Tahoma" w:hAnsi="Tahoma" w:cs="Tahoma"/>
          <w:bCs/>
        </w:rPr>
        <w:t>alcinated</w:t>
      </w:r>
      <w:proofErr w:type="spellEnd"/>
      <w:r w:rsidRPr="008B62D5">
        <w:rPr>
          <w:rFonts w:ascii="Tahoma" w:hAnsi="Tahoma" w:cs="Tahoma"/>
          <w:bCs/>
        </w:rPr>
        <w:t xml:space="preserve"> </w:t>
      </w:r>
      <w:r>
        <w:rPr>
          <w:rFonts w:ascii="Tahoma" w:hAnsi="Tahoma" w:cs="Tahoma"/>
          <w:bCs/>
        </w:rPr>
        <w:t>e</w:t>
      </w:r>
      <w:r w:rsidRPr="008B62D5">
        <w:rPr>
          <w:rFonts w:ascii="Tahoma" w:hAnsi="Tahoma" w:cs="Tahoma"/>
          <w:bCs/>
        </w:rPr>
        <w:t xml:space="preserve">ggshell: </w:t>
      </w:r>
      <w:r>
        <w:rPr>
          <w:rFonts w:ascii="Tahoma" w:hAnsi="Tahoma" w:cs="Tahoma"/>
          <w:bCs/>
        </w:rPr>
        <w:t>e</w:t>
      </w:r>
      <w:r w:rsidRPr="008B62D5">
        <w:rPr>
          <w:rFonts w:ascii="Tahoma" w:hAnsi="Tahoma" w:cs="Tahoma"/>
          <w:bCs/>
        </w:rPr>
        <w:t xml:space="preserve">quilibrium and </w:t>
      </w:r>
      <w:proofErr w:type="spellStart"/>
      <w:r>
        <w:rPr>
          <w:rFonts w:ascii="Tahoma" w:hAnsi="Tahoma" w:cs="Tahoma"/>
          <w:bCs/>
        </w:rPr>
        <w:t>o</w:t>
      </w:r>
      <w:r w:rsidRPr="008B62D5">
        <w:rPr>
          <w:rFonts w:ascii="Tahoma" w:hAnsi="Tahoma" w:cs="Tahoma"/>
          <w:bCs/>
        </w:rPr>
        <w:t>ptimisation</w:t>
      </w:r>
      <w:proofErr w:type="spellEnd"/>
      <w:r w:rsidRPr="008B62D5">
        <w:rPr>
          <w:rFonts w:ascii="Tahoma" w:hAnsi="Tahoma" w:cs="Tahoma"/>
          <w:bCs/>
        </w:rPr>
        <w:t xml:space="preserve"> </w:t>
      </w:r>
      <w:r>
        <w:rPr>
          <w:rFonts w:ascii="Tahoma" w:hAnsi="Tahoma" w:cs="Tahoma"/>
          <w:bCs/>
        </w:rPr>
        <w:t>s</w:t>
      </w:r>
      <w:r w:rsidRPr="008B62D5">
        <w:rPr>
          <w:rFonts w:ascii="Tahoma" w:hAnsi="Tahoma" w:cs="Tahoma"/>
          <w:bCs/>
        </w:rPr>
        <w:t>tudies</w:t>
      </w:r>
      <w:bookmarkEnd w:id="0"/>
      <w:r w:rsidRPr="008B62D5">
        <w:rPr>
          <w:rFonts w:ascii="Tahoma" w:hAnsi="Tahoma" w:cs="Tahoma"/>
          <w:b/>
          <w:bCs/>
        </w:rPr>
        <w:t>.</w:t>
      </w:r>
      <w:r>
        <w:rPr>
          <w:rFonts w:ascii="Tahoma" w:hAnsi="Tahoma" w:cs="Tahoma"/>
          <w:b/>
          <w:bCs/>
        </w:rPr>
        <w:t xml:space="preserve"> </w:t>
      </w:r>
      <w:proofErr w:type="gramStart"/>
      <w:r w:rsidRPr="008B62D5">
        <w:rPr>
          <w:rFonts w:ascii="Tahoma" w:hAnsi="Tahoma" w:cs="Tahoma"/>
          <w:b/>
          <w:bCs/>
        </w:rPr>
        <w:t>Jo</w:t>
      </w:r>
      <w:r w:rsidRPr="008B62D5">
        <w:rPr>
          <w:rFonts w:ascii="Tahoma" w:hAnsi="Tahoma" w:cs="Tahoma"/>
          <w:b/>
          <w:bCs/>
          <w:i/>
        </w:rPr>
        <w:t>urnal of Environmental Chemical Engineering.</w:t>
      </w:r>
      <w:proofErr w:type="gramEnd"/>
      <w:r w:rsidRPr="008B62D5">
        <w:rPr>
          <w:rFonts w:ascii="Tahoma" w:hAnsi="Tahoma" w:cs="Tahoma"/>
          <w:bCs/>
        </w:rPr>
        <w:t xml:space="preserve"> 4: 1367–1375,</w:t>
      </w:r>
      <w:r>
        <w:rPr>
          <w:rFonts w:ascii="Tahoma" w:hAnsi="Tahoma" w:cs="Tahoma"/>
          <w:bCs/>
        </w:rPr>
        <w:t xml:space="preserve"> </w:t>
      </w:r>
      <w:r w:rsidRPr="008B62D5">
        <w:rPr>
          <w:rFonts w:ascii="Tahoma" w:hAnsi="Tahoma" w:cs="Tahoma"/>
          <w:bCs/>
        </w:rPr>
        <w:t xml:space="preserve">Published by Elsevier. Available online at </w:t>
      </w:r>
      <w:hyperlink r:id="rId5" w:history="1">
        <w:r w:rsidRPr="00330992">
          <w:rPr>
            <w:rStyle w:val="Hyperlink"/>
            <w:rFonts w:ascii="Tahoma" w:hAnsi="Tahoma" w:cs="Tahoma"/>
          </w:rPr>
          <w:t>http://dx.doi.org/10.1016/j.jece.2016.01.020</w:t>
        </w:r>
      </w:hyperlink>
    </w:p>
    <w:p w:rsidR="00071BD6" w:rsidRDefault="00071BD6" w:rsidP="00071BD6">
      <w:pPr>
        <w:pStyle w:val="Heading2"/>
        <w:rPr>
          <w:color w:val="000000"/>
          <w:sz w:val="36"/>
        </w:rPr>
      </w:pPr>
      <w:r>
        <w:rPr>
          <w:color w:val="000000"/>
        </w:rPr>
        <w:t>Abstract</w:t>
      </w:r>
    </w:p>
    <w:p w:rsidR="00071BD6" w:rsidRDefault="00071BD6" w:rsidP="00071BD6">
      <w:pPr>
        <w:pStyle w:val="NormalWeb"/>
        <w:jc w:val="both"/>
        <w:rPr>
          <w:color w:val="000000"/>
        </w:rPr>
      </w:pPr>
      <w:r>
        <w:rPr>
          <w:color w:val="000000"/>
        </w:rPr>
        <w:t xml:space="preserve">Eggshells were </w:t>
      </w:r>
      <w:proofErr w:type="spellStart"/>
      <w:r>
        <w:rPr>
          <w:color w:val="000000"/>
        </w:rPr>
        <w:t>calcined</w:t>
      </w:r>
      <w:proofErr w:type="spellEnd"/>
      <w:r>
        <w:rPr>
          <w:color w:val="000000"/>
        </w:rPr>
        <w:t xml:space="preserve"> and used to adsorb cyanide from its aqueous solution. X-ray diffraction (XRD), X-ray fluorescence (XRF), Fourier Transform Infra-red (FTIR) and Scanning Electron Microscope (SEM) were used to characterize both raw and </w:t>
      </w:r>
      <w:proofErr w:type="spellStart"/>
      <w:r>
        <w:rPr>
          <w:color w:val="000000"/>
        </w:rPr>
        <w:t>calcined</w:t>
      </w:r>
      <w:proofErr w:type="spellEnd"/>
      <w:r>
        <w:rPr>
          <w:color w:val="000000"/>
        </w:rPr>
        <w:t xml:space="preserve"> eggshell (CE) while UV spectrophotometer was used to monitor the cyanide concentration. The XRD and FTIR showed the conversion of CaCO</w:t>
      </w:r>
      <w:r>
        <w:rPr>
          <w:color w:val="000000"/>
          <w:vertAlign w:val="subscript"/>
        </w:rPr>
        <w:t>3</w:t>
      </w:r>
      <w:r>
        <w:rPr>
          <w:color w:val="000000"/>
        </w:rPr>
        <w:t xml:space="preserve"> to </w:t>
      </w:r>
      <w:proofErr w:type="spellStart"/>
      <w:r>
        <w:rPr>
          <w:color w:val="000000"/>
        </w:rPr>
        <w:t>CaO</w:t>
      </w:r>
      <w:proofErr w:type="spellEnd"/>
      <w:r>
        <w:rPr>
          <w:color w:val="000000"/>
        </w:rPr>
        <w:t xml:space="preserve">. Batch adsorption experiments were carried out using 10 ml each </w:t>
      </w:r>
      <w:proofErr w:type="gramStart"/>
      <w:r>
        <w:rPr>
          <w:color w:val="000000"/>
        </w:rPr>
        <w:t>of 0.01 </w:t>
      </w:r>
      <w:proofErr w:type="spellStart"/>
      <w:r>
        <w:rPr>
          <w:color w:val="000000"/>
        </w:rPr>
        <w:t>mol</w:t>
      </w:r>
      <w:proofErr w:type="spellEnd"/>
      <w:r>
        <w:rPr>
          <w:color w:val="000000"/>
        </w:rPr>
        <w:t>/L to 0.05 </w:t>
      </w:r>
      <w:proofErr w:type="spellStart"/>
      <w:r>
        <w:rPr>
          <w:color w:val="000000"/>
        </w:rPr>
        <w:t>mol</w:t>
      </w:r>
      <w:proofErr w:type="spellEnd"/>
      <w:r>
        <w:rPr>
          <w:color w:val="000000"/>
        </w:rPr>
        <w:t>/L cyanide solutions</w:t>
      </w:r>
      <w:proofErr w:type="gramEnd"/>
      <w:r>
        <w:rPr>
          <w:color w:val="000000"/>
        </w:rPr>
        <w:t xml:space="preserve"> at different contact times, and adsorbent dosages. To establish optimum adsorption conditions, Central Composite Design (CCD) in Response Surface Methodology (RSM) was employed using the time, concentration and adsorbent dosages as variables at a fixed pH of 7. Adsorption efficiency of 84.53% was obtained </w:t>
      </w:r>
      <w:proofErr w:type="gramStart"/>
      <w:r>
        <w:rPr>
          <w:color w:val="000000"/>
        </w:rPr>
        <w:t>with 0.01 </w:t>
      </w:r>
      <w:proofErr w:type="spellStart"/>
      <w:r>
        <w:rPr>
          <w:color w:val="000000"/>
        </w:rPr>
        <w:t>mol</w:t>
      </w:r>
      <w:proofErr w:type="spellEnd"/>
      <w:r>
        <w:rPr>
          <w:color w:val="000000"/>
        </w:rPr>
        <w:t xml:space="preserve">/L, 8.98 g of </w:t>
      </w:r>
      <w:proofErr w:type="spellStart"/>
      <w:r>
        <w:rPr>
          <w:color w:val="000000"/>
        </w:rPr>
        <w:t>calcined</w:t>
      </w:r>
      <w:proofErr w:type="spellEnd"/>
      <w:r>
        <w:rPr>
          <w:color w:val="000000"/>
        </w:rPr>
        <w:t xml:space="preserve"> eggshell at 26.58 min contact time using RSM</w:t>
      </w:r>
      <w:proofErr w:type="gramEnd"/>
      <w:r>
        <w:rPr>
          <w:color w:val="000000"/>
        </w:rPr>
        <w:t xml:space="preserve">. Pseudo second order kinetic model best fitted the experiment. The coefficients of determination of Langmuir and </w:t>
      </w:r>
      <w:proofErr w:type="spellStart"/>
      <w:r>
        <w:rPr>
          <w:color w:val="000000"/>
        </w:rPr>
        <w:t>Freundlich</w:t>
      </w:r>
      <w:proofErr w:type="spellEnd"/>
      <w:r>
        <w:rPr>
          <w:color w:val="000000"/>
        </w:rPr>
        <w:t xml:space="preserve"> isotherms were 0.988 and 0.650 respectively, with Langmuir isotherm giving a better fit for the adsorption. The maximum monolayer adsorption capacity from Langmuir isotherm was 3.27 mg/g at pH 7 and a temperature of 30 °C</w:t>
      </w:r>
    </w:p>
    <w:p w:rsidR="00071BD6" w:rsidRDefault="00071BD6" w:rsidP="00071BD6">
      <w:pPr>
        <w:jc w:val="both"/>
      </w:pPr>
      <w:r>
        <w:t>Keywords</w:t>
      </w:r>
    </w:p>
    <w:p w:rsidR="00071BD6" w:rsidRDefault="00071BD6" w:rsidP="00071BD6">
      <w:pPr>
        <w:jc w:val="both"/>
      </w:pPr>
      <w:r>
        <w:t>Cyanide, eggshell, cassava, adsorption isotherm</w:t>
      </w:r>
    </w:p>
    <w:p w:rsidR="008B3964" w:rsidRDefault="008B3964"/>
    <w:sectPr w:rsidR="008B396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1BD6"/>
    <w:rsid w:val="00071BD6"/>
    <w:rsid w:val="008B39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BD6"/>
    <w:pPr>
      <w:spacing w:after="160" w:line="259" w:lineRule="auto"/>
    </w:pPr>
  </w:style>
  <w:style w:type="paragraph" w:styleId="Heading2">
    <w:name w:val="heading 2"/>
    <w:basedOn w:val="Normal"/>
    <w:next w:val="Normal"/>
    <w:link w:val="Heading2Char"/>
    <w:uiPriority w:val="9"/>
    <w:semiHidden/>
    <w:unhideWhenUsed/>
    <w:qFormat/>
    <w:rsid w:val="00071BD6"/>
    <w:pPr>
      <w:keepNext/>
      <w:keepLines/>
      <w:spacing w:before="40" w:after="0" w:line="48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71BD6"/>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nhideWhenUsed/>
    <w:rsid w:val="00071BD6"/>
    <w:rPr>
      <w:color w:val="0000FF"/>
      <w:u w:val="single"/>
    </w:rPr>
  </w:style>
  <w:style w:type="paragraph" w:styleId="NormalWeb">
    <w:name w:val="Normal (Web)"/>
    <w:basedOn w:val="Normal"/>
    <w:uiPriority w:val="99"/>
    <w:semiHidden/>
    <w:unhideWhenUsed/>
    <w:rsid w:val="00071BD6"/>
    <w:pPr>
      <w:spacing w:before="100" w:beforeAutospacing="1" w:after="100" w:afterAutospacing="1" w:line="240" w:lineRule="auto"/>
    </w:pPr>
    <w:rPr>
      <w:rFonts w:ascii="Times New Roman" w:eastAsia="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1BD6"/>
    <w:pPr>
      <w:spacing w:after="160" w:line="259" w:lineRule="auto"/>
    </w:pPr>
  </w:style>
  <w:style w:type="paragraph" w:styleId="Heading2">
    <w:name w:val="heading 2"/>
    <w:basedOn w:val="Normal"/>
    <w:next w:val="Normal"/>
    <w:link w:val="Heading2Char"/>
    <w:uiPriority w:val="9"/>
    <w:semiHidden/>
    <w:unhideWhenUsed/>
    <w:qFormat/>
    <w:rsid w:val="00071BD6"/>
    <w:pPr>
      <w:keepNext/>
      <w:keepLines/>
      <w:spacing w:before="40" w:after="0" w:line="480" w:lineRule="auto"/>
      <w:outlineLvl w:val="1"/>
    </w:pPr>
    <w:rPr>
      <w:rFonts w:asciiTheme="majorHAnsi" w:eastAsiaTheme="majorEastAsia" w:hAnsiTheme="majorHAnsi" w:cstheme="majorBidi"/>
      <w:color w:val="365F9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071BD6"/>
    <w:rPr>
      <w:rFonts w:asciiTheme="majorHAnsi" w:eastAsiaTheme="majorEastAsia" w:hAnsiTheme="majorHAnsi" w:cstheme="majorBidi"/>
      <w:color w:val="365F91" w:themeColor="accent1" w:themeShade="BF"/>
      <w:sz w:val="26"/>
      <w:szCs w:val="26"/>
    </w:rPr>
  </w:style>
  <w:style w:type="character" w:styleId="Hyperlink">
    <w:name w:val="Hyperlink"/>
    <w:basedOn w:val="DefaultParagraphFont"/>
    <w:unhideWhenUsed/>
    <w:rsid w:val="00071BD6"/>
    <w:rPr>
      <w:color w:val="0000FF"/>
      <w:u w:val="single"/>
    </w:rPr>
  </w:style>
  <w:style w:type="paragraph" w:styleId="NormalWeb">
    <w:name w:val="Normal (Web)"/>
    <w:basedOn w:val="Normal"/>
    <w:uiPriority w:val="99"/>
    <w:semiHidden/>
    <w:unhideWhenUsed/>
    <w:rsid w:val="00071BD6"/>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dx.doi.org/10.1016/j.jece.2016.01.02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251</Words>
  <Characters>1436</Characters>
  <Application>Microsoft Office Word</Application>
  <DocSecurity>0</DocSecurity>
  <Lines>11</Lines>
  <Paragraphs>3</Paragraphs>
  <ScaleCrop>false</ScaleCrop>
  <Company>HP</Company>
  <LinksUpToDate>false</LinksUpToDate>
  <CharactersWithSpaces>1684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Adeola Eletta</dc:creator>
  <cp:lastModifiedBy>Adeola Eletta</cp:lastModifiedBy>
  <cp:revision>1</cp:revision>
  <dcterms:created xsi:type="dcterms:W3CDTF">2019-11-13T09:49:00Z</dcterms:created>
  <dcterms:modified xsi:type="dcterms:W3CDTF">2019-11-13T09:49:00Z</dcterms:modified>
</cp:coreProperties>
</file>