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EE7" w:rsidRDefault="00376536" w:rsidP="00ED1F37">
      <w:pPr>
        <w:jc w:val="center"/>
        <w:rPr>
          <w:rFonts w:ascii="Times New Roman" w:hAnsi="Times New Roman" w:cs="Times New Roman"/>
          <w:b/>
          <w:sz w:val="28"/>
          <w:szCs w:val="28"/>
        </w:rPr>
      </w:pPr>
      <w:r w:rsidRPr="00376536">
        <w:rPr>
          <w:rFonts w:ascii="Times New Roman" w:hAnsi="Times New Roman" w:cs="Times New Roman"/>
          <w:b/>
          <w:sz w:val="28"/>
          <w:szCs w:val="28"/>
        </w:rPr>
        <w:t xml:space="preserve">PRESERVATION OF </w:t>
      </w:r>
      <w:r w:rsidR="00060304">
        <w:rPr>
          <w:rFonts w:ascii="Times New Roman" w:hAnsi="Times New Roman" w:cs="Times New Roman"/>
          <w:b/>
          <w:sz w:val="28"/>
          <w:szCs w:val="28"/>
        </w:rPr>
        <w:t>THE SUBJECT-MATTER “</w:t>
      </w:r>
      <w:r w:rsidRPr="00376536">
        <w:rPr>
          <w:rFonts w:ascii="Times New Roman" w:hAnsi="Times New Roman" w:cs="Times New Roman"/>
          <w:b/>
          <w:sz w:val="28"/>
          <w:szCs w:val="28"/>
        </w:rPr>
        <w:t>RES</w:t>
      </w:r>
      <w:r w:rsidR="00060304">
        <w:rPr>
          <w:rFonts w:ascii="Times New Roman" w:hAnsi="Times New Roman" w:cs="Times New Roman"/>
          <w:b/>
          <w:sz w:val="28"/>
          <w:szCs w:val="28"/>
        </w:rPr>
        <w:t>”</w:t>
      </w:r>
      <w:r w:rsidRPr="00376536">
        <w:rPr>
          <w:rFonts w:ascii="Times New Roman" w:hAnsi="Times New Roman" w:cs="Times New Roman"/>
          <w:b/>
          <w:sz w:val="28"/>
          <w:szCs w:val="28"/>
        </w:rPr>
        <w:t xml:space="preserve"> BEFORE </w:t>
      </w:r>
      <w:r w:rsidR="00706CEA">
        <w:rPr>
          <w:rFonts w:ascii="Times New Roman" w:hAnsi="Times New Roman" w:cs="Times New Roman"/>
          <w:b/>
          <w:sz w:val="28"/>
          <w:szCs w:val="28"/>
        </w:rPr>
        <w:t xml:space="preserve">A </w:t>
      </w:r>
      <w:r w:rsidRPr="00376536">
        <w:rPr>
          <w:rFonts w:ascii="Times New Roman" w:hAnsi="Times New Roman" w:cs="Times New Roman"/>
          <w:b/>
          <w:sz w:val="28"/>
          <w:szCs w:val="28"/>
        </w:rPr>
        <w:t>COURT: THE NEED TO DE- EMPHASIZE FILLING</w:t>
      </w:r>
      <w:r w:rsidR="007438C8">
        <w:rPr>
          <w:rFonts w:ascii="Times New Roman" w:hAnsi="Times New Roman" w:cs="Times New Roman"/>
          <w:b/>
          <w:sz w:val="28"/>
          <w:szCs w:val="28"/>
        </w:rPr>
        <w:t xml:space="preserve"> OF </w:t>
      </w:r>
      <w:r w:rsidR="00ED1F37">
        <w:rPr>
          <w:rFonts w:ascii="Times New Roman" w:hAnsi="Times New Roman" w:cs="Times New Roman"/>
          <w:b/>
          <w:sz w:val="28"/>
          <w:szCs w:val="28"/>
        </w:rPr>
        <w:t>INJUNCTION</w:t>
      </w:r>
    </w:p>
    <w:p w:rsidR="00376536" w:rsidRDefault="00376536" w:rsidP="00376536">
      <w:pPr>
        <w:jc w:val="center"/>
        <w:rPr>
          <w:rFonts w:ascii="Times New Roman" w:hAnsi="Times New Roman" w:cs="Times New Roman"/>
          <w:b/>
          <w:sz w:val="28"/>
          <w:szCs w:val="28"/>
        </w:rPr>
      </w:pPr>
      <w:r>
        <w:rPr>
          <w:rFonts w:ascii="Times New Roman" w:hAnsi="Times New Roman" w:cs="Times New Roman"/>
          <w:b/>
          <w:sz w:val="28"/>
          <w:szCs w:val="28"/>
        </w:rPr>
        <w:t>BY</w:t>
      </w:r>
    </w:p>
    <w:p w:rsidR="00376536" w:rsidRDefault="0003454B" w:rsidP="0003454B">
      <w:pPr>
        <w:jc w:val="center"/>
        <w:rPr>
          <w:rFonts w:ascii="Times New Roman" w:hAnsi="Times New Roman" w:cs="Times New Roman"/>
          <w:b/>
          <w:sz w:val="28"/>
          <w:szCs w:val="28"/>
        </w:rPr>
      </w:pPr>
      <w:r>
        <w:rPr>
          <w:rFonts w:ascii="Times New Roman" w:hAnsi="Times New Roman" w:cs="Times New Roman"/>
          <w:b/>
          <w:sz w:val="28"/>
          <w:szCs w:val="28"/>
        </w:rPr>
        <w:t>IJAIYA LEKE BASHIR</w:t>
      </w:r>
      <w:r>
        <w:rPr>
          <w:rStyle w:val="EndnoteReference"/>
          <w:rFonts w:ascii="Times New Roman" w:hAnsi="Times New Roman" w:cs="Times New Roman"/>
          <w:b/>
          <w:sz w:val="28"/>
          <w:szCs w:val="28"/>
        </w:rPr>
        <w:endnoteReference w:id="1"/>
      </w:r>
    </w:p>
    <w:p w:rsidR="00376536" w:rsidRDefault="00376536" w:rsidP="00376536">
      <w:pPr>
        <w:jc w:val="center"/>
        <w:rPr>
          <w:rFonts w:ascii="Times New Roman" w:hAnsi="Times New Roman" w:cs="Times New Roman"/>
          <w:b/>
          <w:sz w:val="28"/>
          <w:szCs w:val="28"/>
        </w:rPr>
      </w:pPr>
      <w:r>
        <w:rPr>
          <w:rFonts w:ascii="Times New Roman" w:hAnsi="Times New Roman" w:cs="Times New Roman"/>
          <w:b/>
          <w:sz w:val="28"/>
          <w:szCs w:val="28"/>
        </w:rPr>
        <w:t>ABSTRACT</w:t>
      </w:r>
    </w:p>
    <w:p w:rsidR="00376536" w:rsidRDefault="00376536" w:rsidP="00376536">
      <w:pPr>
        <w:jc w:val="both"/>
        <w:rPr>
          <w:rFonts w:ascii="Times New Roman" w:hAnsi="Times New Roman" w:cs="Times New Roman"/>
          <w:sz w:val="20"/>
          <w:szCs w:val="20"/>
        </w:rPr>
      </w:pPr>
      <w:r w:rsidRPr="00376536">
        <w:rPr>
          <w:rFonts w:ascii="Times New Roman" w:hAnsi="Times New Roman" w:cs="Times New Roman"/>
          <w:sz w:val="20"/>
          <w:szCs w:val="20"/>
        </w:rPr>
        <w:t xml:space="preserve">Undoubtedly, one of the means by which a party or parties in a suit </w:t>
      </w:r>
      <w:r w:rsidR="0092699C">
        <w:rPr>
          <w:rFonts w:ascii="Times New Roman" w:hAnsi="Times New Roman" w:cs="Times New Roman"/>
          <w:sz w:val="20"/>
          <w:szCs w:val="20"/>
        </w:rPr>
        <w:t>could preserve the subject-matter</w:t>
      </w:r>
      <w:r>
        <w:rPr>
          <w:rFonts w:ascii="Times New Roman" w:hAnsi="Times New Roman" w:cs="Times New Roman"/>
          <w:sz w:val="20"/>
          <w:szCs w:val="20"/>
        </w:rPr>
        <w:t xml:space="preserve"> brought before any court is either by </w:t>
      </w:r>
      <w:r w:rsidR="007C47A2">
        <w:rPr>
          <w:rFonts w:ascii="Times New Roman" w:hAnsi="Times New Roman" w:cs="Times New Roman"/>
          <w:sz w:val="20"/>
          <w:szCs w:val="20"/>
        </w:rPr>
        <w:t xml:space="preserve">way of </w:t>
      </w:r>
      <w:r>
        <w:rPr>
          <w:rFonts w:ascii="Times New Roman" w:hAnsi="Times New Roman" w:cs="Times New Roman"/>
          <w:sz w:val="20"/>
          <w:szCs w:val="20"/>
        </w:rPr>
        <w:t xml:space="preserve">injunctions. The preservation </w:t>
      </w:r>
      <w:r w:rsidR="00AD7662">
        <w:rPr>
          <w:rFonts w:ascii="Times New Roman" w:hAnsi="Times New Roman" w:cs="Times New Roman"/>
          <w:sz w:val="20"/>
          <w:szCs w:val="20"/>
        </w:rPr>
        <w:t>of subject-matter</w:t>
      </w:r>
      <w:r>
        <w:rPr>
          <w:rFonts w:ascii="Times New Roman" w:hAnsi="Times New Roman" w:cs="Times New Roman"/>
          <w:sz w:val="20"/>
          <w:szCs w:val="20"/>
        </w:rPr>
        <w:t xml:space="preserve"> by parties to the suit is significant so as not to render nugatory the order of the court at the end of proceedings. Thus, it is a common practice in the Nigerian courts that a party after filling a suit may as well</w:t>
      </w:r>
      <w:r w:rsidR="00ED1F37">
        <w:rPr>
          <w:rFonts w:ascii="Times New Roman" w:hAnsi="Times New Roman" w:cs="Times New Roman"/>
          <w:sz w:val="20"/>
          <w:szCs w:val="20"/>
        </w:rPr>
        <w:t xml:space="preserve"> file</w:t>
      </w:r>
      <w:r>
        <w:rPr>
          <w:rFonts w:ascii="Times New Roman" w:hAnsi="Times New Roman" w:cs="Times New Roman"/>
          <w:sz w:val="20"/>
          <w:szCs w:val="20"/>
        </w:rPr>
        <w:t xml:space="preserve"> either an interim or interlocutory injunction</w:t>
      </w:r>
      <w:r w:rsidR="00AD7662">
        <w:rPr>
          <w:rFonts w:ascii="Times New Roman" w:hAnsi="Times New Roman" w:cs="Times New Roman"/>
          <w:sz w:val="20"/>
          <w:szCs w:val="20"/>
        </w:rPr>
        <w:t>s</w:t>
      </w:r>
      <w:r>
        <w:rPr>
          <w:rFonts w:ascii="Times New Roman" w:hAnsi="Times New Roman" w:cs="Times New Roman"/>
          <w:sz w:val="20"/>
          <w:szCs w:val="20"/>
        </w:rPr>
        <w:t xml:space="preserve"> against his adversar</w:t>
      </w:r>
      <w:r w:rsidR="00AD7662">
        <w:rPr>
          <w:rFonts w:ascii="Times New Roman" w:hAnsi="Times New Roman" w:cs="Times New Roman"/>
          <w:sz w:val="20"/>
          <w:szCs w:val="20"/>
        </w:rPr>
        <w:t xml:space="preserve">ies in order to preserve </w:t>
      </w:r>
      <w:r>
        <w:rPr>
          <w:rFonts w:ascii="Times New Roman" w:hAnsi="Times New Roman" w:cs="Times New Roman"/>
          <w:sz w:val="20"/>
          <w:szCs w:val="20"/>
        </w:rPr>
        <w:t>the subject-matter of the suit</w:t>
      </w:r>
      <w:r w:rsidR="007C47A2">
        <w:rPr>
          <w:rFonts w:ascii="Times New Roman" w:hAnsi="Times New Roman" w:cs="Times New Roman"/>
          <w:sz w:val="20"/>
          <w:szCs w:val="20"/>
        </w:rPr>
        <w:t>. This procedure has not achieved the desired goal to preserving the subject-matter</w:t>
      </w:r>
      <w:r w:rsidR="004F7CE8">
        <w:rPr>
          <w:rFonts w:ascii="Times New Roman" w:hAnsi="Times New Roman" w:cs="Times New Roman"/>
          <w:sz w:val="20"/>
          <w:szCs w:val="20"/>
        </w:rPr>
        <w:t>. The aim of this article is to examine</w:t>
      </w:r>
      <w:r w:rsidR="007C47A2">
        <w:rPr>
          <w:rFonts w:ascii="Times New Roman" w:hAnsi="Times New Roman" w:cs="Times New Roman"/>
          <w:sz w:val="20"/>
          <w:szCs w:val="20"/>
        </w:rPr>
        <w:t xml:space="preserve"> the nature of an </w:t>
      </w:r>
      <w:r w:rsidR="004F7CE8">
        <w:rPr>
          <w:rFonts w:ascii="Times New Roman" w:hAnsi="Times New Roman" w:cs="Times New Roman"/>
          <w:sz w:val="20"/>
          <w:szCs w:val="20"/>
        </w:rPr>
        <w:t xml:space="preserve">injunction in the </w:t>
      </w:r>
      <w:r w:rsidR="007C47A2">
        <w:rPr>
          <w:rFonts w:ascii="Times New Roman" w:hAnsi="Times New Roman" w:cs="Times New Roman"/>
          <w:sz w:val="20"/>
          <w:szCs w:val="20"/>
        </w:rPr>
        <w:t>judicial process</w:t>
      </w:r>
      <w:r w:rsidR="004F7CE8">
        <w:rPr>
          <w:rFonts w:ascii="Times New Roman" w:hAnsi="Times New Roman" w:cs="Times New Roman"/>
          <w:sz w:val="20"/>
          <w:szCs w:val="20"/>
        </w:rPr>
        <w:t>; it is also aimed at examining the</w:t>
      </w:r>
      <w:r w:rsidR="00E14475">
        <w:rPr>
          <w:rFonts w:ascii="Times New Roman" w:hAnsi="Times New Roman" w:cs="Times New Roman"/>
          <w:sz w:val="20"/>
          <w:szCs w:val="20"/>
        </w:rPr>
        <w:t xml:space="preserve"> positio</w:t>
      </w:r>
      <w:r w:rsidR="00ED1F37">
        <w:rPr>
          <w:rFonts w:ascii="Times New Roman" w:hAnsi="Times New Roman" w:cs="Times New Roman"/>
          <w:sz w:val="20"/>
          <w:szCs w:val="20"/>
        </w:rPr>
        <w:t xml:space="preserve">n of the law that </w:t>
      </w:r>
      <w:r w:rsidR="00E14475">
        <w:rPr>
          <w:rFonts w:ascii="Times New Roman" w:hAnsi="Times New Roman" w:cs="Times New Roman"/>
          <w:sz w:val="20"/>
          <w:szCs w:val="20"/>
        </w:rPr>
        <w:t>injunction becomes unnecessary as the law recognizes that once parties s</w:t>
      </w:r>
      <w:r w:rsidR="00AD7662">
        <w:rPr>
          <w:rFonts w:ascii="Times New Roman" w:hAnsi="Times New Roman" w:cs="Times New Roman"/>
          <w:sz w:val="20"/>
          <w:szCs w:val="20"/>
        </w:rPr>
        <w:t>ubmit their</w:t>
      </w:r>
      <w:r w:rsidR="00E14475">
        <w:rPr>
          <w:rFonts w:ascii="Times New Roman" w:hAnsi="Times New Roman" w:cs="Times New Roman"/>
          <w:sz w:val="20"/>
          <w:szCs w:val="20"/>
        </w:rPr>
        <w:t xml:space="preserve"> gri</w:t>
      </w:r>
      <w:r w:rsidR="007C47A2">
        <w:rPr>
          <w:rFonts w:ascii="Times New Roman" w:hAnsi="Times New Roman" w:cs="Times New Roman"/>
          <w:sz w:val="20"/>
          <w:szCs w:val="20"/>
        </w:rPr>
        <w:t>evances to a court</w:t>
      </w:r>
      <w:r w:rsidR="00AD7662">
        <w:rPr>
          <w:rFonts w:ascii="Times New Roman" w:hAnsi="Times New Roman" w:cs="Times New Roman"/>
          <w:sz w:val="20"/>
          <w:szCs w:val="20"/>
        </w:rPr>
        <w:t xml:space="preserve">, </w:t>
      </w:r>
      <w:r w:rsidR="00E14475">
        <w:rPr>
          <w:rFonts w:ascii="Times New Roman" w:hAnsi="Times New Roman" w:cs="Times New Roman"/>
          <w:sz w:val="20"/>
          <w:szCs w:val="20"/>
        </w:rPr>
        <w:t xml:space="preserve">the subject-matter must be preserved till the final determination of the case. Given </w:t>
      </w:r>
      <w:r w:rsidR="00660F58">
        <w:rPr>
          <w:rFonts w:ascii="Times New Roman" w:hAnsi="Times New Roman" w:cs="Times New Roman"/>
          <w:sz w:val="20"/>
          <w:szCs w:val="20"/>
        </w:rPr>
        <w:t xml:space="preserve">this situation, it is </w:t>
      </w:r>
      <w:r w:rsidR="00E14475">
        <w:rPr>
          <w:rFonts w:ascii="Times New Roman" w:hAnsi="Times New Roman" w:cs="Times New Roman"/>
          <w:sz w:val="20"/>
          <w:szCs w:val="20"/>
        </w:rPr>
        <w:t xml:space="preserve">suggested that, court should as a matter of </w:t>
      </w:r>
      <w:r w:rsidR="00ED1F37">
        <w:rPr>
          <w:rFonts w:ascii="Times New Roman" w:hAnsi="Times New Roman" w:cs="Times New Roman"/>
          <w:sz w:val="20"/>
          <w:szCs w:val="20"/>
        </w:rPr>
        <w:t xml:space="preserve">justice </w:t>
      </w:r>
      <w:r w:rsidR="00AC0779">
        <w:rPr>
          <w:rFonts w:ascii="Times New Roman" w:hAnsi="Times New Roman" w:cs="Times New Roman"/>
          <w:sz w:val="20"/>
          <w:szCs w:val="20"/>
        </w:rPr>
        <w:t xml:space="preserve">move away from the procedure </w:t>
      </w:r>
      <w:r w:rsidR="00660F58">
        <w:rPr>
          <w:rFonts w:ascii="Times New Roman" w:hAnsi="Times New Roman" w:cs="Times New Roman"/>
          <w:sz w:val="20"/>
          <w:szCs w:val="20"/>
        </w:rPr>
        <w:t xml:space="preserve">of </w:t>
      </w:r>
      <w:r w:rsidR="00ED1F37">
        <w:rPr>
          <w:rFonts w:ascii="Times New Roman" w:hAnsi="Times New Roman" w:cs="Times New Roman"/>
          <w:sz w:val="20"/>
          <w:szCs w:val="20"/>
        </w:rPr>
        <w:t xml:space="preserve">entertaining </w:t>
      </w:r>
      <w:r w:rsidR="00660F58">
        <w:rPr>
          <w:rFonts w:ascii="Times New Roman" w:hAnsi="Times New Roman" w:cs="Times New Roman"/>
          <w:sz w:val="20"/>
          <w:szCs w:val="20"/>
        </w:rPr>
        <w:t>injunct</w:t>
      </w:r>
      <w:r w:rsidR="001362CE">
        <w:rPr>
          <w:rFonts w:ascii="Times New Roman" w:hAnsi="Times New Roman" w:cs="Times New Roman"/>
          <w:sz w:val="20"/>
          <w:szCs w:val="20"/>
        </w:rPr>
        <w:t>ion for the preservation of subject-matter</w:t>
      </w:r>
      <w:r w:rsidR="00660F58">
        <w:rPr>
          <w:rFonts w:ascii="Times New Roman" w:hAnsi="Times New Roman" w:cs="Times New Roman"/>
          <w:sz w:val="20"/>
          <w:szCs w:val="20"/>
        </w:rPr>
        <w:t xml:space="preserve">. </w:t>
      </w:r>
      <w:r w:rsidR="00ED1F37">
        <w:rPr>
          <w:rFonts w:ascii="Times New Roman" w:hAnsi="Times New Roman" w:cs="Times New Roman"/>
          <w:sz w:val="20"/>
          <w:szCs w:val="20"/>
        </w:rPr>
        <w:t>Also, legal practitioners are also commended to be informed of</w:t>
      </w:r>
      <w:r w:rsidR="00660F58">
        <w:rPr>
          <w:rFonts w:ascii="Times New Roman" w:hAnsi="Times New Roman" w:cs="Times New Roman"/>
          <w:sz w:val="20"/>
          <w:szCs w:val="20"/>
        </w:rPr>
        <w:t xml:space="preserve"> the principle of law that once suits are filed in the court</w:t>
      </w:r>
      <w:r w:rsidR="00ED1F37">
        <w:rPr>
          <w:rFonts w:ascii="Times New Roman" w:hAnsi="Times New Roman" w:cs="Times New Roman"/>
          <w:sz w:val="20"/>
          <w:szCs w:val="20"/>
        </w:rPr>
        <w:t xml:space="preserve"> of law, parties </w:t>
      </w:r>
      <w:r w:rsidR="001362CE">
        <w:rPr>
          <w:rFonts w:ascii="Times New Roman" w:hAnsi="Times New Roman" w:cs="Times New Roman"/>
          <w:sz w:val="20"/>
          <w:szCs w:val="20"/>
        </w:rPr>
        <w:t xml:space="preserve">should </w:t>
      </w:r>
      <w:r w:rsidR="00660F58">
        <w:rPr>
          <w:rFonts w:ascii="Times New Roman" w:hAnsi="Times New Roman" w:cs="Times New Roman"/>
          <w:sz w:val="20"/>
          <w:szCs w:val="20"/>
        </w:rPr>
        <w:t xml:space="preserve">preserve the </w:t>
      </w:r>
      <w:r w:rsidR="001362CE">
        <w:rPr>
          <w:rFonts w:ascii="Times New Roman" w:hAnsi="Times New Roman" w:cs="Times New Roman"/>
          <w:sz w:val="20"/>
          <w:szCs w:val="20"/>
        </w:rPr>
        <w:t>subject-matter from being tampered with</w:t>
      </w:r>
      <w:r w:rsidR="00ED1F37">
        <w:rPr>
          <w:rFonts w:ascii="Times New Roman" w:hAnsi="Times New Roman" w:cs="Times New Roman"/>
          <w:sz w:val="20"/>
          <w:szCs w:val="20"/>
        </w:rPr>
        <w:t xml:space="preserve">. The litigants are also </w:t>
      </w:r>
      <w:r w:rsidR="00660F58">
        <w:rPr>
          <w:rFonts w:ascii="Times New Roman" w:hAnsi="Times New Roman" w:cs="Times New Roman"/>
          <w:sz w:val="20"/>
          <w:szCs w:val="20"/>
        </w:rPr>
        <w:t xml:space="preserve">to ensure that </w:t>
      </w:r>
      <w:r w:rsidR="001362CE">
        <w:rPr>
          <w:rFonts w:ascii="Times New Roman" w:hAnsi="Times New Roman" w:cs="Times New Roman"/>
          <w:sz w:val="20"/>
          <w:szCs w:val="20"/>
        </w:rPr>
        <w:t xml:space="preserve">subject-matter is </w:t>
      </w:r>
      <w:r w:rsidR="00660F58">
        <w:rPr>
          <w:rFonts w:ascii="Times New Roman" w:hAnsi="Times New Roman" w:cs="Times New Roman"/>
          <w:sz w:val="20"/>
          <w:szCs w:val="20"/>
        </w:rPr>
        <w:t>preserved once the grievances are submitted to the Court for determination</w:t>
      </w:r>
    </w:p>
    <w:p w:rsidR="00AD7662" w:rsidRDefault="00AD7662" w:rsidP="00376536">
      <w:pPr>
        <w:jc w:val="both"/>
        <w:rPr>
          <w:rFonts w:ascii="Times New Roman" w:hAnsi="Times New Roman" w:cs="Times New Roman"/>
          <w:b/>
          <w:sz w:val="20"/>
          <w:szCs w:val="20"/>
        </w:rPr>
      </w:pPr>
      <w:r w:rsidRPr="002443BD">
        <w:rPr>
          <w:rFonts w:ascii="Times New Roman" w:hAnsi="Times New Roman" w:cs="Times New Roman"/>
          <w:b/>
          <w:sz w:val="20"/>
          <w:szCs w:val="20"/>
        </w:rPr>
        <w:t xml:space="preserve">Key words: Preservation, </w:t>
      </w:r>
      <w:r w:rsidR="00060304">
        <w:rPr>
          <w:rFonts w:ascii="Times New Roman" w:hAnsi="Times New Roman" w:cs="Times New Roman"/>
          <w:b/>
          <w:sz w:val="20"/>
          <w:szCs w:val="20"/>
        </w:rPr>
        <w:t>Subject-matter “</w:t>
      </w:r>
      <w:r w:rsidRPr="002443BD">
        <w:rPr>
          <w:rFonts w:ascii="Times New Roman" w:hAnsi="Times New Roman" w:cs="Times New Roman"/>
          <w:b/>
          <w:sz w:val="20"/>
          <w:szCs w:val="20"/>
        </w:rPr>
        <w:t>Res</w:t>
      </w:r>
      <w:r w:rsidR="00060304">
        <w:rPr>
          <w:rFonts w:ascii="Times New Roman" w:hAnsi="Times New Roman" w:cs="Times New Roman"/>
          <w:b/>
          <w:sz w:val="20"/>
          <w:szCs w:val="20"/>
        </w:rPr>
        <w:t>”</w:t>
      </w:r>
      <w:r w:rsidRPr="002443BD">
        <w:rPr>
          <w:rFonts w:ascii="Times New Roman" w:hAnsi="Times New Roman" w:cs="Times New Roman"/>
          <w:b/>
          <w:sz w:val="20"/>
          <w:szCs w:val="20"/>
        </w:rPr>
        <w:t>, Court</w:t>
      </w:r>
      <w:r w:rsidR="002443BD">
        <w:rPr>
          <w:rFonts w:ascii="Times New Roman" w:hAnsi="Times New Roman" w:cs="Times New Roman"/>
          <w:b/>
          <w:sz w:val="20"/>
          <w:szCs w:val="20"/>
        </w:rPr>
        <w:t>,</w:t>
      </w:r>
      <w:r w:rsidR="00060304">
        <w:rPr>
          <w:rFonts w:ascii="Times New Roman" w:hAnsi="Times New Roman" w:cs="Times New Roman"/>
          <w:b/>
          <w:sz w:val="20"/>
          <w:szCs w:val="20"/>
        </w:rPr>
        <w:t xml:space="preserve"> </w:t>
      </w:r>
      <w:r w:rsidRPr="002443BD">
        <w:rPr>
          <w:rFonts w:ascii="Times New Roman" w:hAnsi="Times New Roman" w:cs="Times New Roman"/>
          <w:b/>
          <w:sz w:val="20"/>
          <w:szCs w:val="20"/>
        </w:rPr>
        <w:t>Injun</w:t>
      </w:r>
      <w:r w:rsidR="00ED1F37">
        <w:rPr>
          <w:rFonts w:ascii="Times New Roman" w:hAnsi="Times New Roman" w:cs="Times New Roman"/>
          <w:b/>
          <w:sz w:val="20"/>
          <w:szCs w:val="20"/>
        </w:rPr>
        <w:t>ction, Parties</w:t>
      </w:r>
      <w:r w:rsidR="00060304">
        <w:rPr>
          <w:rFonts w:ascii="Times New Roman" w:hAnsi="Times New Roman" w:cs="Times New Roman"/>
          <w:b/>
          <w:sz w:val="20"/>
          <w:szCs w:val="20"/>
        </w:rPr>
        <w:t>, Self -help</w:t>
      </w:r>
    </w:p>
    <w:p w:rsidR="00FA1057" w:rsidRPr="00EE3C04" w:rsidRDefault="00FA1057" w:rsidP="00376536">
      <w:pPr>
        <w:jc w:val="both"/>
        <w:rPr>
          <w:rFonts w:ascii="Times New Roman" w:hAnsi="Times New Roman" w:cs="Times New Roman"/>
          <w:b/>
          <w:sz w:val="24"/>
          <w:szCs w:val="24"/>
        </w:rPr>
      </w:pPr>
    </w:p>
    <w:p w:rsidR="00FA1057" w:rsidRPr="00EE3C04" w:rsidRDefault="00FA1057" w:rsidP="00FA1057">
      <w:pPr>
        <w:pStyle w:val="ListParagraph"/>
        <w:numPr>
          <w:ilvl w:val="0"/>
          <w:numId w:val="1"/>
        </w:numPr>
        <w:ind w:left="360"/>
        <w:jc w:val="both"/>
        <w:rPr>
          <w:rFonts w:ascii="Times New Roman" w:hAnsi="Times New Roman" w:cs="Times New Roman"/>
          <w:b/>
          <w:sz w:val="24"/>
          <w:szCs w:val="24"/>
        </w:rPr>
      </w:pPr>
      <w:r w:rsidRPr="00EE3C04">
        <w:rPr>
          <w:rFonts w:ascii="Times New Roman" w:hAnsi="Times New Roman" w:cs="Times New Roman"/>
          <w:b/>
          <w:sz w:val="24"/>
          <w:szCs w:val="24"/>
        </w:rPr>
        <w:t>INTRODUCTION</w:t>
      </w:r>
    </w:p>
    <w:p w:rsidR="00FA1057" w:rsidRPr="00EE3C04" w:rsidRDefault="00FA1057" w:rsidP="00FA1057">
      <w:pPr>
        <w:spacing w:after="0" w:line="480" w:lineRule="auto"/>
        <w:jc w:val="both"/>
        <w:rPr>
          <w:rFonts w:ascii="Times New Roman" w:hAnsi="Times New Roman" w:cs="Times New Roman"/>
          <w:sz w:val="24"/>
          <w:szCs w:val="24"/>
        </w:rPr>
      </w:pPr>
      <w:r w:rsidRPr="00EE3C04">
        <w:rPr>
          <w:rFonts w:ascii="Times New Roman" w:hAnsi="Times New Roman" w:cs="Times New Roman"/>
          <w:sz w:val="24"/>
          <w:szCs w:val="24"/>
        </w:rPr>
        <w:t>There is an unfettered right for every Nigerian citizens to approach court for the enforcement of his right whenever same is infringed or about to be infringed. Once a citizen choses to exercise such right and a suit is filed before a court, justice requires t</w:t>
      </w:r>
      <w:r w:rsidR="00397968" w:rsidRPr="00EE3C04">
        <w:rPr>
          <w:rFonts w:ascii="Times New Roman" w:hAnsi="Times New Roman" w:cs="Times New Roman"/>
          <w:sz w:val="24"/>
          <w:szCs w:val="24"/>
        </w:rPr>
        <w:t>hat both the plaintiff and d</w:t>
      </w:r>
      <w:r w:rsidRPr="00EE3C04">
        <w:rPr>
          <w:rFonts w:ascii="Times New Roman" w:hAnsi="Times New Roman" w:cs="Times New Roman"/>
          <w:sz w:val="24"/>
          <w:szCs w:val="24"/>
        </w:rPr>
        <w:t>efendant are to maintain the status quo for the preservation of the subject-matter. This is n</w:t>
      </w:r>
      <w:r w:rsidR="00397968" w:rsidRPr="00EE3C04">
        <w:rPr>
          <w:rFonts w:ascii="Times New Roman" w:hAnsi="Times New Roman" w:cs="Times New Roman"/>
          <w:sz w:val="24"/>
          <w:szCs w:val="24"/>
        </w:rPr>
        <w:t xml:space="preserve">ecessary so as not to render the outcome of the suit nugatory. It is a common practice in Nigeria that, whenever proceedings is commenced in court interim or interlocutory injunctions are filed contemporaneously with the substantive so as to obtain a court order to restrain parties to a suit to preserve and maintain the status quo of the subject-matter with which the court is called upon to adjudicate upon. </w:t>
      </w:r>
      <w:r w:rsidR="003E2601" w:rsidRPr="00EE3C04">
        <w:rPr>
          <w:rFonts w:ascii="Times New Roman" w:hAnsi="Times New Roman" w:cs="Times New Roman"/>
          <w:sz w:val="24"/>
          <w:szCs w:val="24"/>
        </w:rPr>
        <w:t xml:space="preserve">The reason for this step being taken is not far-fetched; it is to stem the tide of the notorious attitude of parties to a litigation altering and tempering with the subject-matter of litigation thereby rendering whatever may be the outcome of the court nugatory. The filling of </w:t>
      </w:r>
      <w:r w:rsidR="003E2601" w:rsidRPr="00EE3C04">
        <w:rPr>
          <w:rFonts w:ascii="Times New Roman" w:hAnsi="Times New Roman" w:cs="Times New Roman"/>
          <w:sz w:val="24"/>
          <w:szCs w:val="24"/>
        </w:rPr>
        <w:lastRenderedPageBreak/>
        <w:t xml:space="preserve">injunction to restrain parties to a litigation becomes unnecessary in view of the well settled principle of law that, once parties to litigation have submitted their grievances to a court of competent jurisdiction, applying for or granting of injunction becomes unnecessary. </w:t>
      </w:r>
      <w:r w:rsidR="007A40FB" w:rsidRPr="00EE3C04">
        <w:rPr>
          <w:rFonts w:ascii="Times New Roman" w:hAnsi="Times New Roman" w:cs="Times New Roman"/>
          <w:sz w:val="24"/>
          <w:szCs w:val="24"/>
        </w:rPr>
        <w:t>Thus</w:t>
      </w:r>
      <w:r w:rsidR="001A68ED">
        <w:rPr>
          <w:rFonts w:ascii="Times New Roman" w:hAnsi="Times New Roman" w:cs="Times New Roman"/>
          <w:sz w:val="24"/>
          <w:szCs w:val="24"/>
        </w:rPr>
        <w:t>, this article is divided into five</w:t>
      </w:r>
      <w:r w:rsidR="007A40FB" w:rsidRPr="00EE3C04">
        <w:rPr>
          <w:rFonts w:ascii="Times New Roman" w:hAnsi="Times New Roman" w:cs="Times New Roman"/>
          <w:sz w:val="24"/>
          <w:szCs w:val="24"/>
        </w:rPr>
        <w:t xml:space="preserve"> parts. Part one focuses on the introduction with specific position of the law on why injunction is granted and the need for parties to maintain the status quo once a suit is pending before a court of competent jurisdiction. Part </w:t>
      </w:r>
      <w:r w:rsidR="009C4855" w:rsidRPr="00EE3C04">
        <w:rPr>
          <w:rFonts w:ascii="Times New Roman" w:hAnsi="Times New Roman" w:cs="Times New Roman"/>
          <w:sz w:val="24"/>
          <w:szCs w:val="24"/>
        </w:rPr>
        <w:t>two discusses</w:t>
      </w:r>
      <w:r w:rsidR="00EE3C04" w:rsidRPr="00EE3C04">
        <w:rPr>
          <w:rFonts w:ascii="Times New Roman" w:hAnsi="Times New Roman" w:cs="Times New Roman"/>
          <w:sz w:val="24"/>
          <w:szCs w:val="24"/>
        </w:rPr>
        <w:t xml:space="preserve"> when is an action said to be commenced and</w:t>
      </w:r>
      <w:r w:rsidR="009C4855" w:rsidRPr="00EE3C04">
        <w:rPr>
          <w:rFonts w:ascii="Times New Roman" w:hAnsi="Times New Roman" w:cs="Times New Roman"/>
          <w:sz w:val="24"/>
          <w:szCs w:val="24"/>
        </w:rPr>
        <w:t xml:space="preserve"> the method of</w:t>
      </w:r>
      <w:r w:rsidR="007A40FB" w:rsidRPr="00EE3C04">
        <w:rPr>
          <w:rFonts w:ascii="Times New Roman" w:hAnsi="Times New Roman" w:cs="Times New Roman"/>
          <w:sz w:val="24"/>
          <w:szCs w:val="24"/>
        </w:rPr>
        <w:t xml:space="preserve"> commen</w:t>
      </w:r>
      <w:r w:rsidR="009C4855" w:rsidRPr="00EE3C04">
        <w:rPr>
          <w:rFonts w:ascii="Times New Roman" w:hAnsi="Times New Roman" w:cs="Times New Roman"/>
          <w:sz w:val="24"/>
          <w:szCs w:val="24"/>
        </w:rPr>
        <w:t>cing action in the court of law. Part three focuses on the meaning of injunction and its types. Part four focuses on the various case law on the preservation of Res without necessarily filling an inju</w:t>
      </w:r>
      <w:r w:rsidR="001A68ED">
        <w:rPr>
          <w:rFonts w:ascii="Times New Roman" w:hAnsi="Times New Roman" w:cs="Times New Roman"/>
          <w:sz w:val="24"/>
          <w:szCs w:val="24"/>
        </w:rPr>
        <w:t>nction before a court. The article</w:t>
      </w:r>
      <w:bookmarkStart w:id="0" w:name="_GoBack"/>
      <w:bookmarkEnd w:id="0"/>
      <w:r w:rsidR="009C4855" w:rsidRPr="00EE3C04">
        <w:rPr>
          <w:rFonts w:ascii="Times New Roman" w:hAnsi="Times New Roman" w:cs="Times New Roman"/>
          <w:sz w:val="24"/>
          <w:szCs w:val="24"/>
        </w:rPr>
        <w:t xml:space="preserve"> is concluded with a conclusion and recommendation</w:t>
      </w:r>
    </w:p>
    <w:p w:rsidR="009C4855" w:rsidRPr="00EE3C04" w:rsidRDefault="009C4855" w:rsidP="00FA1057">
      <w:pPr>
        <w:spacing w:after="0" w:line="480" w:lineRule="auto"/>
        <w:jc w:val="both"/>
        <w:rPr>
          <w:rFonts w:ascii="Times New Roman" w:hAnsi="Times New Roman" w:cs="Times New Roman"/>
          <w:sz w:val="24"/>
          <w:szCs w:val="24"/>
        </w:rPr>
      </w:pPr>
    </w:p>
    <w:p w:rsidR="009C4855" w:rsidRPr="008959EE" w:rsidRDefault="00EE3C04" w:rsidP="008959EE">
      <w:pPr>
        <w:pStyle w:val="ListParagraph"/>
        <w:numPr>
          <w:ilvl w:val="0"/>
          <w:numId w:val="1"/>
        </w:numPr>
        <w:spacing w:after="0" w:line="480" w:lineRule="auto"/>
        <w:ind w:left="360"/>
        <w:jc w:val="both"/>
        <w:rPr>
          <w:rFonts w:ascii="Times New Roman" w:hAnsi="Times New Roman" w:cs="Times New Roman"/>
          <w:b/>
          <w:sz w:val="24"/>
          <w:szCs w:val="24"/>
        </w:rPr>
      </w:pPr>
      <w:r w:rsidRPr="008959EE">
        <w:rPr>
          <w:rFonts w:ascii="Times New Roman" w:hAnsi="Times New Roman" w:cs="Times New Roman"/>
          <w:b/>
          <w:sz w:val="24"/>
          <w:szCs w:val="24"/>
        </w:rPr>
        <w:t xml:space="preserve">0. COMMENCEMENT OF ACTION </w:t>
      </w:r>
    </w:p>
    <w:p w:rsidR="00EE3C04" w:rsidRDefault="00EE3C04" w:rsidP="00EE3C04">
      <w:pPr>
        <w:spacing w:after="0" w:line="480" w:lineRule="auto"/>
        <w:jc w:val="both"/>
        <w:rPr>
          <w:rFonts w:ascii="Times New Roman" w:hAnsi="Times New Roman" w:cs="Times New Roman"/>
          <w:sz w:val="24"/>
          <w:szCs w:val="24"/>
        </w:rPr>
      </w:pPr>
      <w:r w:rsidRPr="00EE3C04">
        <w:rPr>
          <w:rFonts w:ascii="Times New Roman" w:hAnsi="Times New Roman" w:cs="Times New Roman"/>
          <w:sz w:val="24"/>
          <w:szCs w:val="24"/>
        </w:rPr>
        <w:t xml:space="preserve">The test </w:t>
      </w:r>
      <w:r>
        <w:rPr>
          <w:rFonts w:ascii="Times New Roman" w:hAnsi="Times New Roman" w:cs="Times New Roman"/>
          <w:sz w:val="24"/>
          <w:szCs w:val="24"/>
        </w:rPr>
        <w:t xml:space="preserve">for the commencement of an action both according to the English rules and the local rules of Court appears to be that the plaintiff must have done all that is required of him by law to commence his action. In England, all the plaintiff has to do is to buy the writ and endorse it. In Nigeria, </w:t>
      </w:r>
      <w:r w:rsidR="006D2E1E">
        <w:rPr>
          <w:rFonts w:ascii="Times New Roman" w:hAnsi="Times New Roman" w:cs="Times New Roman"/>
          <w:sz w:val="24"/>
          <w:szCs w:val="24"/>
        </w:rPr>
        <w:t>the plaintiff has to make an application to the registrar and pay necessary fees. From then on, his responsibility ceases and what is left to be done is a domestic affair of the court and its staff. From the time the plaintiff in Nigeria delivers his application to the registrar (provided it is not an action in which the consent of the court is necessary before the writ is issued) and he pays the necessary fees, an action or suit has been commenced</w:t>
      </w:r>
      <w:r w:rsidR="006D2E1E">
        <w:rPr>
          <w:rStyle w:val="EndnoteReference"/>
          <w:rFonts w:ascii="Times New Roman" w:hAnsi="Times New Roman" w:cs="Times New Roman"/>
          <w:sz w:val="24"/>
          <w:szCs w:val="24"/>
        </w:rPr>
        <w:endnoteReference w:id="2"/>
      </w:r>
    </w:p>
    <w:p w:rsidR="004D7F09" w:rsidRDefault="004D7F09" w:rsidP="00EE3C04">
      <w:pPr>
        <w:spacing w:after="0" w:line="480" w:lineRule="auto"/>
        <w:jc w:val="both"/>
        <w:rPr>
          <w:rFonts w:ascii="Times New Roman" w:hAnsi="Times New Roman" w:cs="Times New Roman"/>
          <w:sz w:val="24"/>
          <w:szCs w:val="24"/>
        </w:rPr>
      </w:pPr>
    </w:p>
    <w:p w:rsidR="00C561C3" w:rsidRDefault="00C561C3" w:rsidP="00EE3C0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It is important to note that payment of filling fee is a condition precedent for any court to assume jurisdiction on a matter in Nigeria. Under the Nigeria system of Court administration, it is not </w:t>
      </w:r>
      <w:r>
        <w:rPr>
          <w:rFonts w:ascii="Times New Roman" w:hAnsi="Times New Roman" w:cs="Times New Roman"/>
          <w:sz w:val="24"/>
          <w:szCs w:val="24"/>
        </w:rPr>
        <w:lastRenderedPageBreak/>
        <w:t>possible for a litigant to walk into our Courts to institute a suit without paying fees. Such fees are being charged for the purpose of raising funds for public purpose. They are not being charged to punish the litigants for deciding to take advantage of the provisions of Section 6 of the 1999 Constitution (as amended)</w:t>
      </w:r>
      <w:r>
        <w:rPr>
          <w:rStyle w:val="EndnoteReference"/>
          <w:rFonts w:ascii="Times New Roman" w:hAnsi="Times New Roman" w:cs="Times New Roman"/>
          <w:sz w:val="24"/>
          <w:szCs w:val="24"/>
        </w:rPr>
        <w:endnoteReference w:id="3"/>
      </w:r>
    </w:p>
    <w:p w:rsidR="004D7F09" w:rsidRDefault="004D7F09" w:rsidP="00EE3C04">
      <w:pPr>
        <w:spacing w:after="0" w:line="480" w:lineRule="auto"/>
        <w:jc w:val="both"/>
        <w:rPr>
          <w:rFonts w:ascii="Times New Roman" w:hAnsi="Times New Roman" w:cs="Times New Roman"/>
          <w:sz w:val="24"/>
          <w:szCs w:val="24"/>
        </w:rPr>
      </w:pPr>
    </w:p>
    <w:p w:rsidR="008959EE" w:rsidRDefault="008959EE" w:rsidP="008959EE">
      <w:pPr>
        <w:pStyle w:val="ListParagraph"/>
        <w:numPr>
          <w:ilvl w:val="1"/>
          <w:numId w:val="1"/>
        </w:numPr>
        <w:spacing w:after="0" w:line="480" w:lineRule="auto"/>
        <w:ind w:left="360"/>
        <w:jc w:val="both"/>
        <w:rPr>
          <w:rFonts w:ascii="Times New Roman" w:hAnsi="Times New Roman" w:cs="Times New Roman"/>
          <w:b/>
          <w:sz w:val="24"/>
          <w:szCs w:val="24"/>
        </w:rPr>
      </w:pPr>
      <w:r w:rsidRPr="008959EE">
        <w:rPr>
          <w:rFonts w:ascii="Times New Roman" w:hAnsi="Times New Roman" w:cs="Times New Roman"/>
          <w:b/>
          <w:sz w:val="24"/>
          <w:szCs w:val="24"/>
        </w:rPr>
        <w:t xml:space="preserve"> MODES OF COMMENCEMENT OF ACTION </w:t>
      </w:r>
    </w:p>
    <w:p w:rsidR="008959EE" w:rsidRDefault="008959EE" w:rsidP="008959EE">
      <w:pPr>
        <w:spacing w:after="0" w:line="480" w:lineRule="auto"/>
        <w:jc w:val="both"/>
        <w:rPr>
          <w:rFonts w:ascii="Times New Roman" w:hAnsi="Times New Roman" w:cs="Times New Roman"/>
          <w:sz w:val="24"/>
          <w:szCs w:val="24"/>
        </w:rPr>
      </w:pPr>
      <w:r w:rsidRPr="008959EE">
        <w:rPr>
          <w:rFonts w:ascii="Times New Roman" w:hAnsi="Times New Roman" w:cs="Times New Roman"/>
          <w:sz w:val="24"/>
          <w:szCs w:val="24"/>
        </w:rPr>
        <w:t>Indeed, there are four broad modes of commencing civil suits namely</w:t>
      </w:r>
      <w:r>
        <w:rPr>
          <w:rFonts w:ascii="Times New Roman" w:hAnsi="Times New Roman" w:cs="Times New Roman"/>
          <w:sz w:val="24"/>
          <w:szCs w:val="24"/>
        </w:rPr>
        <w:t>, by (i) Writ of Summons; (ii) Originating Summons; (iii) Originating Motions, and (iv) Petitions. The first three methods are prescribed by the Ru</w:t>
      </w:r>
      <w:r w:rsidR="00F77FFE">
        <w:rPr>
          <w:rFonts w:ascii="Times New Roman" w:hAnsi="Times New Roman" w:cs="Times New Roman"/>
          <w:sz w:val="24"/>
          <w:szCs w:val="24"/>
        </w:rPr>
        <w:t>les of Courts, namely</w:t>
      </w:r>
      <w:r>
        <w:rPr>
          <w:rFonts w:ascii="Times New Roman" w:hAnsi="Times New Roman" w:cs="Times New Roman"/>
          <w:sz w:val="24"/>
          <w:szCs w:val="24"/>
        </w:rPr>
        <w:t xml:space="preserve">, the Rules of Court in relation to Writ of Summons, Originating Summons and Originating Motions. The latter, Originating Motions could be categorized into two broad types (i) Originating Motions for Prerogative Orders and (ii) Originating Motions under the Fundamental Rights (Enforcement Procedure) Rules 1999 (made pursuant to the authorities that inhere in the Chief Justice of Nigeria) Lastly, Petitions as modes of originating actions are employed in commencing suits pursuant to </w:t>
      </w:r>
      <w:r w:rsidR="009E49B0">
        <w:rPr>
          <w:rFonts w:ascii="Times New Roman" w:hAnsi="Times New Roman" w:cs="Times New Roman"/>
          <w:sz w:val="24"/>
          <w:szCs w:val="24"/>
        </w:rPr>
        <w:t>express statutory provisions</w:t>
      </w:r>
      <w:r w:rsidR="009E49B0">
        <w:rPr>
          <w:rStyle w:val="EndnoteReference"/>
          <w:rFonts w:ascii="Times New Roman" w:hAnsi="Times New Roman" w:cs="Times New Roman"/>
          <w:sz w:val="24"/>
          <w:szCs w:val="24"/>
        </w:rPr>
        <w:endnoteReference w:id="4"/>
      </w:r>
    </w:p>
    <w:p w:rsidR="007B290B" w:rsidRDefault="007B290B" w:rsidP="008959EE">
      <w:pPr>
        <w:spacing w:after="0" w:line="480" w:lineRule="auto"/>
        <w:jc w:val="both"/>
        <w:rPr>
          <w:rFonts w:ascii="Times New Roman" w:hAnsi="Times New Roman" w:cs="Times New Roman"/>
          <w:sz w:val="24"/>
          <w:szCs w:val="24"/>
        </w:rPr>
      </w:pPr>
    </w:p>
    <w:p w:rsidR="007B290B" w:rsidRDefault="007B290B" w:rsidP="007B290B">
      <w:pPr>
        <w:pStyle w:val="ListParagraph"/>
        <w:numPr>
          <w:ilvl w:val="0"/>
          <w:numId w:val="1"/>
        </w:numPr>
        <w:spacing w:after="0" w:line="480" w:lineRule="auto"/>
        <w:ind w:left="360"/>
        <w:jc w:val="both"/>
        <w:rPr>
          <w:rFonts w:ascii="Times New Roman" w:hAnsi="Times New Roman" w:cs="Times New Roman"/>
          <w:b/>
          <w:sz w:val="24"/>
          <w:szCs w:val="24"/>
        </w:rPr>
      </w:pPr>
      <w:r w:rsidRPr="007B290B">
        <w:rPr>
          <w:rFonts w:ascii="Times New Roman" w:hAnsi="Times New Roman" w:cs="Times New Roman"/>
          <w:b/>
          <w:sz w:val="24"/>
          <w:szCs w:val="24"/>
        </w:rPr>
        <w:t>0. THE MEANING</w:t>
      </w:r>
      <w:r w:rsidR="00736C1E">
        <w:rPr>
          <w:rFonts w:ascii="Times New Roman" w:hAnsi="Times New Roman" w:cs="Times New Roman"/>
          <w:b/>
          <w:sz w:val="24"/>
          <w:szCs w:val="24"/>
        </w:rPr>
        <w:t xml:space="preserve"> AND DESCRIPTION</w:t>
      </w:r>
      <w:r w:rsidRPr="007B290B">
        <w:rPr>
          <w:rFonts w:ascii="Times New Roman" w:hAnsi="Times New Roman" w:cs="Times New Roman"/>
          <w:b/>
          <w:sz w:val="24"/>
          <w:szCs w:val="24"/>
        </w:rPr>
        <w:t xml:space="preserve"> OF INJUNCTION</w:t>
      </w:r>
    </w:p>
    <w:p w:rsidR="007B290B" w:rsidRDefault="007B290B" w:rsidP="007B290B">
      <w:pPr>
        <w:spacing w:after="0" w:line="480" w:lineRule="auto"/>
        <w:jc w:val="both"/>
        <w:rPr>
          <w:rFonts w:ascii="Times New Roman" w:hAnsi="Times New Roman" w:cs="Times New Roman"/>
          <w:sz w:val="24"/>
          <w:szCs w:val="24"/>
        </w:rPr>
      </w:pPr>
      <w:r w:rsidRPr="007B290B">
        <w:rPr>
          <w:rFonts w:ascii="Times New Roman" w:hAnsi="Times New Roman" w:cs="Times New Roman"/>
          <w:sz w:val="24"/>
          <w:szCs w:val="24"/>
        </w:rPr>
        <w:t xml:space="preserve">Generally, every other of a Court which commands </w:t>
      </w:r>
      <w:r>
        <w:rPr>
          <w:rFonts w:ascii="Times New Roman" w:hAnsi="Times New Roman" w:cs="Times New Roman"/>
          <w:sz w:val="24"/>
          <w:szCs w:val="24"/>
        </w:rPr>
        <w:t>or forbids is an injunction but in its acce</w:t>
      </w:r>
      <w:r w:rsidR="00274764">
        <w:rPr>
          <w:rFonts w:ascii="Times New Roman" w:hAnsi="Times New Roman" w:cs="Times New Roman"/>
          <w:sz w:val="24"/>
          <w:szCs w:val="24"/>
        </w:rPr>
        <w:t>pted legal sense, an injunction is a judicial process or mandate operating in personam by which upon certain established principles of equity, a party is required to do or refrain from doing a particular thing.</w:t>
      </w:r>
      <w:r w:rsidR="00274764">
        <w:rPr>
          <w:rStyle w:val="EndnoteReference"/>
          <w:rFonts w:ascii="Times New Roman" w:hAnsi="Times New Roman" w:cs="Times New Roman"/>
          <w:sz w:val="24"/>
          <w:szCs w:val="24"/>
        </w:rPr>
        <w:endnoteReference w:id="5"/>
      </w:r>
      <w:r w:rsidR="00274764">
        <w:rPr>
          <w:rFonts w:ascii="Times New Roman" w:hAnsi="Times New Roman" w:cs="Times New Roman"/>
          <w:sz w:val="24"/>
          <w:szCs w:val="24"/>
        </w:rPr>
        <w:t xml:space="preserve"> </w:t>
      </w:r>
    </w:p>
    <w:p w:rsidR="004D7F09" w:rsidRDefault="004D7F09" w:rsidP="007B290B">
      <w:pPr>
        <w:spacing w:after="0" w:line="480" w:lineRule="auto"/>
        <w:jc w:val="both"/>
        <w:rPr>
          <w:rFonts w:ascii="Times New Roman" w:hAnsi="Times New Roman" w:cs="Times New Roman"/>
          <w:sz w:val="24"/>
          <w:szCs w:val="24"/>
        </w:rPr>
      </w:pPr>
    </w:p>
    <w:p w:rsidR="00F41BB7" w:rsidRDefault="00274764" w:rsidP="007B290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It is elementary law that injunction is an equitable relief. The Court of Chancery in England granted injunctions to restrain a person from proceeding in common law courts or from executing </w:t>
      </w:r>
      <w:r>
        <w:rPr>
          <w:rFonts w:ascii="Times New Roman" w:hAnsi="Times New Roman" w:cs="Times New Roman"/>
          <w:sz w:val="24"/>
          <w:szCs w:val="24"/>
        </w:rPr>
        <w:lastRenderedPageBreak/>
        <w:t>judgments obtained. Such injunctions were referred to or called common injunctions. Although the Law Procedure Act, 1854 empowered the Common Law Courts</w:t>
      </w:r>
      <w:r w:rsidR="00F41BB7">
        <w:rPr>
          <w:rFonts w:ascii="Times New Roman" w:hAnsi="Times New Roman" w:cs="Times New Roman"/>
          <w:sz w:val="24"/>
          <w:szCs w:val="24"/>
        </w:rPr>
        <w:t xml:space="preserve"> to grant injunctions in certain cases, the situation changed for the good of the Court system in 1985 when the Courts were amalgamated and the power to grant injunctions was vested on all Divisions of the High Court. But history is clear that injunction had its origin and evolution from the Courts of Equity.</w:t>
      </w:r>
      <w:r w:rsidR="00F41BB7">
        <w:rPr>
          <w:rStyle w:val="EndnoteReference"/>
          <w:rFonts w:ascii="Times New Roman" w:hAnsi="Times New Roman" w:cs="Times New Roman"/>
          <w:sz w:val="24"/>
          <w:szCs w:val="24"/>
        </w:rPr>
        <w:endnoteReference w:id="6"/>
      </w:r>
      <w:r>
        <w:rPr>
          <w:rFonts w:ascii="Times New Roman" w:hAnsi="Times New Roman" w:cs="Times New Roman"/>
          <w:sz w:val="24"/>
          <w:szCs w:val="24"/>
        </w:rPr>
        <w:t xml:space="preserve"> </w:t>
      </w:r>
      <w:r w:rsidR="00F41BB7">
        <w:rPr>
          <w:rFonts w:ascii="Times New Roman" w:hAnsi="Times New Roman" w:cs="Times New Roman"/>
          <w:sz w:val="24"/>
          <w:szCs w:val="24"/>
        </w:rPr>
        <w:t xml:space="preserve">It is also significant to note that the aim of an order of injunction is to protect an established right of the applicant. This is a fundamental requirement. </w:t>
      </w:r>
      <w:r w:rsidR="00F41BB7">
        <w:rPr>
          <w:rStyle w:val="EndnoteReference"/>
          <w:rFonts w:ascii="Times New Roman" w:hAnsi="Times New Roman" w:cs="Times New Roman"/>
          <w:sz w:val="24"/>
          <w:szCs w:val="24"/>
        </w:rPr>
        <w:endnoteReference w:id="7"/>
      </w:r>
      <w:r w:rsidR="002E15F1">
        <w:rPr>
          <w:rFonts w:ascii="Times New Roman" w:hAnsi="Times New Roman" w:cs="Times New Roman"/>
          <w:sz w:val="24"/>
          <w:szCs w:val="24"/>
        </w:rPr>
        <w:t>. The granting of an injunction is an equitable remedy and therefore discretionary. Breach of an injunction is a contempt of Court. The preservation of the subject-matter “res” in dispute or the maintenance of the “status quo” is achieved through the judicial process of the equitable order of injunction. Injunction is a ‘Court order prohibiting someone from doing some specified act or commanding someone to undo some wrong or injury</w:t>
      </w:r>
      <w:r w:rsidR="002E15F1">
        <w:rPr>
          <w:rStyle w:val="EndnoteReference"/>
          <w:rFonts w:ascii="Times New Roman" w:hAnsi="Times New Roman" w:cs="Times New Roman"/>
          <w:sz w:val="24"/>
          <w:szCs w:val="24"/>
        </w:rPr>
        <w:endnoteReference w:id="8"/>
      </w:r>
      <w:r w:rsidR="002E15F1">
        <w:rPr>
          <w:rFonts w:ascii="Times New Roman" w:hAnsi="Times New Roman" w:cs="Times New Roman"/>
          <w:sz w:val="24"/>
          <w:szCs w:val="24"/>
        </w:rPr>
        <w:t xml:space="preserve">. Since injunction is an equitable remedy, it is usually granted at the discretion of the Court which must be exercised judicially and judiciously.  </w:t>
      </w:r>
    </w:p>
    <w:p w:rsidR="004D7F09" w:rsidRDefault="004D7F09" w:rsidP="007B290B">
      <w:pPr>
        <w:spacing w:after="0" w:line="480" w:lineRule="auto"/>
        <w:jc w:val="both"/>
        <w:rPr>
          <w:rFonts w:ascii="Times New Roman" w:hAnsi="Times New Roman" w:cs="Times New Roman"/>
          <w:sz w:val="24"/>
          <w:szCs w:val="24"/>
        </w:rPr>
      </w:pPr>
    </w:p>
    <w:p w:rsidR="00F41BB7" w:rsidRDefault="00F41BB7" w:rsidP="007B290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There are factors that need to be considered before an order of injunction is granted by a </w:t>
      </w:r>
      <w:r w:rsidR="002E15F1">
        <w:rPr>
          <w:rFonts w:ascii="Times New Roman" w:hAnsi="Times New Roman" w:cs="Times New Roman"/>
          <w:sz w:val="24"/>
          <w:szCs w:val="24"/>
        </w:rPr>
        <w:t xml:space="preserve">Court. These conditions are stated </w:t>
      </w:r>
      <w:r w:rsidR="00057DA4">
        <w:rPr>
          <w:rFonts w:ascii="Times New Roman" w:hAnsi="Times New Roman" w:cs="Times New Roman"/>
          <w:sz w:val="24"/>
          <w:szCs w:val="24"/>
        </w:rPr>
        <w:t>by the Supreme Court of Nigeria in the case of Adeleke &amp; Others v. Lawal &amp; Others</w:t>
      </w:r>
      <w:r w:rsidR="00057DA4">
        <w:rPr>
          <w:rStyle w:val="EndnoteReference"/>
          <w:rFonts w:ascii="Times New Roman" w:hAnsi="Times New Roman" w:cs="Times New Roman"/>
          <w:sz w:val="24"/>
          <w:szCs w:val="24"/>
        </w:rPr>
        <w:endnoteReference w:id="9"/>
      </w:r>
      <w:r w:rsidR="00057DA4">
        <w:rPr>
          <w:rFonts w:ascii="Times New Roman" w:hAnsi="Times New Roman" w:cs="Times New Roman"/>
          <w:sz w:val="24"/>
          <w:szCs w:val="24"/>
        </w:rPr>
        <w:t>. The conditions include: (i) Existence of a legal right (ii) Substantial issue to be tried © Balance of convenience (iv) irreparable damage or injury (v) Conduct of the parties and (vi) Undertaking as to damages”</w:t>
      </w:r>
    </w:p>
    <w:p w:rsidR="00736C1E" w:rsidRDefault="00736C1E" w:rsidP="007B290B">
      <w:pPr>
        <w:spacing w:after="0" w:line="480" w:lineRule="auto"/>
        <w:jc w:val="both"/>
        <w:rPr>
          <w:rFonts w:ascii="Times New Roman" w:hAnsi="Times New Roman" w:cs="Times New Roman"/>
          <w:sz w:val="24"/>
          <w:szCs w:val="24"/>
        </w:rPr>
      </w:pPr>
    </w:p>
    <w:p w:rsidR="00736C1E" w:rsidRDefault="00736C1E" w:rsidP="00736C1E">
      <w:pPr>
        <w:pStyle w:val="ListParagraph"/>
        <w:numPr>
          <w:ilvl w:val="1"/>
          <w:numId w:val="1"/>
        </w:numPr>
        <w:spacing w:after="0" w:line="480" w:lineRule="auto"/>
        <w:ind w:left="360"/>
        <w:jc w:val="both"/>
        <w:rPr>
          <w:rFonts w:ascii="Times New Roman" w:hAnsi="Times New Roman" w:cs="Times New Roman"/>
          <w:b/>
          <w:sz w:val="24"/>
          <w:szCs w:val="24"/>
        </w:rPr>
      </w:pPr>
      <w:r w:rsidRPr="00736C1E">
        <w:rPr>
          <w:rFonts w:ascii="Times New Roman" w:hAnsi="Times New Roman" w:cs="Times New Roman"/>
          <w:b/>
          <w:sz w:val="24"/>
          <w:szCs w:val="24"/>
        </w:rPr>
        <w:t>THE KINDS OF INJUNCTION</w:t>
      </w:r>
    </w:p>
    <w:p w:rsidR="00736C1E" w:rsidRDefault="00736C1E" w:rsidP="00736C1E">
      <w:pPr>
        <w:spacing w:after="0" w:line="480" w:lineRule="auto"/>
        <w:jc w:val="both"/>
        <w:rPr>
          <w:rFonts w:ascii="Times New Roman" w:hAnsi="Times New Roman" w:cs="Times New Roman"/>
          <w:sz w:val="24"/>
          <w:szCs w:val="24"/>
        </w:rPr>
      </w:pPr>
      <w:r w:rsidRPr="00736C1E">
        <w:rPr>
          <w:rFonts w:ascii="Times New Roman" w:hAnsi="Times New Roman" w:cs="Times New Roman"/>
          <w:sz w:val="24"/>
          <w:szCs w:val="24"/>
        </w:rPr>
        <w:t xml:space="preserve">There are </w:t>
      </w:r>
      <w:r>
        <w:rPr>
          <w:rFonts w:ascii="Times New Roman" w:hAnsi="Times New Roman" w:cs="Times New Roman"/>
          <w:sz w:val="24"/>
          <w:szCs w:val="24"/>
        </w:rPr>
        <w:t xml:space="preserve">different types of injunctive orders that may be made in the course of the proceedings of a case. They include (a) interim injunction which is a temporary restraining order to remain in </w:t>
      </w:r>
      <w:r>
        <w:rPr>
          <w:rFonts w:ascii="Times New Roman" w:hAnsi="Times New Roman" w:cs="Times New Roman"/>
          <w:sz w:val="24"/>
          <w:szCs w:val="24"/>
        </w:rPr>
        <w:lastRenderedPageBreak/>
        <w:t>force until a named date indicated in the order to enable a party take necessary procedural steps in respect of the substantive matter before a Court, in real situation of urgency.</w:t>
      </w:r>
      <w:r>
        <w:rPr>
          <w:rStyle w:val="EndnoteReference"/>
          <w:rFonts w:ascii="Times New Roman" w:hAnsi="Times New Roman" w:cs="Times New Roman"/>
          <w:sz w:val="24"/>
          <w:szCs w:val="24"/>
        </w:rPr>
        <w:endnoteReference w:id="10"/>
      </w:r>
      <w:r w:rsidR="0009712B">
        <w:rPr>
          <w:rFonts w:ascii="Times New Roman" w:hAnsi="Times New Roman" w:cs="Times New Roman"/>
          <w:sz w:val="24"/>
          <w:szCs w:val="24"/>
        </w:rPr>
        <w:t>; (b) interlocutory injunction which is granted as a restraining order pending the determination of disputes between parties by the Court</w:t>
      </w:r>
      <w:r w:rsidR="0009712B">
        <w:rPr>
          <w:rStyle w:val="EndnoteReference"/>
          <w:rFonts w:ascii="Times New Roman" w:hAnsi="Times New Roman" w:cs="Times New Roman"/>
          <w:sz w:val="24"/>
          <w:szCs w:val="24"/>
        </w:rPr>
        <w:endnoteReference w:id="11"/>
      </w:r>
      <w:r w:rsidR="0009712B">
        <w:rPr>
          <w:rFonts w:ascii="Times New Roman" w:hAnsi="Times New Roman" w:cs="Times New Roman"/>
          <w:sz w:val="24"/>
          <w:szCs w:val="24"/>
        </w:rPr>
        <w:t>; (c) mandatory injunction which is positive in nature and usually targeted as completed act, granted in exceptional circumstances;</w:t>
      </w:r>
      <w:r w:rsidR="0009712B">
        <w:rPr>
          <w:rStyle w:val="EndnoteReference"/>
          <w:rFonts w:ascii="Times New Roman" w:hAnsi="Times New Roman" w:cs="Times New Roman"/>
          <w:sz w:val="24"/>
          <w:szCs w:val="24"/>
        </w:rPr>
        <w:endnoteReference w:id="12"/>
      </w:r>
      <w:r w:rsidR="0009712B">
        <w:rPr>
          <w:rFonts w:ascii="Times New Roman" w:hAnsi="Times New Roman" w:cs="Times New Roman"/>
          <w:sz w:val="24"/>
          <w:szCs w:val="24"/>
        </w:rPr>
        <w:t xml:space="preserve"> (d) Mareva injunction which is an anticipatory equitable relief which may be granted where it appears likely that a plaintiff my obtain judgment and there are reasons showing that the defendant might deal with his assets within jurisdiction of the Court in such a way as to frustrate satisfaction of the judgment.</w:t>
      </w:r>
      <w:r w:rsidR="0009712B">
        <w:rPr>
          <w:rStyle w:val="EndnoteReference"/>
          <w:rFonts w:ascii="Times New Roman" w:hAnsi="Times New Roman" w:cs="Times New Roman"/>
          <w:sz w:val="24"/>
          <w:szCs w:val="24"/>
        </w:rPr>
        <w:endnoteReference w:id="13"/>
      </w:r>
    </w:p>
    <w:p w:rsidR="00D103D2" w:rsidRDefault="00D103D2" w:rsidP="00736C1E">
      <w:pPr>
        <w:spacing w:after="0" w:line="480" w:lineRule="auto"/>
        <w:jc w:val="both"/>
        <w:rPr>
          <w:rFonts w:ascii="Times New Roman" w:hAnsi="Times New Roman" w:cs="Times New Roman"/>
          <w:sz w:val="24"/>
          <w:szCs w:val="24"/>
        </w:rPr>
      </w:pPr>
    </w:p>
    <w:p w:rsidR="00D103D2" w:rsidRDefault="00D103D2" w:rsidP="00D103D2">
      <w:pPr>
        <w:pStyle w:val="ListParagraph"/>
        <w:numPr>
          <w:ilvl w:val="0"/>
          <w:numId w:val="1"/>
        </w:numPr>
        <w:spacing w:after="0" w:line="480" w:lineRule="auto"/>
        <w:ind w:left="360"/>
        <w:jc w:val="both"/>
        <w:rPr>
          <w:rFonts w:ascii="Times New Roman" w:hAnsi="Times New Roman" w:cs="Times New Roman"/>
          <w:b/>
          <w:sz w:val="24"/>
          <w:szCs w:val="24"/>
        </w:rPr>
      </w:pPr>
      <w:r w:rsidRPr="00D103D2">
        <w:rPr>
          <w:rFonts w:ascii="Times New Roman" w:hAnsi="Times New Roman" w:cs="Times New Roman"/>
          <w:b/>
          <w:sz w:val="24"/>
          <w:szCs w:val="24"/>
        </w:rPr>
        <w:t xml:space="preserve">PRESERVATION OF THE </w:t>
      </w:r>
      <w:r w:rsidR="0040068D">
        <w:rPr>
          <w:rFonts w:ascii="Times New Roman" w:hAnsi="Times New Roman" w:cs="Times New Roman"/>
          <w:b/>
          <w:sz w:val="24"/>
          <w:szCs w:val="24"/>
        </w:rPr>
        <w:t>SUBJECT-MATTER “</w:t>
      </w:r>
      <w:r w:rsidRPr="00D103D2">
        <w:rPr>
          <w:rFonts w:ascii="Times New Roman" w:hAnsi="Times New Roman" w:cs="Times New Roman"/>
          <w:b/>
          <w:sz w:val="24"/>
          <w:szCs w:val="24"/>
        </w:rPr>
        <w:t>RES</w:t>
      </w:r>
      <w:r w:rsidR="0040068D">
        <w:rPr>
          <w:rFonts w:ascii="Times New Roman" w:hAnsi="Times New Roman" w:cs="Times New Roman"/>
          <w:b/>
          <w:sz w:val="24"/>
          <w:szCs w:val="24"/>
        </w:rPr>
        <w:t>”</w:t>
      </w:r>
      <w:r w:rsidRPr="00D103D2">
        <w:rPr>
          <w:rFonts w:ascii="Times New Roman" w:hAnsi="Times New Roman" w:cs="Times New Roman"/>
          <w:b/>
          <w:sz w:val="24"/>
          <w:szCs w:val="24"/>
        </w:rPr>
        <w:t xml:space="preserve"> BEFORE A COURT</w:t>
      </w:r>
    </w:p>
    <w:p w:rsidR="0040068D" w:rsidRPr="004D7F09" w:rsidRDefault="0040068D" w:rsidP="004D7F09">
      <w:pPr>
        <w:spacing w:after="0" w:line="480" w:lineRule="auto"/>
        <w:jc w:val="both"/>
        <w:rPr>
          <w:rFonts w:ascii="Times New Roman" w:hAnsi="Times New Roman" w:cs="Times New Roman"/>
          <w:sz w:val="24"/>
          <w:szCs w:val="24"/>
        </w:rPr>
      </w:pPr>
      <w:r w:rsidRPr="004D7F09">
        <w:rPr>
          <w:rFonts w:ascii="Times New Roman" w:hAnsi="Times New Roman" w:cs="Times New Roman"/>
          <w:sz w:val="24"/>
          <w:szCs w:val="24"/>
        </w:rPr>
        <w:t>The position of the law as to whether a party to a suit can resort to self –help where a Court is already seized of a matter is well settled. Thus, in the case of Iwuji &amp; Others v. Governor of Imo State &amp; Others</w:t>
      </w:r>
      <w:r>
        <w:rPr>
          <w:rStyle w:val="EndnoteReference"/>
          <w:rFonts w:ascii="Times New Roman" w:hAnsi="Times New Roman" w:cs="Times New Roman"/>
          <w:sz w:val="24"/>
          <w:szCs w:val="24"/>
        </w:rPr>
        <w:endnoteReference w:id="14"/>
      </w:r>
      <w:r w:rsidRPr="004D7F09">
        <w:rPr>
          <w:rFonts w:ascii="Times New Roman" w:hAnsi="Times New Roman" w:cs="Times New Roman"/>
          <w:sz w:val="24"/>
          <w:szCs w:val="24"/>
        </w:rPr>
        <w:t xml:space="preserve"> the Court of Appeal of Nigeria held that it is trite law that once parties have submitted their disputes to the Court for determination, none of the parties is allowed to do any act or omission that would over-reach the interest of the other pending the determination of the suit, and if any of the parties does anything to the contrary, the Court has inherent power to set aside such act which tends to ridicule the Court. Therefore, where a party is aware of a pending Court process, and whether the Court has not given a specific injunctive order, parties are bound to maintain status quo pending the determination of the Court process. They should on no account resort to self-help. In other words, it is not permissible for one of the parties to take any step during the pendency of the suit which may have the effect of foisting upon the Co</w:t>
      </w:r>
      <w:r w:rsidR="00E708CE" w:rsidRPr="004D7F09">
        <w:rPr>
          <w:rFonts w:ascii="Times New Roman" w:hAnsi="Times New Roman" w:cs="Times New Roman"/>
          <w:sz w:val="24"/>
          <w:szCs w:val="24"/>
        </w:rPr>
        <w:t>urt a situation of complete hel</w:t>
      </w:r>
      <w:r w:rsidRPr="004D7F09">
        <w:rPr>
          <w:rFonts w:ascii="Times New Roman" w:hAnsi="Times New Roman" w:cs="Times New Roman"/>
          <w:sz w:val="24"/>
          <w:szCs w:val="24"/>
        </w:rPr>
        <w:t xml:space="preserve">plessness or which may give </w:t>
      </w:r>
      <w:r w:rsidR="00E708CE" w:rsidRPr="004D7F09">
        <w:rPr>
          <w:rFonts w:ascii="Times New Roman" w:hAnsi="Times New Roman" w:cs="Times New Roman"/>
          <w:sz w:val="24"/>
          <w:szCs w:val="24"/>
        </w:rPr>
        <w:t xml:space="preserve">the impression that the Court is being used as a mere subterfuge, to the hands of one party while the other party helps himself extra-judicially. Both </w:t>
      </w:r>
      <w:r w:rsidR="00E708CE" w:rsidRPr="004D7F09">
        <w:rPr>
          <w:rFonts w:ascii="Times New Roman" w:hAnsi="Times New Roman" w:cs="Times New Roman"/>
          <w:sz w:val="24"/>
          <w:szCs w:val="24"/>
        </w:rPr>
        <w:lastRenderedPageBreak/>
        <w:t>parties are expected to await the result of the litigation and the appropriate order of Court before acting further. Once the Court is seized of the matter, no party has the right to take the matter into his own hands. It is a reprehensible conduct for any party to an action or appeal pending in Court to proceed to take the law into his hands, without any specific order of the Court and to do any act which would pre-empt the result of the action. The Courts frown against such a conduct and would always invoke their disciplinary powers to restore the status quo</w:t>
      </w:r>
    </w:p>
    <w:p w:rsidR="004D7F09" w:rsidRDefault="004D7F09" w:rsidP="004D7F09">
      <w:pPr>
        <w:spacing w:after="0" w:line="480" w:lineRule="auto"/>
        <w:jc w:val="both"/>
        <w:rPr>
          <w:rFonts w:ascii="Times New Roman" w:hAnsi="Times New Roman" w:cs="Times New Roman"/>
          <w:sz w:val="24"/>
          <w:szCs w:val="24"/>
        </w:rPr>
      </w:pPr>
    </w:p>
    <w:p w:rsidR="00E708CE" w:rsidRPr="004D7F09" w:rsidRDefault="00E708CE" w:rsidP="004D7F09">
      <w:pPr>
        <w:spacing w:after="0" w:line="480" w:lineRule="auto"/>
        <w:jc w:val="both"/>
        <w:rPr>
          <w:rFonts w:ascii="Times New Roman" w:hAnsi="Times New Roman" w:cs="Times New Roman"/>
          <w:sz w:val="24"/>
          <w:szCs w:val="24"/>
        </w:rPr>
      </w:pPr>
      <w:r w:rsidRPr="004D7F09">
        <w:rPr>
          <w:rFonts w:ascii="Times New Roman" w:hAnsi="Times New Roman" w:cs="Times New Roman"/>
          <w:sz w:val="24"/>
          <w:szCs w:val="24"/>
        </w:rPr>
        <w:t>Furthermore, the Court of Appeal of Nigeria in the case of Oyeyemi &amp; Others v. Owoeye &amp; Another</w:t>
      </w:r>
      <w:r>
        <w:rPr>
          <w:rStyle w:val="EndnoteReference"/>
          <w:rFonts w:ascii="Times New Roman" w:hAnsi="Times New Roman" w:cs="Times New Roman"/>
          <w:sz w:val="24"/>
          <w:szCs w:val="24"/>
        </w:rPr>
        <w:endnoteReference w:id="15"/>
      </w:r>
      <w:r w:rsidR="001639CD" w:rsidRPr="004D7F09">
        <w:rPr>
          <w:rFonts w:ascii="Times New Roman" w:hAnsi="Times New Roman" w:cs="Times New Roman"/>
          <w:sz w:val="24"/>
          <w:szCs w:val="24"/>
        </w:rPr>
        <w:t xml:space="preserve"> stated that the ancient rule of maintaining and preserving status quo pending the determination of an action is even more cogent in a democratic constitutional democracy such as the one operated in Nigeria and other developing and developed countries where the judiciary operates as “the guardian of the Constitution”. In the discharge of its guardianship role, it has duty to ensure that every arm of Government operates only within the substantive </w:t>
      </w:r>
      <w:r w:rsidR="00AE0156" w:rsidRPr="004D7F09">
        <w:rPr>
          <w:rFonts w:ascii="Times New Roman" w:hAnsi="Times New Roman" w:cs="Times New Roman"/>
          <w:sz w:val="24"/>
          <w:szCs w:val="24"/>
        </w:rPr>
        <w:t>a</w:t>
      </w:r>
      <w:r w:rsidR="001639CD" w:rsidRPr="004D7F09">
        <w:rPr>
          <w:rFonts w:ascii="Times New Roman" w:hAnsi="Times New Roman" w:cs="Times New Roman"/>
          <w:sz w:val="24"/>
          <w:szCs w:val="24"/>
        </w:rPr>
        <w:t>nd procedural framework which the Constitution ordains.</w:t>
      </w:r>
    </w:p>
    <w:p w:rsidR="004D7F09" w:rsidRDefault="004D7F09" w:rsidP="004D7F09">
      <w:pPr>
        <w:spacing w:after="0" w:line="480" w:lineRule="auto"/>
        <w:jc w:val="both"/>
        <w:rPr>
          <w:rFonts w:ascii="Times New Roman" w:hAnsi="Times New Roman" w:cs="Times New Roman"/>
          <w:sz w:val="24"/>
          <w:szCs w:val="24"/>
        </w:rPr>
      </w:pPr>
    </w:p>
    <w:p w:rsidR="00AE0156" w:rsidRPr="004D7F09" w:rsidRDefault="00AE0156" w:rsidP="004D7F09">
      <w:pPr>
        <w:spacing w:after="0" w:line="480" w:lineRule="auto"/>
        <w:jc w:val="both"/>
        <w:rPr>
          <w:rFonts w:ascii="Times New Roman" w:hAnsi="Times New Roman" w:cs="Times New Roman"/>
          <w:sz w:val="24"/>
          <w:szCs w:val="24"/>
        </w:rPr>
      </w:pPr>
      <w:r w:rsidRPr="004D7F09">
        <w:rPr>
          <w:rFonts w:ascii="Times New Roman" w:hAnsi="Times New Roman" w:cs="Times New Roman"/>
          <w:sz w:val="24"/>
          <w:szCs w:val="24"/>
        </w:rPr>
        <w:t xml:space="preserve">It is also to be noted that where rule of law operates, the rule of self-help by force is abandoned. Thus, the Supreme Court of Nigeria in the case of </w:t>
      </w:r>
      <w:r w:rsidR="001A4A2B" w:rsidRPr="004D7F09">
        <w:rPr>
          <w:rFonts w:ascii="Times New Roman" w:hAnsi="Times New Roman" w:cs="Times New Roman"/>
          <w:sz w:val="24"/>
          <w:szCs w:val="24"/>
        </w:rPr>
        <w:t>Shining Star (Nig) Ltd &amp; Another v. Ask Steel (NIG) Ltd &amp; Others</w:t>
      </w:r>
      <w:r>
        <w:rPr>
          <w:rStyle w:val="EndnoteReference"/>
          <w:rFonts w:ascii="Times New Roman" w:hAnsi="Times New Roman" w:cs="Times New Roman"/>
          <w:sz w:val="24"/>
          <w:szCs w:val="24"/>
        </w:rPr>
        <w:endnoteReference w:id="16"/>
      </w:r>
      <w:r w:rsidR="001A4A2B" w:rsidRPr="004D7F09">
        <w:rPr>
          <w:rFonts w:ascii="Times New Roman" w:hAnsi="Times New Roman" w:cs="Times New Roman"/>
          <w:sz w:val="24"/>
          <w:szCs w:val="24"/>
        </w:rPr>
        <w:t xml:space="preserve"> cited the case of Military Governor of Lagos State v. Ojukwu</w:t>
      </w:r>
      <w:r w:rsidR="001A4A2B">
        <w:rPr>
          <w:rStyle w:val="EndnoteReference"/>
          <w:rFonts w:ascii="Times New Roman" w:hAnsi="Times New Roman" w:cs="Times New Roman"/>
          <w:sz w:val="24"/>
          <w:szCs w:val="24"/>
        </w:rPr>
        <w:endnoteReference w:id="17"/>
      </w:r>
      <w:r w:rsidR="001A4A2B" w:rsidRPr="004D7F09">
        <w:rPr>
          <w:rFonts w:ascii="Times New Roman" w:hAnsi="Times New Roman" w:cs="Times New Roman"/>
          <w:sz w:val="24"/>
          <w:szCs w:val="24"/>
        </w:rPr>
        <w:t xml:space="preserve"> as per Justice Kayode Eso held that in the area where the rule of law operates, the rule of self-help by force is abandoned. Nigeria being one of the countries in the world, even in the third world which profess loudly to follow the rule of law, gives no room for the rule of self -help by force to operate. Once a dispute has arisen between person and the government or authority and the dispute has been brought before the court, thereby involving the judicial powers of the state, it is the duty of the </w:t>
      </w:r>
      <w:r w:rsidR="001A4A2B" w:rsidRPr="004D7F09">
        <w:rPr>
          <w:rFonts w:ascii="Times New Roman" w:hAnsi="Times New Roman" w:cs="Times New Roman"/>
          <w:sz w:val="24"/>
          <w:szCs w:val="24"/>
        </w:rPr>
        <w:lastRenderedPageBreak/>
        <w:t xml:space="preserve">government to allow the law to take its course or allow the legal and judicial process to run its full course. The action of the government as </w:t>
      </w:r>
      <w:r w:rsidR="000B560A" w:rsidRPr="004D7F09">
        <w:rPr>
          <w:rFonts w:ascii="Times New Roman" w:hAnsi="Times New Roman" w:cs="Times New Roman"/>
          <w:sz w:val="24"/>
          <w:szCs w:val="24"/>
        </w:rPr>
        <w:t>far as this case is concerned can have no other interpretation than the show of an intention to pre-empt the decision of the court. The courts expect the utmost respect of the law from the government itself which rules by the law. Where an act of this kind is committed by a party to the case, the court in order to protect the process before its disciplinary powers to set aside that the cat taken by such party and restore the parties to status quo ante</w:t>
      </w:r>
    </w:p>
    <w:p w:rsidR="004D7F09" w:rsidRDefault="004D7F09" w:rsidP="004D7F09">
      <w:pPr>
        <w:spacing w:after="0" w:line="480" w:lineRule="auto"/>
        <w:jc w:val="both"/>
        <w:rPr>
          <w:rFonts w:ascii="Times New Roman" w:hAnsi="Times New Roman" w:cs="Times New Roman"/>
          <w:sz w:val="24"/>
          <w:szCs w:val="24"/>
        </w:rPr>
      </w:pPr>
    </w:p>
    <w:p w:rsidR="00830109" w:rsidRPr="004D7F09" w:rsidRDefault="00830109" w:rsidP="004D7F09">
      <w:pPr>
        <w:spacing w:after="0" w:line="480" w:lineRule="auto"/>
        <w:jc w:val="both"/>
        <w:rPr>
          <w:rFonts w:ascii="Times New Roman" w:hAnsi="Times New Roman" w:cs="Times New Roman"/>
          <w:sz w:val="24"/>
          <w:szCs w:val="24"/>
        </w:rPr>
      </w:pPr>
      <w:r w:rsidRPr="004D7F09">
        <w:rPr>
          <w:rFonts w:ascii="Times New Roman" w:hAnsi="Times New Roman" w:cs="Times New Roman"/>
          <w:sz w:val="24"/>
          <w:szCs w:val="24"/>
        </w:rPr>
        <w:t xml:space="preserve">Another principle of law that is related to resorting to self-help by parties to an action is </w:t>
      </w:r>
      <w:r w:rsidRPr="004D7F09">
        <w:rPr>
          <w:rFonts w:ascii="Times New Roman" w:hAnsi="Times New Roman" w:cs="Times New Roman"/>
          <w:i/>
          <w:sz w:val="24"/>
          <w:szCs w:val="24"/>
        </w:rPr>
        <w:t>lis pendens</w:t>
      </w:r>
      <w:r w:rsidR="00C8364E" w:rsidRPr="004D7F09">
        <w:rPr>
          <w:rFonts w:ascii="Times New Roman" w:hAnsi="Times New Roman" w:cs="Times New Roman"/>
          <w:i/>
          <w:sz w:val="24"/>
          <w:szCs w:val="24"/>
        </w:rPr>
        <w:t xml:space="preserve">. </w:t>
      </w:r>
      <w:r w:rsidR="00C8364E" w:rsidRPr="004D7F09">
        <w:rPr>
          <w:rFonts w:ascii="Times New Roman" w:hAnsi="Times New Roman" w:cs="Times New Roman"/>
          <w:sz w:val="24"/>
          <w:szCs w:val="24"/>
        </w:rPr>
        <w:t>Lis pendens</w:t>
      </w:r>
      <w:r w:rsidR="00C8364E" w:rsidRPr="004D7F09">
        <w:rPr>
          <w:rFonts w:ascii="Times New Roman" w:hAnsi="Times New Roman" w:cs="Times New Roman"/>
          <w:sz w:val="24"/>
          <w:szCs w:val="24"/>
          <w:u w:val="single"/>
        </w:rPr>
        <w:t xml:space="preserve"> </w:t>
      </w:r>
      <w:r w:rsidR="00C8364E" w:rsidRPr="004D7F09">
        <w:rPr>
          <w:rFonts w:ascii="Times New Roman" w:hAnsi="Times New Roman" w:cs="Times New Roman"/>
          <w:sz w:val="24"/>
          <w:szCs w:val="24"/>
        </w:rPr>
        <w:t xml:space="preserve">is made up of two </w:t>
      </w:r>
      <w:r w:rsidR="000F4250" w:rsidRPr="004D7F09">
        <w:rPr>
          <w:rFonts w:ascii="Times New Roman" w:hAnsi="Times New Roman" w:cs="Times New Roman"/>
          <w:sz w:val="24"/>
          <w:szCs w:val="24"/>
        </w:rPr>
        <w:t>Latin</w:t>
      </w:r>
      <w:r w:rsidR="00C8364E" w:rsidRPr="004D7F09">
        <w:rPr>
          <w:rFonts w:ascii="Times New Roman" w:hAnsi="Times New Roman" w:cs="Times New Roman"/>
          <w:sz w:val="24"/>
          <w:szCs w:val="24"/>
        </w:rPr>
        <w:t xml:space="preserve"> words. The first is lis. The second is pendens</w:t>
      </w:r>
      <w:r w:rsidR="00C8364E" w:rsidRPr="004D7F09">
        <w:rPr>
          <w:rFonts w:ascii="Times New Roman" w:hAnsi="Times New Roman" w:cs="Times New Roman"/>
          <w:sz w:val="24"/>
          <w:szCs w:val="24"/>
          <w:u w:val="single"/>
        </w:rPr>
        <w:t xml:space="preserve">. </w:t>
      </w:r>
      <w:r w:rsidR="00C8364E" w:rsidRPr="004D7F09">
        <w:rPr>
          <w:rFonts w:ascii="Times New Roman" w:hAnsi="Times New Roman" w:cs="Times New Roman"/>
          <w:sz w:val="24"/>
          <w:szCs w:val="24"/>
        </w:rPr>
        <w:t>The word lis means a place of litigation, a controversy</w:t>
      </w:r>
      <w:r w:rsidR="000F4250" w:rsidRPr="004D7F09">
        <w:rPr>
          <w:rFonts w:ascii="Times New Roman" w:hAnsi="Times New Roman" w:cs="Times New Roman"/>
          <w:sz w:val="24"/>
          <w:szCs w:val="24"/>
        </w:rPr>
        <w:t>. The word pendens conveys the connotation of pending. The two words put and read together generally mean appending law suit. The expression is a useful Latinism that has given its name to a notice required in some jurisdictions to warn all persons that certain property is the subject-matter of litigation and that any interest acquired during the pendency of the suit must be subject to the outcome of the litigation</w:t>
      </w:r>
    </w:p>
    <w:p w:rsidR="004D7F09" w:rsidRDefault="004D7F09" w:rsidP="004D7F09">
      <w:pPr>
        <w:spacing w:after="0" w:line="480" w:lineRule="auto"/>
        <w:jc w:val="both"/>
        <w:rPr>
          <w:rFonts w:ascii="Times New Roman" w:hAnsi="Times New Roman" w:cs="Times New Roman"/>
          <w:sz w:val="24"/>
          <w:szCs w:val="24"/>
        </w:rPr>
      </w:pPr>
    </w:p>
    <w:p w:rsidR="000A5F83" w:rsidRPr="004D7F09" w:rsidRDefault="000A5F83" w:rsidP="004D7F09">
      <w:pPr>
        <w:spacing w:after="0" w:line="480" w:lineRule="auto"/>
        <w:jc w:val="both"/>
        <w:rPr>
          <w:rFonts w:ascii="Times New Roman" w:hAnsi="Times New Roman" w:cs="Times New Roman"/>
          <w:sz w:val="24"/>
          <w:szCs w:val="24"/>
        </w:rPr>
      </w:pPr>
      <w:r w:rsidRPr="004D7F09">
        <w:rPr>
          <w:rFonts w:ascii="Times New Roman" w:hAnsi="Times New Roman" w:cs="Times New Roman"/>
          <w:sz w:val="24"/>
          <w:szCs w:val="24"/>
        </w:rPr>
        <w:t xml:space="preserve">The doctrine of lis pendens prevents </w:t>
      </w:r>
      <w:r w:rsidR="00473013" w:rsidRPr="004D7F09">
        <w:rPr>
          <w:rFonts w:ascii="Times New Roman" w:hAnsi="Times New Roman" w:cs="Times New Roman"/>
          <w:sz w:val="24"/>
          <w:szCs w:val="24"/>
        </w:rPr>
        <w:t>the effective transfer of rights in any property which is a subject-matter of an action pending in Court during the pendency in Court of the action. In its application against any purchaser of such property the doctrine is not founded on the equitable doctrine of notice – actual or constructive – but upon the fact that the law does not allow to litigating parties or give them, during the pendency of litigation involving any property rights in such property in dispute so as to prejudice any of the litigating parties. Thus, in the case of Ogunsola v. NICON</w:t>
      </w:r>
      <w:r w:rsidR="00473013">
        <w:rPr>
          <w:rStyle w:val="EndnoteReference"/>
          <w:rFonts w:ascii="Times New Roman" w:hAnsi="Times New Roman" w:cs="Times New Roman"/>
          <w:sz w:val="24"/>
          <w:szCs w:val="24"/>
        </w:rPr>
        <w:endnoteReference w:id="18"/>
      </w:r>
      <w:r w:rsidR="00473013" w:rsidRPr="004D7F09">
        <w:rPr>
          <w:rFonts w:ascii="Times New Roman" w:hAnsi="Times New Roman" w:cs="Times New Roman"/>
          <w:sz w:val="24"/>
          <w:szCs w:val="24"/>
        </w:rPr>
        <w:t xml:space="preserve"> held that if a purchaser chooses to purchase a property, subject to litigation, </w:t>
      </w:r>
      <w:r w:rsidR="00473013" w:rsidRPr="004D7F09">
        <w:rPr>
          <w:rFonts w:ascii="Times New Roman" w:hAnsi="Times New Roman" w:cs="Times New Roman"/>
          <w:sz w:val="24"/>
          <w:szCs w:val="24"/>
        </w:rPr>
        <w:lastRenderedPageBreak/>
        <w:t>from one of the litigants – during the currency of the litigation, he does so, at his own risk and if turns out that the person from whom he bought has no title or was adjudged at the end of the pending action not to be the owner, he takes as he finds it. Where the defendant alienates during the pendency of a suit, the result of judgment if the plaintiff succeeds will over-reach such alienation</w:t>
      </w:r>
    </w:p>
    <w:p w:rsidR="004D7F09" w:rsidRDefault="004D7F09" w:rsidP="004D7F09">
      <w:pPr>
        <w:spacing w:after="0" w:line="480" w:lineRule="auto"/>
        <w:jc w:val="both"/>
        <w:rPr>
          <w:rFonts w:ascii="Times New Roman" w:hAnsi="Times New Roman" w:cs="Times New Roman"/>
          <w:sz w:val="24"/>
          <w:szCs w:val="24"/>
        </w:rPr>
      </w:pPr>
    </w:p>
    <w:p w:rsidR="00473013" w:rsidRPr="004D7F09" w:rsidRDefault="00473013" w:rsidP="004D7F09">
      <w:pPr>
        <w:spacing w:after="0" w:line="480" w:lineRule="auto"/>
        <w:jc w:val="both"/>
        <w:rPr>
          <w:rFonts w:ascii="Times New Roman" w:hAnsi="Times New Roman" w:cs="Times New Roman"/>
          <w:sz w:val="24"/>
          <w:szCs w:val="24"/>
        </w:rPr>
      </w:pPr>
      <w:r w:rsidRPr="004D7F09">
        <w:rPr>
          <w:rFonts w:ascii="Times New Roman" w:hAnsi="Times New Roman" w:cs="Times New Roman"/>
          <w:sz w:val="24"/>
          <w:szCs w:val="24"/>
        </w:rPr>
        <w:t>For the doctrine of lis pendens to apply, there are conditions that must be satisfied. Thus, the Supreme Court of Nigeria in the case of Enyibros Foods Processing Co Ltd &amp; Another v. NDIC &amp; Another</w:t>
      </w:r>
      <w:r>
        <w:rPr>
          <w:rStyle w:val="EndnoteReference"/>
          <w:rFonts w:ascii="Times New Roman" w:hAnsi="Times New Roman" w:cs="Times New Roman"/>
          <w:sz w:val="24"/>
          <w:szCs w:val="24"/>
        </w:rPr>
        <w:endnoteReference w:id="19"/>
      </w:r>
      <w:r w:rsidRPr="004D7F09">
        <w:rPr>
          <w:rFonts w:ascii="Times New Roman" w:hAnsi="Times New Roman" w:cs="Times New Roman"/>
          <w:sz w:val="24"/>
          <w:szCs w:val="24"/>
        </w:rPr>
        <w:t xml:space="preserve"> states the conditions that </w:t>
      </w:r>
      <w:r w:rsidR="00637E76" w:rsidRPr="004D7F09">
        <w:rPr>
          <w:rFonts w:ascii="Times New Roman" w:hAnsi="Times New Roman" w:cs="Times New Roman"/>
          <w:sz w:val="24"/>
          <w:szCs w:val="24"/>
        </w:rPr>
        <w:t>for lis pendens to apply the following must be shown (a) that at the time of the sale of the property the suit regarding the dispute about the said property was already pending; (b) that the action or lis was in respect of  real property; it never applies to personal property; (c) that the object of the action was to receive or assert title to a specific real property, that is to say, an action in a subject-matter adverse to the owner in respect of some substantive right which is proprietary in nature, and (d) that the other party has been served with the originating process in the pending action</w:t>
      </w:r>
    </w:p>
    <w:p w:rsidR="004D7F09" w:rsidRDefault="004D7F09" w:rsidP="0040068D">
      <w:pPr>
        <w:pStyle w:val="ListParagraph"/>
        <w:spacing w:after="0" w:line="480" w:lineRule="auto"/>
        <w:ind w:left="360"/>
        <w:jc w:val="both"/>
        <w:rPr>
          <w:rFonts w:ascii="Times New Roman" w:hAnsi="Times New Roman" w:cs="Times New Roman"/>
          <w:sz w:val="24"/>
          <w:szCs w:val="24"/>
        </w:rPr>
      </w:pPr>
    </w:p>
    <w:p w:rsidR="00637E76" w:rsidRPr="004D7F09" w:rsidRDefault="00637E76" w:rsidP="004D7F09">
      <w:pPr>
        <w:spacing w:after="0" w:line="480" w:lineRule="auto"/>
        <w:jc w:val="both"/>
        <w:rPr>
          <w:rFonts w:ascii="Times New Roman" w:hAnsi="Times New Roman" w:cs="Times New Roman"/>
          <w:sz w:val="24"/>
          <w:szCs w:val="24"/>
        </w:rPr>
      </w:pPr>
      <w:r w:rsidRPr="004D7F09">
        <w:rPr>
          <w:rFonts w:ascii="Times New Roman" w:hAnsi="Times New Roman" w:cs="Times New Roman"/>
          <w:sz w:val="24"/>
          <w:szCs w:val="24"/>
        </w:rPr>
        <w:t>To this end, sales of a subject-matter in lis pendens is void ab- initio. The position of the law was fortified by the Supreme Court in the case of Osidele &amp; Others v. Sokunbi</w:t>
      </w:r>
      <w:r>
        <w:rPr>
          <w:rStyle w:val="EndnoteReference"/>
          <w:rFonts w:ascii="Times New Roman" w:hAnsi="Times New Roman" w:cs="Times New Roman"/>
          <w:sz w:val="24"/>
          <w:szCs w:val="24"/>
        </w:rPr>
        <w:endnoteReference w:id="20"/>
      </w:r>
      <w:r w:rsidRPr="004D7F09">
        <w:rPr>
          <w:rFonts w:ascii="Times New Roman" w:hAnsi="Times New Roman" w:cs="Times New Roman"/>
          <w:sz w:val="24"/>
          <w:szCs w:val="24"/>
        </w:rPr>
        <w:t>. The Supreme Court as per Justice Mohammed said that the doctrine postulates that the rule that sale conducted when a matter is in litigation is void ab- initio and no title can be passed to the purchaser. The doctrine as a matter of policy, precludes plaintiff from selling the land in dispute when he knows that there is dispute in court</w:t>
      </w:r>
      <w:r w:rsidR="002533BD" w:rsidRPr="004D7F09">
        <w:rPr>
          <w:rFonts w:ascii="Times New Roman" w:hAnsi="Times New Roman" w:cs="Times New Roman"/>
          <w:sz w:val="24"/>
          <w:szCs w:val="24"/>
        </w:rPr>
        <w:t xml:space="preserve"> over the ownership of the land. </w:t>
      </w:r>
    </w:p>
    <w:p w:rsidR="002533BD" w:rsidRDefault="002533BD" w:rsidP="0040068D">
      <w:pPr>
        <w:pStyle w:val="ListParagraph"/>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However, the doctrine of lis pendens should be understood to be philosophical tenet which takes into consideration the realities of human society and the nature of the mobility of a vibrant society. Its application must reflect the times. For one to file a process in the court and abandon it for some months with same not brought to the knowledge of the other party should not in all fairness be allowed to invoke the doctrine of lis pendens</w:t>
      </w:r>
      <w:r>
        <w:rPr>
          <w:rStyle w:val="EndnoteReference"/>
          <w:rFonts w:ascii="Times New Roman" w:hAnsi="Times New Roman" w:cs="Times New Roman"/>
          <w:sz w:val="24"/>
          <w:szCs w:val="24"/>
        </w:rPr>
        <w:endnoteReference w:id="21"/>
      </w:r>
    </w:p>
    <w:p w:rsidR="003E731A" w:rsidRPr="004D7F09" w:rsidRDefault="003E731A" w:rsidP="004D7F09">
      <w:pPr>
        <w:spacing w:after="0" w:line="480" w:lineRule="auto"/>
        <w:jc w:val="both"/>
        <w:rPr>
          <w:rFonts w:ascii="Times New Roman" w:hAnsi="Times New Roman" w:cs="Times New Roman"/>
          <w:sz w:val="24"/>
          <w:szCs w:val="24"/>
        </w:rPr>
      </w:pPr>
    </w:p>
    <w:p w:rsidR="002533BD" w:rsidRDefault="002533BD" w:rsidP="002533BD">
      <w:pPr>
        <w:pStyle w:val="ListParagraph"/>
        <w:numPr>
          <w:ilvl w:val="0"/>
          <w:numId w:val="1"/>
        </w:numPr>
        <w:spacing w:after="0" w:line="480" w:lineRule="auto"/>
        <w:ind w:left="360"/>
        <w:jc w:val="both"/>
        <w:rPr>
          <w:rFonts w:ascii="Times New Roman" w:hAnsi="Times New Roman" w:cs="Times New Roman"/>
          <w:b/>
          <w:sz w:val="24"/>
          <w:szCs w:val="24"/>
        </w:rPr>
      </w:pPr>
      <w:r w:rsidRPr="002533BD">
        <w:rPr>
          <w:rFonts w:ascii="Times New Roman" w:hAnsi="Times New Roman" w:cs="Times New Roman"/>
          <w:b/>
          <w:sz w:val="24"/>
          <w:szCs w:val="24"/>
        </w:rPr>
        <w:t>CONCLUSION AND RECOMMENDATION</w:t>
      </w:r>
    </w:p>
    <w:p w:rsidR="002533BD" w:rsidRDefault="003E731A" w:rsidP="002533BD">
      <w:pPr>
        <w:pStyle w:val="ListParagraph"/>
        <w:spacing w:after="0" w:line="480" w:lineRule="auto"/>
        <w:ind w:left="360"/>
        <w:jc w:val="both"/>
        <w:rPr>
          <w:rFonts w:ascii="Times New Roman" w:hAnsi="Times New Roman" w:cs="Times New Roman"/>
          <w:sz w:val="24"/>
          <w:szCs w:val="24"/>
        </w:rPr>
      </w:pPr>
      <w:r w:rsidRPr="003E731A">
        <w:rPr>
          <w:rFonts w:ascii="Times New Roman" w:hAnsi="Times New Roman" w:cs="Times New Roman"/>
          <w:sz w:val="24"/>
          <w:szCs w:val="24"/>
        </w:rPr>
        <w:t xml:space="preserve">Conclusively, </w:t>
      </w:r>
      <w:r>
        <w:rPr>
          <w:rFonts w:ascii="Times New Roman" w:hAnsi="Times New Roman" w:cs="Times New Roman"/>
          <w:sz w:val="24"/>
          <w:szCs w:val="24"/>
        </w:rPr>
        <w:t xml:space="preserve">it is obvious from the foregoing that, the law is settled that once parties to an action have submitted their grievances or disputes to a Court for determination, the reasonable thing expected of the parties is to maintain and preserve the status quo of the subject-matter. </w:t>
      </w:r>
      <w:r w:rsidR="00FF7EB6">
        <w:rPr>
          <w:rFonts w:ascii="Times New Roman" w:hAnsi="Times New Roman" w:cs="Times New Roman"/>
          <w:sz w:val="24"/>
          <w:szCs w:val="24"/>
        </w:rPr>
        <w:t xml:space="preserve">The common practice of achieving that feat of preserving the subject-matter of litigation through application for injunction is surplusage. </w:t>
      </w:r>
      <w:r>
        <w:rPr>
          <w:rFonts w:ascii="Times New Roman" w:hAnsi="Times New Roman" w:cs="Times New Roman"/>
          <w:sz w:val="24"/>
          <w:szCs w:val="24"/>
        </w:rPr>
        <w:t>The preservation of the status quo is to strengthen the rule of law so that the Cou</w:t>
      </w:r>
      <w:r w:rsidR="00FF7EB6">
        <w:rPr>
          <w:rFonts w:ascii="Times New Roman" w:hAnsi="Times New Roman" w:cs="Times New Roman"/>
          <w:sz w:val="24"/>
          <w:szCs w:val="24"/>
        </w:rPr>
        <w:t>rt will not be seen as a tool being used by</w:t>
      </w:r>
      <w:r>
        <w:rPr>
          <w:rFonts w:ascii="Times New Roman" w:hAnsi="Times New Roman" w:cs="Times New Roman"/>
          <w:sz w:val="24"/>
          <w:szCs w:val="24"/>
        </w:rPr>
        <w:t xml:space="preserve"> one of the parties to scuttle the wheel of justice. It is also important to note that, preser</w:t>
      </w:r>
      <w:r w:rsidR="00FF7EB6">
        <w:rPr>
          <w:rFonts w:ascii="Times New Roman" w:hAnsi="Times New Roman" w:cs="Times New Roman"/>
          <w:sz w:val="24"/>
          <w:szCs w:val="24"/>
        </w:rPr>
        <w:t>vation of the subject-matter from</w:t>
      </w:r>
      <w:r>
        <w:rPr>
          <w:rFonts w:ascii="Times New Roman" w:hAnsi="Times New Roman" w:cs="Times New Roman"/>
          <w:sz w:val="24"/>
          <w:szCs w:val="24"/>
        </w:rPr>
        <w:t xml:space="preserve"> being altered by parties to an action while the action subsists saves whatever may be the pronouncement of the Court</w:t>
      </w:r>
      <w:r w:rsidR="00FF7EB6">
        <w:rPr>
          <w:rFonts w:ascii="Times New Roman" w:hAnsi="Times New Roman" w:cs="Times New Roman"/>
          <w:sz w:val="24"/>
          <w:szCs w:val="24"/>
        </w:rPr>
        <w:t xml:space="preserve"> thereafter</w:t>
      </w:r>
      <w:r>
        <w:rPr>
          <w:rFonts w:ascii="Times New Roman" w:hAnsi="Times New Roman" w:cs="Times New Roman"/>
          <w:sz w:val="24"/>
          <w:szCs w:val="24"/>
        </w:rPr>
        <w:t xml:space="preserve"> from being rendered nugatory. The Court is also saved of been put into a state of complete helplessness as decision of the Court cannot be given in vacuum after the subject-matter must have been altered or destroyed as the case may be. The innocent third party who is unaware of the pending suit who has been induced to purchase the subject-matter of litigation </w:t>
      </w:r>
      <w:r w:rsidR="00791F00">
        <w:rPr>
          <w:rFonts w:ascii="Times New Roman" w:hAnsi="Times New Roman" w:cs="Times New Roman"/>
          <w:sz w:val="24"/>
          <w:szCs w:val="24"/>
        </w:rPr>
        <w:t xml:space="preserve">is also protected where the subject-matter is preserved until the final determination of the suit. Above all, once an action is pending before a Court and the judicial process has been put into motion, the most civilized step expected of </w:t>
      </w:r>
      <w:r w:rsidR="00791F00">
        <w:rPr>
          <w:rFonts w:ascii="Times New Roman" w:hAnsi="Times New Roman" w:cs="Times New Roman"/>
          <w:sz w:val="24"/>
          <w:szCs w:val="24"/>
        </w:rPr>
        <w:lastRenderedPageBreak/>
        <w:t>parties is to ensure that the subject-matter is not tampered with so as not to jeopardize the interest of justice</w:t>
      </w:r>
    </w:p>
    <w:p w:rsidR="004D7F09" w:rsidRDefault="004D7F09" w:rsidP="000171EE">
      <w:pPr>
        <w:spacing w:after="0" w:line="480" w:lineRule="auto"/>
        <w:ind w:left="360"/>
        <w:jc w:val="both"/>
        <w:rPr>
          <w:rFonts w:ascii="Times New Roman" w:hAnsi="Times New Roman" w:cs="Times New Roman"/>
          <w:sz w:val="24"/>
          <w:szCs w:val="24"/>
        </w:rPr>
      </w:pPr>
    </w:p>
    <w:p w:rsidR="00791F00" w:rsidRDefault="00791F00" w:rsidP="000171EE">
      <w:pPr>
        <w:spacing w:after="0" w:line="480" w:lineRule="auto"/>
        <w:ind w:left="360"/>
        <w:jc w:val="both"/>
        <w:rPr>
          <w:rFonts w:ascii="Times New Roman" w:hAnsi="Times New Roman" w:cs="Times New Roman"/>
          <w:sz w:val="24"/>
          <w:szCs w:val="24"/>
        </w:rPr>
      </w:pPr>
      <w:r w:rsidRPr="00791F00">
        <w:rPr>
          <w:rFonts w:ascii="Times New Roman" w:hAnsi="Times New Roman" w:cs="Times New Roman"/>
          <w:sz w:val="24"/>
          <w:szCs w:val="24"/>
        </w:rPr>
        <w:t xml:space="preserve">Against </w:t>
      </w:r>
      <w:r>
        <w:rPr>
          <w:rFonts w:ascii="Times New Roman" w:hAnsi="Times New Roman" w:cs="Times New Roman"/>
          <w:sz w:val="24"/>
          <w:szCs w:val="24"/>
        </w:rPr>
        <w:t xml:space="preserve">the backdrop of the above, </w:t>
      </w:r>
      <w:r w:rsidRPr="00791F00">
        <w:rPr>
          <w:rFonts w:ascii="Times New Roman" w:hAnsi="Times New Roman" w:cs="Times New Roman"/>
          <w:sz w:val="24"/>
          <w:szCs w:val="24"/>
        </w:rPr>
        <w:t xml:space="preserve">it is suggested that, court should as a matter of </w:t>
      </w:r>
      <w:r>
        <w:rPr>
          <w:rFonts w:ascii="Times New Roman" w:hAnsi="Times New Roman" w:cs="Times New Roman"/>
          <w:sz w:val="24"/>
          <w:szCs w:val="24"/>
        </w:rPr>
        <w:t xml:space="preserve">entrenching </w:t>
      </w:r>
      <w:r w:rsidRPr="00791F00">
        <w:rPr>
          <w:rFonts w:ascii="Times New Roman" w:hAnsi="Times New Roman" w:cs="Times New Roman"/>
          <w:sz w:val="24"/>
          <w:szCs w:val="24"/>
        </w:rPr>
        <w:t xml:space="preserve">justice move away from the procedure of entertaining injunction for the preservation of rest. </w:t>
      </w:r>
      <w:r>
        <w:rPr>
          <w:rFonts w:ascii="Times New Roman" w:hAnsi="Times New Roman" w:cs="Times New Roman"/>
          <w:sz w:val="24"/>
          <w:szCs w:val="24"/>
        </w:rPr>
        <w:t xml:space="preserve">Pronouncement should be made from time from time to the effect that once the judicial process has been taken by a plaintiff and the defendant has become aware of the proceeding, the subject-matter should be preserved </w:t>
      </w:r>
      <w:r w:rsidRPr="00791F00">
        <w:rPr>
          <w:rFonts w:ascii="Times New Roman" w:hAnsi="Times New Roman" w:cs="Times New Roman"/>
          <w:sz w:val="24"/>
          <w:szCs w:val="24"/>
        </w:rPr>
        <w:t>Also, legal practitioners are also commended to be informed of the principle of law that once suits are filed in the court of law, parties should maintain and preserve the Res.</w:t>
      </w:r>
      <w:r>
        <w:rPr>
          <w:rFonts w:ascii="Times New Roman" w:hAnsi="Times New Roman" w:cs="Times New Roman"/>
          <w:sz w:val="24"/>
          <w:szCs w:val="24"/>
        </w:rPr>
        <w:t xml:space="preserve"> Legal practitioners have a prominent role to play in that circumstances. The litigants who are not knowledgeable in law should be informed accordingly of the implication of taking law into ones hand after judicial process has been taken. More importantly, parties to an action are also to be advised not to engage in any act that, will scuttle justice and cause disrepute to the Court </w:t>
      </w:r>
      <w:r w:rsidR="000171EE">
        <w:rPr>
          <w:rFonts w:ascii="Times New Roman" w:hAnsi="Times New Roman" w:cs="Times New Roman"/>
          <w:sz w:val="24"/>
          <w:szCs w:val="24"/>
        </w:rPr>
        <w:t xml:space="preserve">through tempering and alteration of the subject-matter while an action is pending. </w:t>
      </w:r>
    </w:p>
    <w:p w:rsidR="004D7F09" w:rsidRDefault="004D7F09" w:rsidP="000171EE">
      <w:pPr>
        <w:spacing w:after="0" w:line="480" w:lineRule="auto"/>
        <w:ind w:left="360"/>
        <w:jc w:val="both"/>
        <w:rPr>
          <w:rFonts w:ascii="Times New Roman" w:hAnsi="Times New Roman" w:cs="Times New Roman"/>
          <w:sz w:val="24"/>
          <w:szCs w:val="24"/>
        </w:rPr>
      </w:pPr>
    </w:p>
    <w:p w:rsidR="004D7F09" w:rsidRDefault="004D7F09" w:rsidP="000171EE">
      <w:pPr>
        <w:spacing w:after="0" w:line="480" w:lineRule="auto"/>
        <w:ind w:left="360"/>
        <w:jc w:val="both"/>
        <w:rPr>
          <w:rFonts w:ascii="Times New Roman" w:hAnsi="Times New Roman" w:cs="Times New Roman"/>
          <w:sz w:val="24"/>
          <w:szCs w:val="24"/>
        </w:rPr>
      </w:pPr>
    </w:p>
    <w:p w:rsidR="004D7F09" w:rsidRDefault="004D7F09" w:rsidP="000171EE">
      <w:pPr>
        <w:spacing w:after="0" w:line="480" w:lineRule="auto"/>
        <w:ind w:left="360"/>
        <w:jc w:val="both"/>
        <w:rPr>
          <w:rFonts w:ascii="Times New Roman" w:hAnsi="Times New Roman" w:cs="Times New Roman"/>
          <w:sz w:val="24"/>
          <w:szCs w:val="24"/>
        </w:rPr>
      </w:pPr>
    </w:p>
    <w:p w:rsidR="004D7F09" w:rsidRDefault="004D7F09" w:rsidP="000171EE">
      <w:pPr>
        <w:spacing w:after="0" w:line="480" w:lineRule="auto"/>
        <w:ind w:left="360"/>
        <w:jc w:val="both"/>
        <w:rPr>
          <w:rFonts w:ascii="Times New Roman" w:hAnsi="Times New Roman" w:cs="Times New Roman"/>
          <w:sz w:val="24"/>
          <w:szCs w:val="24"/>
        </w:rPr>
      </w:pPr>
    </w:p>
    <w:p w:rsidR="004D7F09" w:rsidRDefault="004D7F09" w:rsidP="000171EE">
      <w:pPr>
        <w:spacing w:after="0" w:line="480" w:lineRule="auto"/>
        <w:ind w:left="360"/>
        <w:jc w:val="both"/>
        <w:rPr>
          <w:rFonts w:ascii="Times New Roman" w:hAnsi="Times New Roman" w:cs="Times New Roman"/>
          <w:sz w:val="24"/>
          <w:szCs w:val="24"/>
        </w:rPr>
      </w:pPr>
    </w:p>
    <w:p w:rsidR="004D7F09" w:rsidRDefault="004D7F09" w:rsidP="000171EE">
      <w:pPr>
        <w:spacing w:after="0" w:line="480" w:lineRule="auto"/>
        <w:ind w:left="360"/>
        <w:jc w:val="both"/>
        <w:rPr>
          <w:rFonts w:ascii="Times New Roman" w:hAnsi="Times New Roman" w:cs="Times New Roman"/>
          <w:sz w:val="24"/>
          <w:szCs w:val="24"/>
        </w:rPr>
      </w:pPr>
    </w:p>
    <w:p w:rsidR="004D7F09" w:rsidRDefault="004D7F09" w:rsidP="000171EE">
      <w:pPr>
        <w:spacing w:after="0" w:line="480" w:lineRule="auto"/>
        <w:ind w:left="360"/>
        <w:jc w:val="both"/>
        <w:rPr>
          <w:rFonts w:ascii="Times New Roman" w:hAnsi="Times New Roman" w:cs="Times New Roman"/>
          <w:sz w:val="24"/>
          <w:szCs w:val="24"/>
        </w:rPr>
      </w:pPr>
    </w:p>
    <w:p w:rsidR="004D7F09" w:rsidRDefault="004D7F09" w:rsidP="000171EE">
      <w:pPr>
        <w:spacing w:after="0" w:line="480" w:lineRule="auto"/>
        <w:ind w:left="360"/>
        <w:jc w:val="both"/>
        <w:rPr>
          <w:rFonts w:ascii="Times New Roman" w:hAnsi="Times New Roman" w:cs="Times New Roman"/>
          <w:sz w:val="24"/>
          <w:szCs w:val="24"/>
        </w:rPr>
      </w:pPr>
    </w:p>
    <w:p w:rsidR="004D7F09" w:rsidRPr="004D7F09" w:rsidRDefault="004D7F09" w:rsidP="004D7F09">
      <w:pPr>
        <w:spacing w:after="0" w:line="480" w:lineRule="auto"/>
        <w:ind w:left="360"/>
        <w:jc w:val="center"/>
        <w:rPr>
          <w:rFonts w:ascii="Times New Roman" w:hAnsi="Times New Roman" w:cs="Times New Roman"/>
          <w:b/>
          <w:sz w:val="24"/>
          <w:szCs w:val="24"/>
          <w:u w:val="single"/>
        </w:rPr>
      </w:pPr>
      <w:r w:rsidRPr="004D7F09">
        <w:rPr>
          <w:rFonts w:ascii="Times New Roman" w:hAnsi="Times New Roman" w:cs="Times New Roman"/>
          <w:b/>
          <w:sz w:val="24"/>
          <w:szCs w:val="24"/>
          <w:u w:val="single"/>
        </w:rPr>
        <w:lastRenderedPageBreak/>
        <w:t>End Notes</w:t>
      </w:r>
    </w:p>
    <w:sectPr w:rsidR="004D7F09" w:rsidRPr="004D7F0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1BAB" w:rsidRDefault="001C1BAB" w:rsidP="006D2E1E">
      <w:pPr>
        <w:spacing w:after="0" w:line="240" w:lineRule="auto"/>
      </w:pPr>
      <w:r>
        <w:separator/>
      </w:r>
    </w:p>
  </w:endnote>
  <w:endnote w:type="continuationSeparator" w:id="0">
    <w:p w:rsidR="001C1BAB" w:rsidRDefault="001C1BAB" w:rsidP="006D2E1E">
      <w:pPr>
        <w:spacing w:after="0" w:line="240" w:lineRule="auto"/>
      </w:pPr>
      <w:r>
        <w:continuationSeparator/>
      </w:r>
    </w:p>
  </w:endnote>
  <w:endnote w:id="1">
    <w:p w:rsidR="0003454B" w:rsidRPr="000C53D6" w:rsidRDefault="0003454B">
      <w:pPr>
        <w:pStyle w:val="EndnoteText"/>
        <w:rPr>
          <w:rFonts w:ascii="Times New Roman" w:hAnsi="Times New Roman" w:cs="Times New Roman"/>
        </w:rPr>
      </w:pPr>
      <w:r w:rsidRPr="000C53D6">
        <w:rPr>
          <w:rStyle w:val="EndnoteReference"/>
          <w:rFonts w:ascii="Times New Roman" w:hAnsi="Times New Roman" w:cs="Times New Roman"/>
        </w:rPr>
        <w:endnoteRef/>
      </w:r>
      <w:r w:rsidRPr="000C53D6">
        <w:rPr>
          <w:rFonts w:ascii="Times New Roman" w:hAnsi="Times New Roman" w:cs="Times New Roman"/>
        </w:rPr>
        <w:t xml:space="preserve"> </w:t>
      </w:r>
      <w:r w:rsidR="000C53D6" w:rsidRPr="000C53D6">
        <w:rPr>
          <w:rFonts w:ascii="Times New Roman" w:hAnsi="Times New Roman" w:cs="Times New Roman"/>
        </w:rPr>
        <w:t>Senior Lecturer in the Department of Private and Property Law, University of Ilorin, Ilorin, Nigeria</w:t>
      </w:r>
      <w:r w:rsidR="002D1E24">
        <w:rPr>
          <w:rFonts w:ascii="Times New Roman" w:hAnsi="Times New Roman" w:cs="Times New Roman"/>
        </w:rPr>
        <w:t xml:space="preserve">; E-mail – </w:t>
      </w:r>
      <w:hyperlink r:id="rId1" w:history="1">
        <w:r w:rsidR="002D1E24" w:rsidRPr="008C6111">
          <w:rPr>
            <w:rStyle w:val="Hyperlink"/>
            <w:rFonts w:ascii="Times New Roman" w:hAnsi="Times New Roman" w:cs="Times New Roman"/>
          </w:rPr>
          <w:t>bl.ijaiya@unilorin.edu.ng</w:t>
        </w:r>
      </w:hyperlink>
      <w:r w:rsidR="002D1E24">
        <w:rPr>
          <w:rFonts w:ascii="Times New Roman" w:hAnsi="Times New Roman" w:cs="Times New Roman"/>
        </w:rPr>
        <w:t xml:space="preserve"> </w:t>
      </w:r>
      <w:hyperlink r:id="rId2" w:history="1">
        <w:r w:rsidR="002D1E24" w:rsidRPr="008C6111">
          <w:rPr>
            <w:rStyle w:val="Hyperlink"/>
            <w:rFonts w:ascii="Times New Roman" w:hAnsi="Times New Roman" w:cs="Times New Roman"/>
          </w:rPr>
          <w:t>bashirijaiya48@gmail.com</w:t>
        </w:r>
      </w:hyperlink>
      <w:r w:rsidR="002D1E24">
        <w:rPr>
          <w:rFonts w:ascii="Times New Roman" w:hAnsi="Times New Roman" w:cs="Times New Roman"/>
        </w:rPr>
        <w:t xml:space="preserve"> </w:t>
      </w:r>
    </w:p>
  </w:endnote>
  <w:endnote w:id="2">
    <w:p w:rsidR="006D2E1E" w:rsidRPr="00C561C3" w:rsidRDefault="006D2E1E" w:rsidP="00C561C3">
      <w:pPr>
        <w:pStyle w:val="EndnoteText"/>
        <w:jc w:val="both"/>
        <w:rPr>
          <w:rFonts w:ascii="Times New Roman" w:hAnsi="Times New Roman" w:cs="Times New Roman"/>
        </w:rPr>
      </w:pPr>
      <w:r w:rsidRPr="00C561C3">
        <w:rPr>
          <w:rStyle w:val="EndnoteReference"/>
          <w:rFonts w:ascii="Times New Roman" w:hAnsi="Times New Roman" w:cs="Times New Roman"/>
        </w:rPr>
        <w:endnoteRef/>
      </w:r>
      <w:r w:rsidRPr="00C561C3">
        <w:rPr>
          <w:rFonts w:ascii="Times New Roman" w:hAnsi="Times New Roman" w:cs="Times New Roman"/>
        </w:rPr>
        <w:t xml:space="preserve"> Akingbola &amp; Another v. Igbe &amp; Others (2018) LPELR- 44155 (CA) as per </w:t>
      </w:r>
      <w:r w:rsidR="008959EE">
        <w:rPr>
          <w:rFonts w:ascii="Times New Roman" w:hAnsi="Times New Roman" w:cs="Times New Roman"/>
        </w:rPr>
        <w:t xml:space="preserve">Oseji Justice, Court of Appeal of </w:t>
      </w:r>
      <w:r w:rsidRPr="00C561C3">
        <w:rPr>
          <w:rFonts w:ascii="Times New Roman" w:hAnsi="Times New Roman" w:cs="Times New Roman"/>
        </w:rPr>
        <w:t>Nigeria, Pp. 21-26, paras, F-B</w:t>
      </w:r>
    </w:p>
  </w:endnote>
  <w:endnote w:id="3">
    <w:p w:rsidR="00C561C3" w:rsidRPr="008959EE" w:rsidRDefault="00C561C3" w:rsidP="008959EE">
      <w:pPr>
        <w:pStyle w:val="EndnoteText"/>
        <w:jc w:val="both"/>
        <w:rPr>
          <w:rFonts w:ascii="Times New Roman" w:hAnsi="Times New Roman" w:cs="Times New Roman"/>
        </w:rPr>
      </w:pPr>
      <w:r w:rsidRPr="008959EE">
        <w:rPr>
          <w:rStyle w:val="EndnoteReference"/>
          <w:rFonts w:ascii="Times New Roman" w:hAnsi="Times New Roman" w:cs="Times New Roman"/>
        </w:rPr>
        <w:endnoteRef/>
      </w:r>
      <w:r w:rsidRPr="008959EE">
        <w:rPr>
          <w:rFonts w:ascii="Times New Roman" w:hAnsi="Times New Roman" w:cs="Times New Roman"/>
        </w:rPr>
        <w:t xml:space="preserve"> Atolagbe &amp; Another v. Awuni &amp; Others (1997) LPELR- </w:t>
      </w:r>
      <w:r w:rsidR="00F77FFE">
        <w:rPr>
          <w:rFonts w:ascii="Times New Roman" w:hAnsi="Times New Roman" w:cs="Times New Roman"/>
        </w:rPr>
        <w:t>593 (SC) as per Uwais</w:t>
      </w:r>
      <w:r w:rsidR="008959EE" w:rsidRPr="008959EE">
        <w:rPr>
          <w:rFonts w:ascii="Times New Roman" w:hAnsi="Times New Roman" w:cs="Times New Roman"/>
        </w:rPr>
        <w:t>, Justice of the Supreme Court of Nigeria, P. 23, paras, A-E</w:t>
      </w:r>
    </w:p>
  </w:endnote>
  <w:endnote w:id="4">
    <w:p w:rsidR="009E49B0" w:rsidRPr="009E49B0" w:rsidRDefault="009E49B0" w:rsidP="009E49B0">
      <w:pPr>
        <w:pStyle w:val="EndnoteText"/>
        <w:jc w:val="both"/>
        <w:rPr>
          <w:rFonts w:ascii="Times New Roman" w:hAnsi="Times New Roman" w:cs="Times New Roman"/>
        </w:rPr>
      </w:pPr>
      <w:r w:rsidRPr="009E49B0">
        <w:rPr>
          <w:rStyle w:val="EndnoteReference"/>
          <w:rFonts w:ascii="Times New Roman" w:hAnsi="Times New Roman" w:cs="Times New Roman"/>
        </w:rPr>
        <w:endnoteRef/>
      </w:r>
      <w:r w:rsidRPr="009E49B0">
        <w:rPr>
          <w:rFonts w:ascii="Times New Roman" w:hAnsi="Times New Roman" w:cs="Times New Roman"/>
        </w:rPr>
        <w:t xml:space="preserve"> Alfa V. Attai &amp; Others (2017) LPELR- 42579 (SC) as per CHIMA Centus Nweze, Justice of the Supreme Court of Nigeria, Pp. 18-19, paras, B – C ; Harwood, G. F. Odger’s Principles of Pleadings and Practice in Civil Actions (Twentieth Ed) (New Delhi India, Universal Law Publishing Co Pvt. Ltd 2010) 352</w:t>
      </w:r>
    </w:p>
  </w:endnote>
  <w:endnote w:id="5">
    <w:p w:rsidR="00274764" w:rsidRPr="00274764" w:rsidRDefault="00274764" w:rsidP="00274764">
      <w:pPr>
        <w:pStyle w:val="EndnoteText"/>
        <w:jc w:val="both"/>
        <w:rPr>
          <w:rFonts w:ascii="Times New Roman" w:hAnsi="Times New Roman" w:cs="Times New Roman"/>
        </w:rPr>
      </w:pPr>
      <w:r w:rsidRPr="00274764">
        <w:rPr>
          <w:rStyle w:val="EndnoteReference"/>
          <w:rFonts w:ascii="Times New Roman" w:hAnsi="Times New Roman" w:cs="Times New Roman"/>
        </w:rPr>
        <w:endnoteRef/>
      </w:r>
      <w:r w:rsidRPr="00274764">
        <w:rPr>
          <w:rFonts w:ascii="Times New Roman" w:hAnsi="Times New Roman" w:cs="Times New Roman"/>
        </w:rPr>
        <w:t xml:space="preserve"> Union Bank v. Ravih Abdul &amp; Co Ltd (2018) LPELR-46333 (SC) as per Bage, Justice of the Supreme Court of Nigeria, Pp. 13-16, paras, D-E); </w:t>
      </w:r>
    </w:p>
  </w:endnote>
  <w:endnote w:id="6">
    <w:p w:rsidR="00F41BB7" w:rsidRPr="00F41BB7" w:rsidRDefault="00F41BB7" w:rsidP="00F41BB7">
      <w:pPr>
        <w:pStyle w:val="EndnoteText"/>
        <w:jc w:val="both"/>
        <w:rPr>
          <w:rFonts w:ascii="Times New Roman" w:hAnsi="Times New Roman" w:cs="Times New Roman"/>
        </w:rPr>
      </w:pPr>
      <w:r w:rsidRPr="00F41BB7">
        <w:rPr>
          <w:rStyle w:val="EndnoteReference"/>
          <w:rFonts w:ascii="Times New Roman" w:hAnsi="Times New Roman" w:cs="Times New Roman"/>
        </w:rPr>
        <w:endnoteRef/>
      </w:r>
      <w:r w:rsidRPr="00F41BB7">
        <w:rPr>
          <w:rFonts w:ascii="Times New Roman" w:hAnsi="Times New Roman" w:cs="Times New Roman"/>
        </w:rPr>
        <w:t xml:space="preserve"> Tobi, Justice of the Supreme Court of Nigeria in the case of Akaninwo &amp; Others v. Nsirim &amp; Others (2008) LPELR- 321 (SC) Pp. 85-86, paras, D- B</w:t>
      </w:r>
    </w:p>
  </w:endnote>
  <w:endnote w:id="7">
    <w:p w:rsidR="00F41BB7" w:rsidRPr="00F41BB7" w:rsidRDefault="00F41BB7" w:rsidP="00F41BB7">
      <w:pPr>
        <w:pStyle w:val="EndnoteText"/>
        <w:jc w:val="both"/>
        <w:rPr>
          <w:rFonts w:ascii="Times New Roman" w:hAnsi="Times New Roman" w:cs="Times New Roman"/>
        </w:rPr>
      </w:pPr>
      <w:r w:rsidRPr="00F41BB7">
        <w:rPr>
          <w:rStyle w:val="EndnoteReference"/>
          <w:rFonts w:ascii="Times New Roman" w:hAnsi="Times New Roman" w:cs="Times New Roman"/>
        </w:rPr>
        <w:endnoteRef/>
      </w:r>
      <w:r w:rsidRPr="00F41BB7">
        <w:rPr>
          <w:rFonts w:ascii="Times New Roman" w:hAnsi="Times New Roman" w:cs="Times New Roman"/>
        </w:rPr>
        <w:t xml:space="preserve"> Onnoghen, Former Chief Justice of Nigeria in the case of Aboseldehyde Laboratories v. Union Merchant Bank Ltd &amp; Another (2013) LPELR- 20180 (SC) P. 22, paras A-B</w:t>
      </w:r>
    </w:p>
  </w:endnote>
  <w:endnote w:id="8">
    <w:p w:rsidR="002E15F1" w:rsidRPr="002E15F1" w:rsidRDefault="002E15F1" w:rsidP="002E15F1">
      <w:pPr>
        <w:pStyle w:val="EndnoteText"/>
        <w:jc w:val="both"/>
        <w:rPr>
          <w:rFonts w:ascii="Times New Roman" w:hAnsi="Times New Roman" w:cs="Times New Roman"/>
        </w:rPr>
      </w:pPr>
      <w:r w:rsidRPr="002E15F1">
        <w:rPr>
          <w:rStyle w:val="EndnoteReference"/>
          <w:rFonts w:ascii="Times New Roman" w:hAnsi="Times New Roman" w:cs="Times New Roman"/>
        </w:rPr>
        <w:endnoteRef/>
      </w:r>
      <w:r w:rsidRPr="002E15F1">
        <w:rPr>
          <w:rFonts w:ascii="Times New Roman" w:hAnsi="Times New Roman" w:cs="Times New Roman"/>
        </w:rPr>
        <w:t xml:space="preserve"> Akaah, Justice of the Supreme Court of Nigeria in the case of Adeleke &amp; Others v. Lawal &amp; Others (2013) LPELR- 20090 (SC), Pp, 17-18, paras, E-F</w:t>
      </w:r>
    </w:p>
  </w:endnote>
  <w:endnote w:id="9">
    <w:p w:rsidR="00057DA4" w:rsidRPr="00057DA4" w:rsidRDefault="00057DA4">
      <w:pPr>
        <w:pStyle w:val="EndnoteText"/>
        <w:rPr>
          <w:rFonts w:ascii="Times New Roman" w:hAnsi="Times New Roman" w:cs="Times New Roman"/>
        </w:rPr>
      </w:pPr>
      <w:r w:rsidRPr="00057DA4">
        <w:rPr>
          <w:rStyle w:val="EndnoteReference"/>
          <w:rFonts w:ascii="Times New Roman" w:hAnsi="Times New Roman" w:cs="Times New Roman"/>
        </w:rPr>
        <w:endnoteRef/>
      </w:r>
      <w:r w:rsidRPr="00057DA4">
        <w:rPr>
          <w:rFonts w:ascii="Times New Roman" w:hAnsi="Times New Roman" w:cs="Times New Roman"/>
        </w:rPr>
        <w:t xml:space="preserve"> Ibid</w:t>
      </w:r>
    </w:p>
  </w:endnote>
  <w:endnote w:id="10">
    <w:p w:rsidR="00736C1E" w:rsidRPr="00AC50C7" w:rsidRDefault="00736C1E" w:rsidP="00AC50C7">
      <w:pPr>
        <w:pStyle w:val="EndnoteText"/>
        <w:jc w:val="both"/>
        <w:rPr>
          <w:rFonts w:ascii="Times New Roman" w:hAnsi="Times New Roman" w:cs="Times New Roman"/>
        </w:rPr>
      </w:pPr>
      <w:r w:rsidRPr="00AC50C7">
        <w:rPr>
          <w:rStyle w:val="EndnoteReference"/>
          <w:rFonts w:ascii="Times New Roman" w:hAnsi="Times New Roman" w:cs="Times New Roman"/>
        </w:rPr>
        <w:endnoteRef/>
      </w:r>
      <w:r w:rsidRPr="00AC50C7">
        <w:rPr>
          <w:rFonts w:ascii="Times New Roman" w:hAnsi="Times New Roman" w:cs="Times New Roman"/>
        </w:rPr>
        <w:t xml:space="preserve"> Olowu V. Building Stock Limited (2004) 4 NWLR (Pt. 864) 445; Attorney General Federation v. Fafunwa Onikoyi (2006) 18 NWLR (Pt. 1010)</w:t>
      </w:r>
    </w:p>
  </w:endnote>
  <w:endnote w:id="11">
    <w:p w:rsidR="0009712B" w:rsidRPr="0009712B" w:rsidRDefault="0009712B" w:rsidP="0009712B">
      <w:pPr>
        <w:pStyle w:val="EndnoteText"/>
        <w:jc w:val="both"/>
        <w:rPr>
          <w:rFonts w:ascii="Times New Roman" w:hAnsi="Times New Roman" w:cs="Times New Roman"/>
        </w:rPr>
      </w:pPr>
      <w:r w:rsidRPr="0009712B">
        <w:rPr>
          <w:rStyle w:val="EndnoteReference"/>
          <w:rFonts w:ascii="Times New Roman" w:hAnsi="Times New Roman" w:cs="Times New Roman"/>
        </w:rPr>
        <w:endnoteRef/>
      </w:r>
      <w:r w:rsidRPr="0009712B">
        <w:rPr>
          <w:rFonts w:ascii="Times New Roman" w:hAnsi="Times New Roman" w:cs="Times New Roman"/>
        </w:rPr>
        <w:t xml:space="preserve"> Kotoye v. Central Bank of Nigeria (1989) 1 NWLR (Pt. 98) 419; Buhari v. Obasnajo (2002) 17 NWLR (Pt. 850) 587</w:t>
      </w:r>
    </w:p>
  </w:endnote>
  <w:endnote w:id="12">
    <w:p w:rsidR="0009712B" w:rsidRPr="0009712B" w:rsidRDefault="0009712B" w:rsidP="0009712B">
      <w:pPr>
        <w:pStyle w:val="EndnoteText"/>
        <w:jc w:val="both"/>
        <w:rPr>
          <w:rFonts w:ascii="Times New Roman" w:hAnsi="Times New Roman" w:cs="Times New Roman"/>
        </w:rPr>
      </w:pPr>
      <w:r w:rsidRPr="0009712B">
        <w:rPr>
          <w:rStyle w:val="EndnoteReference"/>
          <w:rFonts w:ascii="Times New Roman" w:hAnsi="Times New Roman" w:cs="Times New Roman"/>
        </w:rPr>
        <w:endnoteRef/>
      </w:r>
      <w:r w:rsidRPr="0009712B">
        <w:rPr>
          <w:rFonts w:ascii="Times New Roman" w:hAnsi="Times New Roman" w:cs="Times New Roman"/>
        </w:rPr>
        <w:t xml:space="preserve"> NDIC v. S. B. N Limited (2003) 1 NWLR (Pt. 801) 371; Modile v. Governor of Lagos State (2004) 12 NWLR (Pt. 8877) 354</w:t>
      </w:r>
    </w:p>
  </w:endnote>
  <w:endnote w:id="13">
    <w:p w:rsidR="0009712B" w:rsidRPr="001A4A2B" w:rsidRDefault="0009712B">
      <w:pPr>
        <w:pStyle w:val="EndnoteText"/>
        <w:rPr>
          <w:rFonts w:ascii="Times New Roman" w:hAnsi="Times New Roman" w:cs="Times New Roman"/>
        </w:rPr>
      </w:pPr>
      <w:r w:rsidRPr="001A4A2B">
        <w:rPr>
          <w:rStyle w:val="EndnoteReference"/>
          <w:rFonts w:ascii="Times New Roman" w:hAnsi="Times New Roman" w:cs="Times New Roman"/>
        </w:rPr>
        <w:endnoteRef/>
      </w:r>
      <w:r w:rsidRPr="001A4A2B">
        <w:rPr>
          <w:rFonts w:ascii="Times New Roman" w:hAnsi="Times New Roman" w:cs="Times New Roman"/>
        </w:rPr>
        <w:t xml:space="preserve"> Sotuminu v. Ocean Steamship Nigeria Ltd (1992) 5 NWLR (Pt. 239) 1; A.I.C Limited v. NNPC (2005) 11 NWLR (Pt. 937) 563</w:t>
      </w:r>
    </w:p>
  </w:endnote>
  <w:endnote w:id="14">
    <w:p w:rsidR="0040068D" w:rsidRPr="002533BD" w:rsidRDefault="0040068D">
      <w:pPr>
        <w:pStyle w:val="EndnoteText"/>
        <w:rPr>
          <w:rFonts w:ascii="Times New Roman" w:hAnsi="Times New Roman" w:cs="Times New Roman"/>
        </w:rPr>
      </w:pPr>
      <w:r w:rsidRPr="002533BD">
        <w:rPr>
          <w:rStyle w:val="EndnoteReference"/>
          <w:rFonts w:ascii="Times New Roman" w:hAnsi="Times New Roman" w:cs="Times New Roman"/>
        </w:rPr>
        <w:endnoteRef/>
      </w:r>
      <w:r w:rsidRPr="002533BD">
        <w:rPr>
          <w:rFonts w:ascii="Times New Roman" w:hAnsi="Times New Roman" w:cs="Times New Roman"/>
        </w:rPr>
        <w:t xml:space="preserve"> (2014) LPELR- 22824 (CA) </w:t>
      </w:r>
    </w:p>
  </w:endnote>
  <w:endnote w:id="15">
    <w:p w:rsidR="00E708CE" w:rsidRPr="002533BD" w:rsidRDefault="00E708CE">
      <w:pPr>
        <w:pStyle w:val="EndnoteText"/>
        <w:rPr>
          <w:rFonts w:ascii="Times New Roman" w:hAnsi="Times New Roman" w:cs="Times New Roman"/>
        </w:rPr>
      </w:pPr>
      <w:r w:rsidRPr="002533BD">
        <w:rPr>
          <w:rStyle w:val="EndnoteReference"/>
          <w:rFonts w:ascii="Times New Roman" w:hAnsi="Times New Roman" w:cs="Times New Roman"/>
        </w:rPr>
        <w:endnoteRef/>
      </w:r>
      <w:r w:rsidRPr="002533BD">
        <w:rPr>
          <w:rFonts w:ascii="Times New Roman" w:hAnsi="Times New Roman" w:cs="Times New Roman"/>
        </w:rPr>
        <w:t xml:space="preserve"> </w:t>
      </w:r>
      <w:r w:rsidR="001639CD" w:rsidRPr="002533BD">
        <w:rPr>
          <w:rFonts w:ascii="Times New Roman" w:hAnsi="Times New Roman" w:cs="Times New Roman"/>
        </w:rPr>
        <w:t>92012) LPELR- 19696 (CA)</w:t>
      </w:r>
    </w:p>
  </w:endnote>
  <w:endnote w:id="16">
    <w:p w:rsidR="00AE0156" w:rsidRPr="002533BD" w:rsidRDefault="00AE0156">
      <w:pPr>
        <w:pStyle w:val="EndnoteText"/>
        <w:rPr>
          <w:rFonts w:ascii="Times New Roman" w:hAnsi="Times New Roman" w:cs="Times New Roman"/>
        </w:rPr>
      </w:pPr>
      <w:r w:rsidRPr="002533BD">
        <w:rPr>
          <w:rStyle w:val="EndnoteReference"/>
          <w:rFonts w:ascii="Times New Roman" w:hAnsi="Times New Roman" w:cs="Times New Roman"/>
        </w:rPr>
        <w:endnoteRef/>
      </w:r>
      <w:r w:rsidRPr="002533BD">
        <w:rPr>
          <w:rFonts w:ascii="Times New Roman" w:hAnsi="Times New Roman" w:cs="Times New Roman"/>
        </w:rPr>
        <w:t xml:space="preserve"> </w:t>
      </w:r>
      <w:r w:rsidR="001A4A2B" w:rsidRPr="002533BD">
        <w:rPr>
          <w:rFonts w:ascii="Times New Roman" w:hAnsi="Times New Roman" w:cs="Times New Roman"/>
        </w:rPr>
        <w:t>(2011) LPELR- 3053 (SC)</w:t>
      </w:r>
    </w:p>
  </w:endnote>
  <w:endnote w:id="17">
    <w:p w:rsidR="001A4A2B" w:rsidRPr="002533BD" w:rsidRDefault="001A4A2B">
      <w:pPr>
        <w:pStyle w:val="EndnoteText"/>
        <w:rPr>
          <w:rFonts w:ascii="Times New Roman" w:hAnsi="Times New Roman" w:cs="Times New Roman"/>
        </w:rPr>
      </w:pPr>
      <w:r w:rsidRPr="002533BD">
        <w:rPr>
          <w:rStyle w:val="EndnoteReference"/>
          <w:rFonts w:ascii="Times New Roman" w:hAnsi="Times New Roman" w:cs="Times New Roman"/>
        </w:rPr>
        <w:endnoteRef/>
      </w:r>
      <w:r w:rsidRPr="002533BD">
        <w:rPr>
          <w:rFonts w:ascii="Times New Roman" w:hAnsi="Times New Roman" w:cs="Times New Roman"/>
        </w:rPr>
        <w:t xml:space="preserve"> (1986) (Pt. 1) vol.17, p 304</w:t>
      </w:r>
    </w:p>
  </w:endnote>
  <w:endnote w:id="18">
    <w:p w:rsidR="00473013" w:rsidRPr="002533BD" w:rsidRDefault="00473013">
      <w:pPr>
        <w:pStyle w:val="EndnoteText"/>
        <w:rPr>
          <w:rFonts w:ascii="Times New Roman" w:hAnsi="Times New Roman" w:cs="Times New Roman"/>
        </w:rPr>
      </w:pPr>
      <w:r w:rsidRPr="002533BD">
        <w:rPr>
          <w:rStyle w:val="EndnoteReference"/>
          <w:rFonts w:ascii="Times New Roman" w:hAnsi="Times New Roman" w:cs="Times New Roman"/>
        </w:rPr>
        <w:endnoteRef/>
      </w:r>
      <w:r w:rsidRPr="002533BD">
        <w:rPr>
          <w:rFonts w:ascii="Times New Roman" w:hAnsi="Times New Roman" w:cs="Times New Roman"/>
        </w:rPr>
        <w:t xml:space="preserve"> (1991) 4 NWLR (Pt. 188) 762 @ 771</w:t>
      </w:r>
    </w:p>
  </w:endnote>
  <w:endnote w:id="19">
    <w:p w:rsidR="00473013" w:rsidRPr="002533BD" w:rsidRDefault="00473013">
      <w:pPr>
        <w:pStyle w:val="EndnoteText"/>
        <w:rPr>
          <w:rFonts w:ascii="Times New Roman" w:hAnsi="Times New Roman" w:cs="Times New Roman"/>
        </w:rPr>
      </w:pPr>
      <w:r w:rsidRPr="002533BD">
        <w:rPr>
          <w:rStyle w:val="EndnoteReference"/>
          <w:rFonts w:ascii="Times New Roman" w:hAnsi="Times New Roman" w:cs="Times New Roman"/>
        </w:rPr>
        <w:endnoteRef/>
      </w:r>
      <w:r w:rsidRPr="002533BD">
        <w:rPr>
          <w:rFonts w:ascii="Times New Roman" w:hAnsi="Times New Roman" w:cs="Times New Roman"/>
        </w:rPr>
        <w:t xml:space="preserve"> (2007) LPELR- 1149 (SC)</w:t>
      </w:r>
    </w:p>
  </w:endnote>
  <w:endnote w:id="20">
    <w:p w:rsidR="00637E76" w:rsidRPr="002533BD" w:rsidRDefault="00637E76">
      <w:pPr>
        <w:pStyle w:val="EndnoteText"/>
        <w:rPr>
          <w:rFonts w:ascii="Times New Roman" w:hAnsi="Times New Roman" w:cs="Times New Roman"/>
        </w:rPr>
      </w:pPr>
      <w:r w:rsidRPr="002533BD">
        <w:rPr>
          <w:rStyle w:val="EndnoteReference"/>
          <w:rFonts w:ascii="Times New Roman" w:hAnsi="Times New Roman" w:cs="Times New Roman"/>
        </w:rPr>
        <w:endnoteRef/>
      </w:r>
      <w:r w:rsidRPr="002533BD">
        <w:rPr>
          <w:rFonts w:ascii="Times New Roman" w:hAnsi="Times New Roman" w:cs="Times New Roman"/>
        </w:rPr>
        <w:t xml:space="preserve"> (2012) LPELR- 9278 (SC) </w:t>
      </w:r>
    </w:p>
  </w:endnote>
  <w:endnote w:id="21">
    <w:p w:rsidR="002533BD" w:rsidRDefault="002533BD">
      <w:pPr>
        <w:pStyle w:val="EndnoteText"/>
      </w:pPr>
      <w:r w:rsidRPr="002533BD">
        <w:rPr>
          <w:rStyle w:val="EndnoteReference"/>
          <w:rFonts w:ascii="Times New Roman" w:hAnsi="Times New Roman" w:cs="Times New Roman"/>
        </w:rPr>
        <w:endnoteRef/>
      </w:r>
      <w:r w:rsidRPr="002533BD">
        <w:rPr>
          <w:rFonts w:ascii="Times New Roman" w:hAnsi="Times New Roman" w:cs="Times New Roman"/>
        </w:rPr>
        <w:t xml:space="preserve"> O</w:t>
      </w:r>
      <w:r w:rsidR="00051ED3">
        <w:rPr>
          <w:rFonts w:ascii="Times New Roman" w:hAnsi="Times New Roman" w:cs="Times New Roman"/>
        </w:rPr>
        <w:t>l</w:t>
      </w:r>
      <w:r w:rsidRPr="002533BD">
        <w:rPr>
          <w:rFonts w:ascii="Times New Roman" w:hAnsi="Times New Roman" w:cs="Times New Roman"/>
        </w:rPr>
        <w:t xml:space="preserve">ori Motors Co </w:t>
      </w:r>
      <w:r w:rsidR="00372A8B">
        <w:rPr>
          <w:rFonts w:ascii="Times New Roman" w:hAnsi="Times New Roman" w:cs="Times New Roman"/>
        </w:rPr>
        <w:t>Ltd &amp; Others v. UBN Plc.</w:t>
      </w:r>
      <w:r w:rsidRPr="002533BD">
        <w:rPr>
          <w:rFonts w:ascii="Times New Roman" w:hAnsi="Times New Roman" w:cs="Times New Roman"/>
        </w:rPr>
        <w:t xml:space="preserve"> (2006) LPELR- 2589 (SC)</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1BAB" w:rsidRDefault="001C1BAB" w:rsidP="006D2E1E">
      <w:pPr>
        <w:spacing w:after="0" w:line="240" w:lineRule="auto"/>
      </w:pPr>
      <w:r>
        <w:separator/>
      </w:r>
    </w:p>
  </w:footnote>
  <w:footnote w:type="continuationSeparator" w:id="0">
    <w:p w:rsidR="001C1BAB" w:rsidRDefault="001C1BAB" w:rsidP="006D2E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1723F8"/>
    <w:multiLevelType w:val="multilevel"/>
    <w:tmpl w:val="D56ADE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536"/>
    <w:rsid w:val="000171EE"/>
    <w:rsid w:val="0003454B"/>
    <w:rsid w:val="00051ED3"/>
    <w:rsid w:val="00057DA4"/>
    <w:rsid w:val="00060304"/>
    <w:rsid w:val="0009712B"/>
    <w:rsid w:val="000A5F83"/>
    <w:rsid w:val="000B560A"/>
    <w:rsid w:val="000C53D6"/>
    <w:rsid w:val="000F4250"/>
    <w:rsid w:val="001362CE"/>
    <w:rsid w:val="001639CD"/>
    <w:rsid w:val="001A4A2B"/>
    <w:rsid w:val="001A68ED"/>
    <w:rsid w:val="001C1BAB"/>
    <w:rsid w:val="001D1154"/>
    <w:rsid w:val="001D2266"/>
    <w:rsid w:val="00225EE7"/>
    <w:rsid w:val="002443BD"/>
    <w:rsid w:val="002533BD"/>
    <w:rsid w:val="00274764"/>
    <w:rsid w:val="00274EED"/>
    <w:rsid w:val="002D1E24"/>
    <w:rsid w:val="002E15F1"/>
    <w:rsid w:val="00372A8B"/>
    <w:rsid w:val="00376536"/>
    <w:rsid w:val="00397968"/>
    <w:rsid w:val="003E2601"/>
    <w:rsid w:val="003E731A"/>
    <w:rsid w:val="0040068D"/>
    <w:rsid w:val="00473013"/>
    <w:rsid w:val="004D7F09"/>
    <w:rsid w:val="004F7CE8"/>
    <w:rsid w:val="00637E76"/>
    <w:rsid w:val="00660F58"/>
    <w:rsid w:val="006D2E1E"/>
    <w:rsid w:val="00706CEA"/>
    <w:rsid w:val="00736C1E"/>
    <w:rsid w:val="007438C8"/>
    <w:rsid w:val="00791F00"/>
    <w:rsid w:val="007A40FB"/>
    <w:rsid w:val="007B290B"/>
    <w:rsid w:val="007C47A2"/>
    <w:rsid w:val="00830109"/>
    <w:rsid w:val="008959EE"/>
    <w:rsid w:val="0092699C"/>
    <w:rsid w:val="009C4855"/>
    <w:rsid w:val="009E49B0"/>
    <w:rsid w:val="00AC0779"/>
    <w:rsid w:val="00AC50C7"/>
    <w:rsid w:val="00AD7662"/>
    <w:rsid w:val="00AE0156"/>
    <w:rsid w:val="00C561C3"/>
    <w:rsid w:val="00C8364E"/>
    <w:rsid w:val="00D103D2"/>
    <w:rsid w:val="00E14475"/>
    <w:rsid w:val="00E21632"/>
    <w:rsid w:val="00E708CE"/>
    <w:rsid w:val="00ED1F37"/>
    <w:rsid w:val="00EE3C04"/>
    <w:rsid w:val="00F41BB7"/>
    <w:rsid w:val="00F77FFE"/>
    <w:rsid w:val="00FA1057"/>
    <w:rsid w:val="00FF7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392CF1-612E-4F2A-A88F-42CBB6F31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1057"/>
    <w:pPr>
      <w:ind w:left="720"/>
      <w:contextualSpacing/>
    </w:pPr>
  </w:style>
  <w:style w:type="paragraph" w:styleId="EndnoteText">
    <w:name w:val="endnote text"/>
    <w:basedOn w:val="Normal"/>
    <w:link w:val="EndnoteTextChar"/>
    <w:uiPriority w:val="99"/>
    <w:semiHidden/>
    <w:unhideWhenUsed/>
    <w:rsid w:val="006D2E1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E1E"/>
    <w:rPr>
      <w:sz w:val="20"/>
      <w:szCs w:val="20"/>
    </w:rPr>
  </w:style>
  <w:style w:type="character" w:styleId="EndnoteReference">
    <w:name w:val="endnote reference"/>
    <w:basedOn w:val="DefaultParagraphFont"/>
    <w:uiPriority w:val="99"/>
    <w:semiHidden/>
    <w:unhideWhenUsed/>
    <w:rsid w:val="006D2E1E"/>
    <w:rPr>
      <w:vertAlign w:val="superscript"/>
    </w:rPr>
  </w:style>
  <w:style w:type="character" w:styleId="Hyperlink">
    <w:name w:val="Hyperlink"/>
    <w:basedOn w:val="DefaultParagraphFont"/>
    <w:uiPriority w:val="99"/>
    <w:unhideWhenUsed/>
    <w:rsid w:val="002D1E24"/>
    <w:rPr>
      <w:color w:val="0563C1" w:themeColor="hyperlink"/>
      <w:u w:val="single"/>
    </w:rPr>
  </w:style>
  <w:style w:type="paragraph" w:styleId="FootnoteText">
    <w:name w:val="footnote text"/>
    <w:basedOn w:val="Normal"/>
    <w:link w:val="FootnoteTextChar"/>
    <w:uiPriority w:val="99"/>
    <w:semiHidden/>
    <w:unhideWhenUsed/>
    <w:rsid w:val="004006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0068D"/>
    <w:rPr>
      <w:sz w:val="20"/>
      <w:szCs w:val="20"/>
    </w:rPr>
  </w:style>
  <w:style w:type="character" w:styleId="FootnoteReference">
    <w:name w:val="footnote reference"/>
    <w:basedOn w:val="DefaultParagraphFont"/>
    <w:uiPriority w:val="99"/>
    <w:semiHidden/>
    <w:unhideWhenUsed/>
    <w:rsid w:val="004006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2" Type="http://schemas.openxmlformats.org/officeDocument/2006/relationships/hyperlink" Target="mailto:bashirijaiya48@gmail.com" TargetMode="External"/><Relationship Id="rId1" Type="http://schemas.openxmlformats.org/officeDocument/2006/relationships/hyperlink" Target="mailto:bl.ijaiya@unilorin.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F8C70B-E48A-4849-A805-45196CB09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11</Pages>
  <Words>2837</Words>
  <Characters>16176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dcterms:created xsi:type="dcterms:W3CDTF">2019-02-08T13:45:00Z</dcterms:created>
  <dcterms:modified xsi:type="dcterms:W3CDTF">2019-05-24T21:13:00Z</dcterms:modified>
</cp:coreProperties>
</file>