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3034E7" w:rsidRDefault="003034E7"/>
    <w:p w:rsidR="00CB0AD9" w:rsidRDefault="00CB0AD9">
      <w:pPr>
        <w:rPr>
          <w:rFonts w:ascii="Garamond" w:hAnsi="Garamond" w:cs="Arial"/>
          <w:sz w:val="28"/>
          <w:szCs w:val="28"/>
        </w:rPr>
      </w:pPr>
      <w:r w:rsidRPr="00CB0AD9">
        <w:rPr>
          <w:rFonts w:ascii="Garamond" w:hAnsi="Garamond" w:cs="Arial"/>
          <w:sz w:val="28"/>
          <w:szCs w:val="28"/>
        </w:rPr>
        <w:t xml:space="preserve">Amos Olusegun </w:t>
      </w:r>
      <w:proofErr w:type="spellStart"/>
      <w:r w:rsidRPr="00CB0AD9">
        <w:rPr>
          <w:rFonts w:ascii="Garamond" w:hAnsi="Garamond" w:cs="Arial"/>
          <w:sz w:val="28"/>
          <w:szCs w:val="28"/>
        </w:rPr>
        <w:t>Abioye</w:t>
      </w:r>
      <w:proofErr w:type="spellEnd"/>
      <w:r w:rsidRPr="00CB0AD9">
        <w:rPr>
          <w:rFonts w:ascii="Garamond" w:hAnsi="Garamond" w:cs="Arial"/>
          <w:sz w:val="28"/>
          <w:szCs w:val="28"/>
        </w:rPr>
        <w:t xml:space="preserve"> and </w:t>
      </w:r>
      <w:r w:rsidRPr="00CB0AD9">
        <w:rPr>
          <w:rFonts w:ascii="Garamond" w:hAnsi="Garamond" w:cs="Arial"/>
          <w:b/>
          <w:sz w:val="28"/>
          <w:szCs w:val="28"/>
        </w:rPr>
        <w:t>Adeola Kola-Mustapha</w:t>
      </w:r>
      <w:r w:rsidRPr="00CB0AD9">
        <w:rPr>
          <w:rFonts w:ascii="Garamond" w:hAnsi="Garamond" w:cs="Arial"/>
          <w:sz w:val="28"/>
          <w:szCs w:val="28"/>
        </w:rPr>
        <w:t xml:space="preserve"> (2015) Formulation studies on Ibuprofen sodium-cationic dextran conjugate: Effect on </w:t>
      </w:r>
      <w:proofErr w:type="spellStart"/>
      <w:r w:rsidRPr="00CB0AD9">
        <w:rPr>
          <w:rFonts w:ascii="Garamond" w:hAnsi="Garamond" w:cs="Arial"/>
          <w:sz w:val="28"/>
          <w:szCs w:val="28"/>
        </w:rPr>
        <w:t>tabletting</w:t>
      </w:r>
      <w:proofErr w:type="spellEnd"/>
      <w:r w:rsidRPr="00CB0AD9">
        <w:rPr>
          <w:rFonts w:ascii="Garamond" w:hAnsi="Garamond" w:cs="Arial"/>
          <w:sz w:val="28"/>
          <w:szCs w:val="28"/>
        </w:rPr>
        <w:t xml:space="preserve"> and dissolution characteristics of ibuprofen. </w:t>
      </w:r>
      <w:r w:rsidRPr="00CB0AD9">
        <w:rPr>
          <w:rFonts w:ascii="Garamond" w:hAnsi="Garamond" w:cs="Arial"/>
          <w:b/>
          <w:i/>
          <w:sz w:val="28"/>
          <w:szCs w:val="28"/>
        </w:rPr>
        <w:t>Drug Development and Industrial Pharmacy</w:t>
      </w:r>
      <w:r w:rsidRPr="00CB0AD9">
        <w:rPr>
          <w:rFonts w:ascii="Garamond" w:hAnsi="Garamond" w:cs="Arial"/>
          <w:sz w:val="28"/>
          <w:szCs w:val="28"/>
        </w:rPr>
        <w:t xml:space="preserve">, Early Online </w:t>
      </w:r>
      <w:r w:rsidRPr="00CB0AD9">
        <w:rPr>
          <w:rFonts w:ascii="Garamond" w:hAnsi="Garamond" w:cs="Arial"/>
          <w:b/>
          <w:sz w:val="28"/>
          <w:szCs w:val="28"/>
        </w:rPr>
        <w:t>1 - 21</w:t>
      </w:r>
      <w:r w:rsidRPr="00CB0AD9">
        <w:rPr>
          <w:rFonts w:ascii="Garamond" w:hAnsi="Garamond" w:cs="Arial"/>
          <w:sz w:val="28"/>
          <w:szCs w:val="28"/>
        </w:rPr>
        <w:t xml:space="preserve">. </w:t>
      </w:r>
      <w:hyperlink r:id="rId4" w:history="1">
        <w:r w:rsidRPr="0086535E">
          <w:rPr>
            <w:rStyle w:val="Hyperlink"/>
            <w:rFonts w:ascii="Garamond" w:hAnsi="Garamond" w:cs="Arial"/>
            <w:sz w:val="28"/>
            <w:szCs w:val="28"/>
          </w:rPr>
          <w:t>https://www.tandfonline.com/doi/abs/10.3109/03639045.2015.1024684?journalCode=iddi20</w:t>
        </w:r>
      </w:hyperlink>
      <w:r w:rsidRPr="00CB0AD9">
        <w:rPr>
          <w:rFonts w:ascii="Garamond" w:hAnsi="Garamond" w:cs="Arial"/>
          <w:sz w:val="28"/>
          <w:szCs w:val="28"/>
        </w:rPr>
        <w:t>.</w:t>
      </w:r>
      <w:bookmarkStart w:id="0" w:name="_GoBack"/>
      <w:bookmarkEnd w:id="0"/>
    </w:p>
    <w:p w:rsidR="00CB0AD9" w:rsidRPr="00CB0AD9" w:rsidRDefault="00CB0AD9">
      <w:pPr>
        <w:rPr>
          <w:sz w:val="28"/>
          <w:szCs w:val="28"/>
        </w:rPr>
      </w:pPr>
      <w:proofErr w:type="gramStart"/>
      <w:r w:rsidRPr="00CB0AD9">
        <w:rPr>
          <w:rFonts w:ascii="Garamond" w:hAnsi="Garamond" w:cs="Arial"/>
          <w:sz w:val="28"/>
          <w:szCs w:val="28"/>
        </w:rPr>
        <w:t>Abstract :</w:t>
      </w:r>
      <w:proofErr w:type="gramEnd"/>
      <w:r w:rsidRPr="00CB0AD9">
        <w:rPr>
          <w:rFonts w:ascii="Garamond" w:hAnsi="Garamond" w:cs="Arial"/>
          <w:sz w:val="28"/>
          <w:szCs w:val="28"/>
        </w:rPr>
        <w:t xml:space="preserve"> The effect of electrostatic interaction between ibuprofen sodium (</w:t>
      </w:r>
      <w:proofErr w:type="spellStart"/>
      <w:r w:rsidRPr="00CB0AD9">
        <w:rPr>
          <w:rFonts w:ascii="Garamond" w:hAnsi="Garamond" w:cs="Arial"/>
          <w:sz w:val="28"/>
          <w:szCs w:val="28"/>
        </w:rPr>
        <w:t>IbS</w:t>
      </w:r>
      <w:proofErr w:type="spellEnd"/>
      <w:r w:rsidRPr="00CB0AD9">
        <w:rPr>
          <w:rFonts w:ascii="Garamond" w:hAnsi="Garamond" w:cs="Arial"/>
          <w:sz w:val="28"/>
          <w:szCs w:val="28"/>
        </w:rPr>
        <w:t xml:space="preserve">) and cationic </w:t>
      </w:r>
      <w:proofErr w:type="spellStart"/>
      <w:r w:rsidRPr="00CB0AD9">
        <w:rPr>
          <w:rFonts w:ascii="Garamond" w:hAnsi="Garamond" w:cs="Arial"/>
          <w:sz w:val="28"/>
          <w:szCs w:val="28"/>
        </w:rPr>
        <w:t>diethylaminoethyl</w:t>
      </w:r>
      <w:proofErr w:type="spellEnd"/>
      <w:r w:rsidRPr="00CB0AD9">
        <w:rPr>
          <w:rFonts w:ascii="Garamond" w:hAnsi="Garamond" w:cs="Arial"/>
          <w:sz w:val="28"/>
          <w:szCs w:val="28"/>
        </w:rPr>
        <w:t xml:space="preserve"> dextran (</w:t>
      </w:r>
      <w:proofErr w:type="spellStart"/>
      <w:r w:rsidRPr="00CB0AD9">
        <w:rPr>
          <w:rFonts w:ascii="Garamond" w:hAnsi="Garamond" w:cs="Arial"/>
          <w:sz w:val="28"/>
          <w:szCs w:val="28"/>
        </w:rPr>
        <w:t>Ddex</w:t>
      </w:r>
      <w:proofErr w:type="spellEnd"/>
      <w:r w:rsidRPr="00CB0AD9">
        <w:rPr>
          <w:rFonts w:ascii="Garamond" w:hAnsi="Garamond" w:cs="Arial"/>
          <w:sz w:val="28"/>
          <w:szCs w:val="28"/>
        </w:rPr>
        <w:t xml:space="preserve">), on the tableting properties and ibuprofen release from the conjugate tablet was investigated. Ibuprofen exhibits poor flow, compaction (tableting) and dissolution behavior due to its hydrophobic structure, high cohesive, adhesive and viscoelastic properties therefore it was granulated with cationic </w:t>
      </w:r>
      <w:proofErr w:type="spellStart"/>
      <w:r w:rsidRPr="00CB0AD9">
        <w:rPr>
          <w:rFonts w:ascii="Garamond" w:hAnsi="Garamond" w:cs="Arial"/>
          <w:sz w:val="28"/>
          <w:szCs w:val="28"/>
        </w:rPr>
        <w:t>Ddex</w:t>
      </w:r>
      <w:proofErr w:type="spellEnd"/>
      <w:r w:rsidRPr="00CB0AD9">
        <w:rPr>
          <w:rFonts w:ascii="Garamond" w:hAnsi="Garamond" w:cs="Arial"/>
          <w:sz w:val="28"/>
          <w:szCs w:val="28"/>
        </w:rPr>
        <w:t xml:space="preserve"> to improve its compression and dissolution characteristics. Electrostatic interaction and hydrogen bonding between </w:t>
      </w:r>
      <w:proofErr w:type="spellStart"/>
      <w:r w:rsidRPr="00CB0AD9">
        <w:rPr>
          <w:rFonts w:ascii="Garamond" w:hAnsi="Garamond" w:cs="Arial"/>
          <w:sz w:val="28"/>
          <w:szCs w:val="28"/>
        </w:rPr>
        <w:t>IbS</w:t>
      </w:r>
      <w:proofErr w:type="spellEnd"/>
      <w:r w:rsidRPr="00CB0AD9">
        <w:rPr>
          <w:rFonts w:ascii="Garamond" w:hAnsi="Garamond" w:cs="Arial"/>
          <w:sz w:val="28"/>
          <w:szCs w:val="28"/>
        </w:rPr>
        <w:t xml:space="preserve"> and </w:t>
      </w:r>
      <w:proofErr w:type="spellStart"/>
      <w:r w:rsidRPr="00CB0AD9">
        <w:rPr>
          <w:rFonts w:ascii="Garamond" w:hAnsi="Garamond" w:cs="Arial"/>
          <w:sz w:val="28"/>
          <w:szCs w:val="28"/>
        </w:rPr>
        <w:t>Ddex</w:t>
      </w:r>
      <w:proofErr w:type="spellEnd"/>
      <w:r w:rsidRPr="00CB0AD9">
        <w:rPr>
          <w:rFonts w:ascii="Garamond" w:hAnsi="Garamond" w:cs="Arial"/>
          <w:sz w:val="28"/>
          <w:szCs w:val="28"/>
        </w:rPr>
        <w:t xml:space="preserve"> was confirmed with FT-IR and DSC results showed a stepwise endothermic solid-solid structural transformation from racemic to anhydrous forms between 120 and 175</w:t>
      </w:r>
      <w:r w:rsidRPr="00CB0AD9">
        <w:rPr>
          <w:rFonts w:ascii="Times New Roman" w:hAnsi="Times New Roman" w:cs="Times New Roman"/>
          <w:sz w:val="28"/>
          <w:szCs w:val="28"/>
        </w:rPr>
        <w:t> </w:t>
      </w:r>
      <w:r w:rsidRPr="00CB0AD9">
        <w:rPr>
          <w:rFonts w:ascii="Garamond" w:hAnsi="Garamond" w:cs="Garamond"/>
          <w:sz w:val="28"/>
          <w:szCs w:val="28"/>
        </w:rPr>
        <w:t>°</w:t>
      </w:r>
      <w:r w:rsidRPr="00CB0AD9">
        <w:rPr>
          <w:rFonts w:ascii="Garamond" w:hAnsi="Garamond" w:cs="Arial"/>
          <w:sz w:val="28"/>
          <w:szCs w:val="28"/>
        </w:rPr>
        <w:t>C which melted into liquid form at 208.15</w:t>
      </w:r>
      <w:r w:rsidRPr="00CB0AD9">
        <w:rPr>
          <w:rFonts w:ascii="Times New Roman" w:hAnsi="Times New Roman" w:cs="Times New Roman"/>
          <w:sz w:val="28"/>
          <w:szCs w:val="28"/>
        </w:rPr>
        <w:t> </w:t>
      </w:r>
      <w:r w:rsidRPr="00CB0AD9">
        <w:rPr>
          <w:rFonts w:ascii="Garamond" w:hAnsi="Garamond" w:cs="Garamond"/>
          <w:sz w:val="28"/>
          <w:szCs w:val="28"/>
        </w:rPr>
        <w:t>°</w:t>
      </w:r>
      <w:r w:rsidRPr="00CB0AD9">
        <w:rPr>
          <w:rFonts w:ascii="Garamond" w:hAnsi="Garamond" w:cs="Arial"/>
          <w:sz w:val="28"/>
          <w:szCs w:val="28"/>
        </w:rPr>
        <w:t xml:space="preserve">C. The broad and diffused DSC peaks of the conjugate granules as well as the disappearance of ibuprofen melting peak provided evidence for their highly amorphous state. It was evident that </w:t>
      </w:r>
      <w:proofErr w:type="spellStart"/>
      <w:r w:rsidRPr="00CB0AD9">
        <w:rPr>
          <w:rFonts w:ascii="Garamond" w:hAnsi="Garamond" w:cs="Arial"/>
          <w:sz w:val="28"/>
          <w:szCs w:val="28"/>
        </w:rPr>
        <w:t>Ddex</w:t>
      </w:r>
      <w:proofErr w:type="spellEnd"/>
      <w:r w:rsidRPr="00CB0AD9">
        <w:rPr>
          <w:rFonts w:ascii="Garamond" w:hAnsi="Garamond" w:cs="Arial"/>
          <w:sz w:val="28"/>
          <w:szCs w:val="28"/>
        </w:rPr>
        <w:t xml:space="preserve"> improved the flowability and densification of the granules and increased the mechanical and tensile strengths of the resulting tablets as the tensile strength increased from 0.67</w:t>
      </w:r>
      <w:r w:rsidRPr="00CB0AD9">
        <w:rPr>
          <w:rFonts w:ascii="Times New Roman" w:hAnsi="Times New Roman" w:cs="Times New Roman"/>
          <w:sz w:val="28"/>
          <w:szCs w:val="28"/>
        </w:rPr>
        <w:t> </w:t>
      </w:r>
      <w:r w:rsidRPr="00CB0AD9">
        <w:rPr>
          <w:rFonts w:ascii="Garamond" w:hAnsi="Garamond" w:cs="Garamond"/>
          <w:sz w:val="28"/>
          <w:szCs w:val="28"/>
        </w:rPr>
        <w:t>±</w:t>
      </w:r>
      <w:r w:rsidRPr="00CB0AD9">
        <w:rPr>
          <w:rFonts w:ascii="Times New Roman" w:hAnsi="Times New Roman" w:cs="Times New Roman"/>
          <w:sz w:val="28"/>
          <w:szCs w:val="28"/>
        </w:rPr>
        <w:t> </w:t>
      </w:r>
      <w:r w:rsidRPr="00CB0AD9">
        <w:rPr>
          <w:rFonts w:ascii="Garamond" w:hAnsi="Garamond" w:cs="Arial"/>
          <w:sz w:val="28"/>
          <w:szCs w:val="28"/>
        </w:rPr>
        <w:t>0.0172 to 1.90</w:t>
      </w:r>
      <w:r w:rsidRPr="00CB0AD9">
        <w:rPr>
          <w:rFonts w:ascii="Times New Roman" w:hAnsi="Times New Roman" w:cs="Times New Roman"/>
          <w:sz w:val="28"/>
          <w:szCs w:val="28"/>
        </w:rPr>
        <w:t> </w:t>
      </w:r>
      <w:r w:rsidRPr="00CB0AD9">
        <w:rPr>
          <w:rFonts w:ascii="Garamond" w:hAnsi="Garamond" w:cs="Garamond"/>
          <w:sz w:val="28"/>
          <w:szCs w:val="28"/>
        </w:rPr>
        <w:t>±</w:t>
      </w:r>
      <w:r w:rsidRPr="00CB0AD9">
        <w:rPr>
          <w:rFonts w:ascii="Times New Roman" w:hAnsi="Times New Roman" w:cs="Times New Roman"/>
          <w:sz w:val="28"/>
          <w:szCs w:val="28"/>
        </w:rPr>
        <w:t> </w:t>
      </w:r>
      <w:r w:rsidRPr="00CB0AD9">
        <w:rPr>
          <w:rFonts w:ascii="Garamond" w:hAnsi="Garamond" w:cs="Arial"/>
          <w:sz w:val="28"/>
          <w:szCs w:val="28"/>
        </w:rPr>
        <w:t>0.0038</w:t>
      </w:r>
      <w:r w:rsidRPr="00CB0AD9">
        <w:rPr>
          <w:rFonts w:ascii="Times New Roman" w:hAnsi="Times New Roman" w:cs="Times New Roman"/>
          <w:sz w:val="28"/>
          <w:szCs w:val="28"/>
        </w:rPr>
        <w:t> </w:t>
      </w:r>
      <w:proofErr w:type="spellStart"/>
      <w:r w:rsidRPr="00CB0AD9">
        <w:rPr>
          <w:rFonts w:ascii="Garamond" w:hAnsi="Garamond" w:cs="Arial"/>
          <w:sz w:val="28"/>
          <w:szCs w:val="28"/>
        </w:rPr>
        <w:t>MPa</w:t>
      </w:r>
      <w:proofErr w:type="spellEnd"/>
      <w:r w:rsidRPr="00CB0AD9">
        <w:rPr>
          <w:rFonts w:ascii="Garamond" w:hAnsi="Garamond" w:cs="Arial"/>
          <w:sz w:val="28"/>
          <w:szCs w:val="28"/>
        </w:rPr>
        <w:t xml:space="preserve"> with increasing </w:t>
      </w:r>
      <w:proofErr w:type="spellStart"/>
      <w:r w:rsidRPr="00CB0AD9">
        <w:rPr>
          <w:rFonts w:ascii="Garamond" w:hAnsi="Garamond" w:cs="Arial"/>
          <w:sz w:val="28"/>
          <w:szCs w:val="28"/>
        </w:rPr>
        <w:t>Ddex</w:t>
      </w:r>
      <w:proofErr w:type="spellEnd"/>
      <w:r w:rsidRPr="00CB0AD9">
        <w:rPr>
          <w:rFonts w:ascii="Garamond" w:hAnsi="Garamond" w:cs="Arial"/>
          <w:sz w:val="28"/>
          <w:szCs w:val="28"/>
        </w:rPr>
        <w:t xml:space="preserve"> concentration. Both </w:t>
      </w:r>
      <w:proofErr w:type="gramStart"/>
      <w:r w:rsidRPr="00CB0AD9">
        <w:rPr>
          <w:rFonts w:ascii="Garamond" w:hAnsi="Garamond" w:cs="Arial"/>
          <w:sz w:val="28"/>
          <w:szCs w:val="28"/>
        </w:rPr>
        <w:t>tapping</w:t>
      </w:r>
      <w:proofErr w:type="gramEnd"/>
      <w:r w:rsidRPr="00CB0AD9">
        <w:rPr>
          <w:rFonts w:ascii="Garamond" w:hAnsi="Garamond" w:cs="Arial"/>
          <w:sz w:val="28"/>
          <w:szCs w:val="28"/>
        </w:rPr>
        <w:t xml:space="preserve"> and compression processes showed that the most prominent mechanism of densification were particle slippage, rearrangement and plastic deformation while fragmentation was minimized. </w:t>
      </w:r>
      <w:proofErr w:type="spellStart"/>
      <w:r w:rsidRPr="00CB0AD9">
        <w:rPr>
          <w:rFonts w:ascii="Garamond" w:hAnsi="Garamond" w:cs="Arial"/>
          <w:sz w:val="28"/>
          <w:szCs w:val="28"/>
        </w:rPr>
        <w:t>Ddex</w:t>
      </w:r>
      <w:proofErr w:type="spellEnd"/>
      <w:r w:rsidRPr="00CB0AD9">
        <w:rPr>
          <w:rFonts w:ascii="Garamond" w:hAnsi="Garamond" w:cs="Arial"/>
          <w:sz w:val="28"/>
          <w:szCs w:val="28"/>
        </w:rPr>
        <w:t xml:space="preserve"> retarded the extent of dissolution in general, indicating potentials for controlled release formulations. Multiple release mechanisms including diffusion; anomalous transport and super case II transport were noted. It was concluded that interaction between ibuprofen sodium and </w:t>
      </w:r>
      <w:proofErr w:type="spellStart"/>
      <w:r w:rsidRPr="00CB0AD9">
        <w:rPr>
          <w:rFonts w:ascii="Garamond" w:hAnsi="Garamond" w:cs="Arial"/>
          <w:sz w:val="28"/>
          <w:szCs w:val="28"/>
        </w:rPr>
        <w:t>Ddex</w:t>
      </w:r>
      <w:proofErr w:type="spellEnd"/>
      <w:r w:rsidRPr="00CB0AD9">
        <w:rPr>
          <w:rFonts w:ascii="Garamond" w:hAnsi="Garamond" w:cs="Arial"/>
          <w:sz w:val="28"/>
          <w:szCs w:val="28"/>
        </w:rPr>
        <w:t xml:space="preserve"> produced a novel formulation with improved flowability, tableting and dissolution characteristics with potential controlled drug release characteristics dictated by </w:t>
      </w:r>
      <w:proofErr w:type="spellStart"/>
      <w:r w:rsidRPr="00CB0AD9">
        <w:rPr>
          <w:rFonts w:ascii="Garamond" w:hAnsi="Garamond" w:cs="Arial"/>
          <w:sz w:val="28"/>
          <w:szCs w:val="28"/>
        </w:rPr>
        <w:t>Ddex</w:t>
      </w:r>
      <w:proofErr w:type="spellEnd"/>
      <w:r w:rsidRPr="00CB0AD9">
        <w:rPr>
          <w:rFonts w:ascii="Garamond" w:hAnsi="Garamond" w:cs="Arial"/>
          <w:sz w:val="28"/>
          <w:szCs w:val="28"/>
        </w:rPr>
        <w:t xml:space="preserve"> concentration.</w:t>
      </w:r>
    </w:p>
    <w:p w:rsidR="00CB0AD9" w:rsidRPr="00CB0AD9" w:rsidRDefault="00CB0AD9">
      <w:pPr>
        <w:rPr>
          <w:rFonts w:ascii="Garamond" w:hAnsi="Garamond" w:cs="Arial"/>
          <w:sz w:val="28"/>
          <w:szCs w:val="28"/>
        </w:rPr>
      </w:pPr>
      <w:r w:rsidRPr="00CB0AD9">
        <w:rPr>
          <w:rFonts w:ascii="Garamond" w:hAnsi="Garamond" w:cs="Arial"/>
          <w:sz w:val="28"/>
          <w:szCs w:val="28"/>
        </w:rPr>
        <w:t xml:space="preserve">Keywords: </w:t>
      </w:r>
      <w:r w:rsidRPr="00CB0AD9">
        <w:rPr>
          <w:rFonts w:ascii="Garamond" w:hAnsi="Garamond" w:cs="Arial"/>
          <w:sz w:val="28"/>
          <w:szCs w:val="28"/>
        </w:rPr>
        <w:t>:</w:t>
      </w:r>
      <w:r w:rsidRPr="00CB0AD9">
        <w:rPr>
          <w:rFonts w:ascii="Garamond" w:hAnsi="Garamond" w:cs="Arial"/>
          <w:sz w:val="28"/>
          <w:szCs w:val="28"/>
        </w:rPr>
        <w:t xml:space="preserve"> </w:t>
      </w:r>
      <w:hyperlink r:id="rId5" w:history="1">
        <w:r w:rsidRPr="00CB0AD9">
          <w:rPr>
            <w:rFonts w:ascii="Garamond" w:hAnsi="Garamond"/>
            <w:sz w:val="28"/>
            <w:szCs w:val="28"/>
          </w:rPr>
          <w:t>Granulation</w:t>
        </w:r>
      </w:hyperlink>
      <w:r w:rsidRPr="00CB0AD9">
        <w:rPr>
          <w:rFonts w:ascii="Garamond" w:hAnsi="Garamond"/>
          <w:sz w:val="28"/>
          <w:szCs w:val="28"/>
        </w:rPr>
        <w:t>, </w:t>
      </w:r>
      <w:hyperlink r:id="rId6" w:history="1">
        <w:r w:rsidRPr="00CB0AD9">
          <w:rPr>
            <w:rFonts w:ascii="Garamond" w:hAnsi="Garamond"/>
            <w:sz w:val="28"/>
            <w:szCs w:val="28"/>
          </w:rPr>
          <w:t>ibuprofen–</w:t>
        </w:r>
        <w:proofErr w:type="spellStart"/>
        <w:r w:rsidRPr="00CB0AD9">
          <w:rPr>
            <w:rFonts w:ascii="Garamond" w:hAnsi="Garamond"/>
            <w:sz w:val="28"/>
            <w:szCs w:val="28"/>
          </w:rPr>
          <w:t>Ddex</w:t>
        </w:r>
        <w:proofErr w:type="spellEnd"/>
        <w:r w:rsidRPr="00CB0AD9">
          <w:rPr>
            <w:rFonts w:ascii="Garamond" w:hAnsi="Garamond"/>
            <w:sz w:val="28"/>
            <w:szCs w:val="28"/>
          </w:rPr>
          <w:t xml:space="preserve"> conjugate</w:t>
        </w:r>
      </w:hyperlink>
      <w:r w:rsidRPr="00CB0AD9">
        <w:rPr>
          <w:rFonts w:ascii="Garamond" w:hAnsi="Garamond"/>
          <w:sz w:val="28"/>
          <w:szCs w:val="28"/>
        </w:rPr>
        <w:t>, </w:t>
      </w:r>
      <w:hyperlink r:id="rId7" w:history="1">
        <w:r w:rsidRPr="00CB0AD9">
          <w:rPr>
            <w:rFonts w:ascii="Garamond" w:hAnsi="Garamond"/>
            <w:sz w:val="28"/>
            <w:szCs w:val="28"/>
          </w:rPr>
          <w:t>inter-particulate bonding</w:t>
        </w:r>
      </w:hyperlink>
      <w:r w:rsidRPr="00CB0AD9">
        <w:rPr>
          <w:rFonts w:ascii="Garamond" w:hAnsi="Garamond"/>
          <w:sz w:val="28"/>
          <w:szCs w:val="28"/>
        </w:rPr>
        <w:t>, </w:t>
      </w:r>
      <w:hyperlink r:id="rId8" w:history="1">
        <w:r w:rsidRPr="00CB0AD9">
          <w:rPr>
            <w:rFonts w:ascii="Garamond" w:hAnsi="Garamond"/>
            <w:sz w:val="28"/>
            <w:szCs w:val="28"/>
          </w:rPr>
          <w:t>mechanism of compaction</w:t>
        </w:r>
      </w:hyperlink>
      <w:r w:rsidRPr="00CB0AD9">
        <w:rPr>
          <w:rFonts w:ascii="Garamond" w:hAnsi="Garamond"/>
          <w:sz w:val="28"/>
          <w:szCs w:val="28"/>
        </w:rPr>
        <w:t>, </w:t>
      </w:r>
      <w:hyperlink r:id="rId9" w:history="1">
        <w:r w:rsidRPr="00CB0AD9">
          <w:rPr>
            <w:rFonts w:ascii="Garamond" w:hAnsi="Garamond"/>
            <w:sz w:val="28"/>
            <w:szCs w:val="28"/>
          </w:rPr>
          <w:t>mechanism of release</w:t>
        </w:r>
      </w:hyperlink>
    </w:p>
    <w:sectPr w:rsidR="00CB0AD9" w:rsidRPr="00CB0AD9">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Garamond">
    <w:panose1 w:val="02020404030301010803"/>
    <w:charset w:val="00"/>
    <w:family w:val="roman"/>
    <w:pitch w:val="variable"/>
    <w:sig w:usb0="00000287" w:usb1="00000000" w:usb2="00000000" w:usb3="00000000" w:csb0="0000009F" w:csb1="00000000"/>
  </w:font>
  <w:font w:name="Arial">
    <w:panose1 w:val="020B0604020202020204"/>
    <w:charset w:val="00"/>
    <w:family w:val="swiss"/>
    <w:pitch w:val="variable"/>
    <w:sig w:usb0="E0002EFF" w:usb1="C0007843"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oNotDisplayPageBoundaries/>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B0AD9"/>
    <w:rsid w:val="003034E7"/>
    <w:rsid w:val="005A7347"/>
    <w:rsid w:val="007F7286"/>
    <w:rsid w:val="00B32728"/>
    <w:rsid w:val="00CB0AD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8329511"/>
  <w15:chartTrackingRefBased/>
  <w15:docId w15:val="{2B07DC9A-52CA-4DB7-8EAB-0B492BFFD95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CB0AD9"/>
    <w:rPr>
      <w:color w:val="0000FF"/>
      <w:u w:val="single"/>
    </w:rPr>
  </w:style>
  <w:style w:type="character" w:customStyle="1" w:styleId="comma">
    <w:name w:val="comma"/>
    <w:basedOn w:val="DefaultParagraphFont"/>
    <w:rsid w:val="00CB0AD9"/>
  </w:style>
  <w:style w:type="character" w:styleId="UnresolvedMention">
    <w:name w:val="Unresolved Mention"/>
    <w:basedOn w:val="DefaultParagraphFont"/>
    <w:uiPriority w:val="99"/>
    <w:semiHidden/>
    <w:unhideWhenUsed/>
    <w:rsid w:val="00CB0AD9"/>
    <w:rPr>
      <w:color w:val="808080"/>
      <w:shd w:val="clear" w:color="auto" w:fill="E6E6E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tandfonline.com/keyword/Mechanism+Of+Compaction" TargetMode="External"/><Relationship Id="rId3" Type="http://schemas.openxmlformats.org/officeDocument/2006/relationships/webSettings" Target="webSettings.xml"/><Relationship Id="rId7" Type="http://schemas.openxmlformats.org/officeDocument/2006/relationships/hyperlink" Target="https://www.tandfonline.com/keyword/Inter-particulate+Bonding"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www.tandfonline.com/keyword/Ibuprofen%E2%80%93ddex+Conjugate" TargetMode="External"/><Relationship Id="rId11" Type="http://schemas.openxmlformats.org/officeDocument/2006/relationships/theme" Target="theme/theme1.xml"/><Relationship Id="rId5" Type="http://schemas.openxmlformats.org/officeDocument/2006/relationships/hyperlink" Target="https://www.tandfonline.com/keyword/Granulation" TargetMode="External"/><Relationship Id="rId10" Type="http://schemas.openxmlformats.org/officeDocument/2006/relationships/fontTable" Target="fontTable.xml"/><Relationship Id="rId4" Type="http://schemas.openxmlformats.org/officeDocument/2006/relationships/hyperlink" Target="https://www.tandfonline.com/doi/abs/10.3109/03639045.2015.1024684?journalCode=iddi20" TargetMode="External"/><Relationship Id="rId9" Type="http://schemas.openxmlformats.org/officeDocument/2006/relationships/hyperlink" Target="https://www.tandfonline.com/keyword/Mechanism+Of+Release"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1</Pages>
  <Words>419</Words>
  <Characters>2393</Characters>
  <Application>Microsoft Office Word</Application>
  <DocSecurity>0</DocSecurity>
  <Lines>19</Lines>
  <Paragraphs>5</Paragraphs>
  <ScaleCrop>false</ScaleCrop>
  <Company/>
  <LinksUpToDate>false</LinksUpToDate>
  <CharactersWithSpaces>2807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Dr. Kola-Mustapha</dc:creator>
  <cp:keywords/>
  <dc:description/>
  <cp:lastModifiedBy>Dr. Kola-Mustapha</cp:lastModifiedBy>
  <cp:revision>1</cp:revision>
  <dcterms:created xsi:type="dcterms:W3CDTF">2018-03-28T09:42:00Z</dcterms:created>
  <dcterms:modified xsi:type="dcterms:W3CDTF">2018-03-28T09:45:00Z</dcterms:modified>
</cp:coreProperties>
</file>