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5E9FE" w14:textId="77777777" w:rsidR="0076308F" w:rsidRDefault="0076308F">
      <w:pPr>
        <w:rPr>
          <w:rFonts w:ascii="Garamond" w:hAnsi="Garamond"/>
          <w:sz w:val="24"/>
          <w:szCs w:val="24"/>
        </w:rPr>
      </w:pPr>
      <w:r w:rsidRPr="00A7257C">
        <w:rPr>
          <w:rFonts w:ascii="Garamond" w:hAnsi="Garamond"/>
          <w:sz w:val="24"/>
          <w:szCs w:val="24"/>
        </w:rPr>
        <w:t xml:space="preserve">Antimicrobial screening of </w:t>
      </w:r>
      <w:r w:rsidRPr="00A7257C">
        <w:rPr>
          <w:rFonts w:ascii="Garamond" w:hAnsi="Garamond"/>
          <w:i/>
          <w:sz w:val="24"/>
          <w:szCs w:val="24"/>
        </w:rPr>
        <w:t xml:space="preserve">Vernonia amygdalina </w:t>
      </w:r>
      <w:r w:rsidRPr="00A7257C">
        <w:rPr>
          <w:rFonts w:ascii="Garamond" w:hAnsi="Garamond"/>
          <w:sz w:val="24"/>
          <w:szCs w:val="24"/>
        </w:rPr>
        <w:t xml:space="preserve">and </w:t>
      </w:r>
      <w:r w:rsidRPr="00A7257C">
        <w:rPr>
          <w:rFonts w:ascii="Garamond" w:hAnsi="Garamond"/>
          <w:i/>
          <w:sz w:val="24"/>
          <w:szCs w:val="24"/>
        </w:rPr>
        <w:t>Calotropis procera</w:t>
      </w:r>
      <w:r w:rsidRPr="00A7257C">
        <w:rPr>
          <w:rFonts w:ascii="Garamond" w:hAnsi="Garamond"/>
          <w:sz w:val="24"/>
          <w:szCs w:val="24"/>
        </w:rPr>
        <w:t xml:space="preserve"> Methanol Leaf Extracts. </w:t>
      </w:r>
      <w:r w:rsidRPr="00A7257C">
        <w:rPr>
          <w:rFonts w:ascii="Garamond" w:hAnsi="Garamond"/>
          <w:b/>
          <w:i/>
          <w:sz w:val="24"/>
          <w:szCs w:val="24"/>
        </w:rPr>
        <w:t xml:space="preserve">Journal of Pharmaceutical Research, Development and Practice, </w:t>
      </w:r>
      <w:r w:rsidRPr="00A7257C">
        <w:rPr>
          <w:rFonts w:ascii="Garamond" w:hAnsi="Garamond"/>
          <w:b/>
          <w:sz w:val="24"/>
          <w:szCs w:val="24"/>
        </w:rPr>
        <w:t xml:space="preserve">1 </w:t>
      </w:r>
      <w:r w:rsidRPr="00A7257C">
        <w:rPr>
          <w:rFonts w:ascii="Garamond" w:hAnsi="Garamond"/>
          <w:sz w:val="24"/>
          <w:szCs w:val="24"/>
        </w:rPr>
        <w:t>(1): 25-33.</w:t>
      </w:r>
      <w:r>
        <w:rPr>
          <w:rFonts w:ascii="Garamond" w:hAnsi="Garamond"/>
          <w:sz w:val="24"/>
          <w:szCs w:val="24"/>
        </w:rPr>
        <w:t xml:space="preserve"> </w:t>
      </w:r>
    </w:p>
    <w:p w14:paraId="0270A2D8" w14:textId="77777777" w:rsidR="0076308F" w:rsidRDefault="0076308F">
      <w:pPr>
        <w:rPr>
          <w:rFonts w:ascii="Garamond" w:hAnsi="Garamond"/>
          <w:sz w:val="24"/>
          <w:szCs w:val="24"/>
        </w:rPr>
      </w:pPr>
      <w:r w:rsidRPr="00923628">
        <w:rPr>
          <w:rFonts w:ascii="Garamond" w:hAnsi="Garamond"/>
          <w:sz w:val="24"/>
          <w:szCs w:val="24"/>
        </w:rPr>
        <w:t xml:space="preserve">Abstract: </w:t>
      </w:r>
    </w:p>
    <w:p w14:paraId="13A32DA1" w14:textId="2AAE794F" w:rsidR="003034E7" w:rsidRDefault="0076308F">
      <w:bookmarkStart w:id="0" w:name="_GoBack"/>
      <w:bookmarkEnd w:id="0"/>
      <w:r w:rsidRPr="00923628">
        <w:rPr>
          <w:rFonts w:ascii="Garamond" w:hAnsi="Garamond"/>
          <w:sz w:val="24"/>
          <w:szCs w:val="24"/>
        </w:rPr>
        <w:t xml:space="preserve">Herbal therapies and medicinal plants are fast growing in relevance in most societies around the world today due to their availability, relative safety and efficacy against numerous disease conditions. </w:t>
      </w:r>
      <w:r w:rsidRPr="00923628">
        <w:rPr>
          <w:rFonts w:ascii="Garamond" w:hAnsi="Garamond"/>
          <w:i/>
          <w:sz w:val="24"/>
          <w:szCs w:val="24"/>
        </w:rPr>
        <w:t>Vernonia</w:t>
      </w:r>
      <w:r w:rsidRPr="00923628">
        <w:rPr>
          <w:rFonts w:ascii="Garamond" w:hAnsi="Garamond"/>
          <w:sz w:val="24"/>
          <w:szCs w:val="24"/>
        </w:rPr>
        <w:t xml:space="preserve"> </w:t>
      </w:r>
      <w:r w:rsidRPr="00923628">
        <w:rPr>
          <w:rFonts w:ascii="Garamond" w:hAnsi="Garamond"/>
          <w:i/>
          <w:sz w:val="24"/>
          <w:szCs w:val="24"/>
        </w:rPr>
        <w:t xml:space="preserve">amygdalina </w:t>
      </w:r>
      <w:r w:rsidRPr="00923628">
        <w:rPr>
          <w:rFonts w:ascii="Garamond" w:hAnsi="Garamond"/>
          <w:sz w:val="24"/>
          <w:szCs w:val="24"/>
        </w:rPr>
        <w:t xml:space="preserve">and </w:t>
      </w:r>
      <w:r w:rsidRPr="00923628">
        <w:rPr>
          <w:rFonts w:ascii="Garamond" w:hAnsi="Garamond"/>
          <w:i/>
          <w:sz w:val="24"/>
          <w:szCs w:val="24"/>
        </w:rPr>
        <w:t>Calotropis procera</w:t>
      </w:r>
      <w:r w:rsidRPr="00923628">
        <w:rPr>
          <w:rFonts w:ascii="Garamond" w:hAnsi="Garamond"/>
          <w:sz w:val="24"/>
          <w:szCs w:val="24"/>
        </w:rPr>
        <w:t xml:space="preserve"> were investigated for their antimicrobial activities singly and in combination to determine their actions against skin infections. A sensitivity test was conducted for the extracts against </w:t>
      </w:r>
      <w:r w:rsidRPr="00923628">
        <w:rPr>
          <w:rFonts w:ascii="Garamond" w:hAnsi="Garamond"/>
          <w:i/>
          <w:sz w:val="24"/>
          <w:szCs w:val="24"/>
        </w:rPr>
        <w:t xml:space="preserve">Staphylococcus aureus, Pseudomonas aeruginosa, Candida albicans, Aspergillus niger </w:t>
      </w:r>
      <w:r w:rsidRPr="00923628">
        <w:rPr>
          <w:rFonts w:ascii="Garamond" w:hAnsi="Garamond"/>
          <w:sz w:val="24"/>
          <w:szCs w:val="24"/>
        </w:rPr>
        <w:t>and</w:t>
      </w:r>
      <w:r w:rsidRPr="00923628">
        <w:rPr>
          <w:rFonts w:ascii="Garamond" w:hAnsi="Garamond"/>
          <w:i/>
          <w:sz w:val="24"/>
          <w:szCs w:val="24"/>
        </w:rPr>
        <w:t xml:space="preserve"> Trichophyton rubrum</w:t>
      </w:r>
      <w:r w:rsidRPr="00923628">
        <w:rPr>
          <w:rFonts w:ascii="Garamond" w:hAnsi="Garamond"/>
          <w:sz w:val="24"/>
          <w:szCs w:val="24"/>
        </w:rPr>
        <w:t xml:space="preserve">. The extracts were tested individually and in combination at 0: 100, 25: 75, 50: 50, 75: 25 and 100: 0 </w:t>
      </w:r>
      <w:r w:rsidRPr="00923628">
        <w:rPr>
          <w:rFonts w:ascii="Garamond" w:hAnsi="Garamond"/>
          <w:i/>
          <w:sz w:val="24"/>
          <w:szCs w:val="24"/>
        </w:rPr>
        <w:t>Vernonia</w:t>
      </w:r>
      <w:r w:rsidRPr="00923628">
        <w:rPr>
          <w:rFonts w:ascii="Garamond" w:hAnsi="Garamond"/>
          <w:sz w:val="24"/>
          <w:szCs w:val="24"/>
        </w:rPr>
        <w:t xml:space="preserve">: </w:t>
      </w:r>
      <w:r w:rsidRPr="00923628">
        <w:rPr>
          <w:rFonts w:ascii="Garamond" w:hAnsi="Garamond"/>
          <w:i/>
          <w:sz w:val="24"/>
          <w:szCs w:val="24"/>
        </w:rPr>
        <w:t>Calotropis</w:t>
      </w:r>
      <w:r w:rsidRPr="00923628">
        <w:rPr>
          <w:rFonts w:ascii="Garamond" w:hAnsi="Garamond"/>
          <w:sz w:val="24"/>
          <w:szCs w:val="24"/>
        </w:rPr>
        <w:t xml:space="preserve"> (V: C) ratios against the five organisms. Antimicrobial activities were determined via the agar diffusion method. Griseofulvin was used as the positive control against the fungal organisms while Augmentin/Clavulanate was used as control for the bacterial organisms. Results of sensitivity test showed that all the organisms were sensitive to each of the extracts at a concentration of 200 mg/</w:t>
      </w:r>
      <w:proofErr w:type="spellStart"/>
      <w:r w:rsidRPr="00923628">
        <w:rPr>
          <w:rFonts w:ascii="Garamond" w:hAnsi="Garamond"/>
          <w:sz w:val="24"/>
          <w:szCs w:val="24"/>
        </w:rPr>
        <w:t>mL.</w:t>
      </w:r>
      <w:proofErr w:type="spellEnd"/>
      <w:r w:rsidRPr="00923628">
        <w:rPr>
          <w:rFonts w:ascii="Garamond" w:hAnsi="Garamond"/>
          <w:sz w:val="24"/>
          <w:szCs w:val="24"/>
        </w:rPr>
        <w:t xml:space="preserve"> The extracts gave zones of inhibition ranging from 5.00 ± 1.24 to 30.00 ± 0.00 mm across the test organisms with the 75: 25 V: C combination yielding the highest zones across all the organisms and the </w:t>
      </w:r>
      <w:r w:rsidRPr="00923628">
        <w:rPr>
          <w:rFonts w:ascii="Garamond" w:hAnsi="Garamond"/>
          <w:i/>
          <w:sz w:val="24"/>
          <w:szCs w:val="24"/>
        </w:rPr>
        <w:t>Vernonia</w:t>
      </w:r>
      <w:r w:rsidRPr="00923628">
        <w:rPr>
          <w:rFonts w:ascii="Garamond" w:hAnsi="Garamond"/>
          <w:sz w:val="24"/>
          <w:szCs w:val="24"/>
        </w:rPr>
        <w:t xml:space="preserve"> </w:t>
      </w:r>
      <w:r w:rsidRPr="00923628">
        <w:rPr>
          <w:rFonts w:ascii="Garamond" w:hAnsi="Garamond"/>
          <w:i/>
          <w:sz w:val="24"/>
          <w:szCs w:val="24"/>
        </w:rPr>
        <w:t>amygdalina</w:t>
      </w:r>
      <w:r w:rsidRPr="00923628">
        <w:rPr>
          <w:rFonts w:ascii="Garamond" w:hAnsi="Garamond"/>
          <w:sz w:val="24"/>
          <w:szCs w:val="24"/>
        </w:rPr>
        <w:t xml:space="preserve"> only extract ranking second. This implies that the extracts of </w:t>
      </w:r>
      <w:r w:rsidRPr="00923628">
        <w:rPr>
          <w:rFonts w:ascii="Garamond" w:hAnsi="Garamond"/>
          <w:i/>
          <w:sz w:val="24"/>
          <w:szCs w:val="24"/>
        </w:rPr>
        <w:t>Vernonia amygdalina</w:t>
      </w:r>
      <w:r w:rsidRPr="00923628">
        <w:rPr>
          <w:rFonts w:ascii="Garamond" w:hAnsi="Garamond"/>
          <w:sz w:val="24"/>
          <w:szCs w:val="24"/>
        </w:rPr>
        <w:t xml:space="preserve"> and </w:t>
      </w:r>
      <w:r w:rsidRPr="00923628">
        <w:rPr>
          <w:rFonts w:ascii="Garamond" w:hAnsi="Garamond"/>
          <w:i/>
          <w:sz w:val="24"/>
          <w:szCs w:val="24"/>
        </w:rPr>
        <w:t>Calotropis procera</w:t>
      </w:r>
      <w:r w:rsidRPr="00923628">
        <w:rPr>
          <w:rFonts w:ascii="Garamond" w:hAnsi="Garamond"/>
          <w:sz w:val="24"/>
          <w:szCs w:val="24"/>
        </w:rPr>
        <w:t xml:space="preserve"> used in combination results in a broad spectrum and increased intensity of activity as compared to when the extracts are used individually in what can be described as a ‘synergistic herb-herb’ interaction. This combination holds a great promise in the treatment of skin infections and exhibit potentials for topical pharmaceutical dosage formulations.</w:t>
      </w:r>
    </w:p>
    <w:sectPr w:rsidR="00303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08F"/>
    <w:rsid w:val="003034E7"/>
    <w:rsid w:val="005A7347"/>
    <w:rsid w:val="0076308F"/>
    <w:rsid w:val="007F7286"/>
    <w:rsid w:val="00B3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3D387"/>
  <w15:chartTrackingRefBased/>
  <w15:docId w15:val="{86D5FD70-4A58-493C-A68C-60EA65FF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Kola-Mustapha</dc:creator>
  <cp:keywords/>
  <dc:description/>
  <cp:lastModifiedBy>Dr. Kola-Mustapha</cp:lastModifiedBy>
  <cp:revision>1</cp:revision>
  <dcterms:created xsi:type="dcterms:W3CDTF">2018-08-07T16:29:00Z</dcterms:created>
  <dcterms:modified xsi:type="dcterms:W3CDTF">2018-08-07T16:30:00Z</dcterms:modified>
</cp:coreProperties>
</file>