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97E" w:rsidRPr="00820348" w:rsidRDefault="004F297E" w:rsidP="004F297E">
      <w:pPr>
        <w:jc w:val="center"/>
        <w:rPr>
          <w:rFonts w:ascii="Times New Roman" w:hAnsi="Times New Roman" w:cs="Times New Roman"/>
          <w:b/>
          <w:bCs/>
          <w:sz w:val="24"/>
          <w:szCs w:val="24"/>
        </w:rPr>
      </w:pPr>
      <w:r w:rsidRPr="00820348">
        <w:rPr>
          <w:rFonts w:ascii="Times New Roman" w:hAnsi="Times New Roman" w:cs="Times New Roman"/>
          <w:b/>
          <w:bCs/>
          <w:sz w:val="24"/>
          <w:szCs w:val="24"/>
        </w:rPr>
        <w:t>INTERNAL MECHANISM AS TOOLS FOR CONFLICT RESOLUTION:   SHARE-TSARAGI, KWARA STATE, NIGERIA AS A CASE STUDY</w:t>
      </w:r>
    </w:p>
    <w:p w:rsidR="004F297E" w:rsidRPr="00820348" w:rsidRDefault="004F297E" w:rsidP="004F297E">
      <w:pPr>
        <w:jc w:val="both"/>
        <w:rPr>
          <w:rFonts w:ascii="Times New Roman" w:hAnsi="Times New Roman" w:cs="Times New Roman"/>
          <w:sz w:val="24"/>
          <w:szCs w:val="24"/>
        </w:rPr>
      </w:pPr>
    </w:p>
    <w:p w:rsidR="004F297E" w:rsidRPr="004F2E5F" w:rsidRDefault="004F297E" w:rsidP="004F297E">
      <w:pPr>
        <w:jc w:val="center"/>
        <w:rPr>
          <w:rFonts w:ascii="Times New Roman" w:hAnsi="Times New Roman" w:cs="Times New Roman"/>
          <w:b/>
          <w:bCs/>
        </w:rPr>
      </w:pPr>
      <w:r w:rsidRPr="004F2E5F">
        <w:rPr>
          <w:rStyle w:val="Strong"/>
          <w:rFonts w:ascii="Times New Roman" w:hAnsi="Times New Roman" w:cs="Times New Roman"/>
        </w:rPr>
        <w:t>Oyeronke</w:t>
      </w:r>
      <w:r>
        <w:rPr>
          <w:rStyle w:val="Strong"/>
          <w:rFonts w:ascii="Times New Roman" w:hAnsi="Times New Roman" w:cs="Times New Roman"/>
        </w:rPr>
        <w:t xml:space="preserve"> </w:t>
      </w:r>
      <w:r w:rsidRPr="004F2E5F">
        <w:rPr>
          <w:rStyle w:val="Strong"/>
          <w:rFonts w:ascii="Times New Roman" w:hAnsi="Times New Roman" w:cs="Times New Roman"/>
        </w:rPr>
        <w:t>Olademo,</w:t>
      </w:r>
      <w:r w:rsidRPr="00985C7B">
        <w:rPr>
          <w:rStyle w:val="FootnoteReference"/>
          <w:rFonts w:ascii="Times New Roman" w:hAnsi="Times New Roman" w:cs="Times New Roman"/>
        </w:rPr>
        <w:footnoteReference w:id="1"/>
      </w:r>
      <w:r>
        <w:rPr>
          <w:rStyle w:val="Strong"/>
          <w:rFonts w:ascii="Times New Roman" w:hAnsi="Times New Roman" w:cs="Times New Roman"/>
        </w:rPr>
        <w:t xml:space="preserve"> </w:t>
      </w:r>
      <w:r w:rsidRPr="004F2E5F">
        <w:rPr>
          <w:rStyle w:val="Strong"/>
          <w:rFonts w:ascii="Times New Roman" w:hAnsi="Times New Roman" w:cs="Times New Roman"/>
        </w:rPr>
        <w:t xml:space="preserve">Omotoye, </w:t>
      </w:r>
      <w:r>
        <w:rPr>
          <w:rStyle w:val="Strong"/>
          <w:rFonts w:ascii="Times New Roman" w:hAnsi="Times New Roman" w:cs="Times New Roman"/>
        </w:rPr>
        <w:t>R</w:t>
      </w:r>
      <w:r w:rsidRPr="004F2E5F">
        <w:rPr>
          <w:rStyle w:val="Strong"/>
          <w:rFonts w:ascii="Times New Roman" w:hAnsi="Times New Roman" w:cs="Times New Roman"/>
        </w:rPr>
        <w:t xml:space="preserve">. </w:t>
      </w:r>
      <w:r>
        <w:rPr>
          <w:rStyle w:val="Strong"/>
          <w:rFonts w:ascii="Times New Roman" w:hAnsi="Times New Roman" w:cs="Times New Roman"/>
        </w:rPr>
        <w:t>W</w:t>
      </w:r>
      <w:r w:rsidRPr="004F2E5F">
        <w:rPr>
          <w:rStyle w:val="Strong"/>
          <w:rFonts w:ascii="Times New Roman" w:hAnsi="Times New Roman" w:cs="Times New Roman"/>
        </w:rPr>
        <w:t>.,</w:t>
      </w:r>
      <w:r w:rsidRPr="00985C7B">
        <w:rPr>
          <w:rStyle w:val="FootnoteReference"/>
          <w:rFonts w:ascii="Times New Roman" w:hAnsi="Times New Roman" w:cs="Times New Roman"/>
        </w:rPr>
        <w:footnoteReference w:id="2"/>
      </w:r>
      <w:r w:rsidRPr="004F2E5F">
        <w:rPr>
          <w:rStyle w:val="Strong"/>
          <w:rFonts w:ascii="Times New Roman" w:hAnsi="Times New Roman" w:cs="Times New Roman"/>
        </w:rPr>
        <w:t xml:space="preserve"> Ikibe, S. O.,</w:t>
      </w:r>
      <w:r w:rsidRPr="00985C7B">
        <w:rPr>
          <w:rStyle w:val="FootnoteReference"/>
          <w:rFonts w:ascii="Times New Roman" w:hAnsi="Times New Roman" w:cs="Times New Roman"/>
        </w:rPr>
        <w:footnoteReference w:id="3"/>
      </w:r>
      <w:r w:rsidRPr="004F2E5F">
        <w:rPr>
          <w:rStyle w:val="Strong"/>
          <w:rFonts w:ascii="Times New Roman" w:hAnsi="Times New Roman" w:cs="Times New Roman"/>
        </w:rPr>
        <w:t xml:space="preserve"> Ibrah</w:t>
      </w:r>
      <w:r>
        <w:rPr>
          <w:rStyle w:val="Strong"/>
          <w:rFonts w:ascii="Times New Roman" w:hAnsi="Times New Roman" w:cs="Times New Roman"/>
        </w:rPr>
        <w:t>ee</w:t>
      </w:r>
      <w:r w:rsidRPr="004F2E5F">
        <w:rPr>
          <w:rStyle w:val="Strong"/>
          <w:rFonts w:ascii="Times New Roman" w:hAnsi="Times New Roman" w:cs="Times New Roman"/>
        </w:rPr>
        <w:t>m, L. O.,</w:t>
      </w:r>
      <w:r w:rsidRPr="00985C7B">
        <w:rPr>
          <w:rStyle w:val="FootnoteReference"/>
          <w:rFonts w:ascii="Times New Roman" w:hAnsi="Times New Roman" w:cs="Times New Roman"/>
        </w:rPr>
        <w:footnoteReference w:id="4"/>
      </w:r>
      <w:r w:rsidRPr="004F2E5F">
        <w:rPr>
          <w:rStyle w:val="Strong"/>
          <w:rFonts w:ascii="Times New Roman" w:hAnsi="Times New Roman" w:cs="Times New Roman"/>
        </w:rPr>
        <w:t xml:space="preserve"> Tijani, </w:t>
      </w:r>
      <w:r>
        <w:rPr>
          <w:rStyle w:val="Strong"/>
          <w:rFonts w:ascii="Times New Roman" w:hAnsi="Times New Roman" w:cs="Times New Roman"/>
        </w:rPr>
        <w:t>Y</w:t>
      </w:r>
      <w:r w:rsidRPr="004F2E5F">
        <w:rPr>
          <w:rStyle w:val="Strong"/>
          <w:rFonts w:ascii="Times New Roman" w:hAnsi="Times New Roman" w:cs="Times New Roman"/>
        </w:rPr>
        <w:t>.</w:t>
      </w:r>
      <w:r>
        <w:rPr>
          <w:rStyle w:val="Strong"/>
          <w:rFonts w:ascii="Times New Roman" w:hAnsi="Times New Roman" w:cs="Times New Roman"/>
        </w:rPr>
        <w:t xml:space="preserve"> O.</w:t>
      </w:r>
      <w:r w:rsidRPr="004F2E5F">
        <w:rPr>
          <w:rStyle w:val="Strong"/>
          <w:rFonts w:ascii="Times New Roman" w:hAnsi="Times New Roman" w:cs="Times New Roman"/>
        </w:rPr>
        <w:t>,</w:t>
      </w:r>
      <w:r w:rsidRPr="00985C7B">
        <w:rPr>
          <w:rStyle w:val="FootnoteReference"/>
          <w:rFonts w:ascii="Times New Roman" w:hAnsi="Times New Roman" w:cs="Times New Roman"/>
        </w:rPr>
        <w:footnoteReference w:id="5"/>
      </w:r>
      <w:r w:rsidRPr="004F2E5F">
        <w:rPr>
          <w:rStyle w:val="Strong"/>
          <w:rFonts w:ascii="Times New Roman" w:hAnsi="Times New Roman" w:cs="Times New Roman"/>
        </w:rPr>
        <w:t>Abubakre, S. O.,</w:t>
      </w:r>
      <w:r w:rsidRPr="00985C7B">
        <w:rPr>
          <w:rStyle w:val="FootnoteReference"/>
          <w:rFonts w:ascii="Times New Roman" w:hAnsi="Times New Roman" w:cs="Times New Roman"/>
        </w:rPr>
        <w:footnoteReference w:id="6"/>
      </w:r>
      <w:r w:rsidRPr="00985C7B">
        <w:rPr>
          <w:rStyle w:val="Strong"/>
          <w:rFonts w:ascii="Times New Roman" w:hAnsi="Times New Roman" w:cs="Times New Roman"/>
        </w:rPr>
        <w:t xml:space="preserve"> </w:t>
      </w:r>
      <w:r w:rsidRPr="004F2E5F">
        <w:rPr>
          <w:rStyle w:val="Strong"/>
          <w:rFonts w:ascii="Times New Roman" w:hAnsi="Times New Roman" w:cs="Times New Roman"/>
        </w:rPr>
        <w:t>Adebisi, A. A.,</w:t>
      </w:r>
      <w:r w:rsidRPr="00985C7B">
        <w:rPr>
          <w:rStyle w:val="FootnoteReference"/>
          <w:rFonts w:ascii="Times New Roman" w:hAnsi="Times New Roman" w:cs="Times New Roman"/>
        </w:rPr>
        <w:footnoteReference w:id="7"/>
      </w:r>
      <w:r>
        <w:rPr>
          <w:rStyle w:val="Strong"/>
          <w:rFonts w:ascii="Times New Roman" w:hAnsi="Times New Roman" w:cs="Times New Roman"/>
        </w:rPr>
        <w:t xml:space="preserve"> </w:t>
      </w:r>
      <w:r w:rsidRPr="004F2E5F">
        <w:rPr>
          <w:rStyle w:val="Strong"/>
          <w:rFonts w:ascii="Times New Roman" w:hAnsi="Times New Roman" w:cs="Times New Roman"/>
        </w:rPr>
        <w:t>Aboyeji, A. J.,</w:t>
      </w:r>
      <w:r w:rsidRPr="00985C7B">
        <w:rPr>
          <w:rStyle w:val="FootnoteReference"/>
          <w:rFonts w:ascii="Times New Roman" w:hAnsi="Times New Roman" w:cs="Times New Roman"/>
        </w:rPr>
        <w:footnoteReference w:id="8"/>
      </w:r>
      <w:r>
        <w:rPr>
          <w:rStyle w:val="Strong"/>
          <w:rFonts w:ascii="Times New Roman" w:hAnsi="Times New Roman" w:cs="Times New Roman"/>
        </w:rPr>
        <w:t xml:space="preserve"> </w:t>
      </w:r>
      <w:r w:rsidRPr="004F2E5F">
        <w:rPr>
          <w:rStyle w:val="Strong"/>
          <w:rFonts w:ascii="Times New Roman" w:hAnsi="Times New Roman" w:cs="Times New Roman"/>
        </w:rPr>
        <w:t>Fahm, A. O.</w:t>
      </w:r>
      <w:r>
        <w:rPr>
          <w:rStyle w:val="Strong"/>
          <w:rFonts w:ascii="Times New Roman" w:hAnsi="Times New Roman" w:cs="Times New Roman"/>
        </w:rPr>
        <w:t>,</w:t>
      </w:r>
      <w:r w:rsidRPr="00985C7B">
        <w:rPr>
          <w:rStyle w:val="FootnoteReference"/>
          <w:rFonts w:ascii="Times New Roman" w:hAnsi="Times New Roman" w:cs="Times New Roman"/>
        </w:rPr>
        <w:footnoteReference w:id="9"/>
      </w:r>
      <w:r w:rsidRPr="004F2E5F">
        <w:rPr>
          <w:rStyle w:val="Strong"/>
          <w:rFonts w:ascii="Times New Roman" w:hAnsi="Times New Roman" w:cs="Times New Roman"/>
        </w:rPr>
        <w:t xml:space="preserve"> and Adimula, R. A.</w:t>
      </w:r>
      <w:r w:rsidRPr="00985C7B">
        <w:rPr>
          <w:rStyle w:val="FootnoteReference"/>
          <w:rFonts w:ascii="Times New Roman" w:hAnsi="Times New Roman" w:cs="Times New Roman"/>
        </w:rPr>
        <w:footnoteReference w:id="10"/>
      </w:r>
    </w:p>
    <w:p w:rsidR="004F297E" w:rsidRDefault="004F297E" w:rsidP="004F297E">
      <w:pPr>
        <w:jc w:val="both"/>
        <w:rPr>
          <w:rFonts w:ascii="Times New Roman" w:hAnsi="Times New Roman" w:cs="Times New Roman"/>
          <w:b/>
          <w:bCs/>
          <w:sz w:val="24"/>
          <w:szCs w:val="24"/>
        </w:rPr>
      </w:pPr>
    </w:p>
    <w:p w:rsidR="004F297E" w:rsidRDefault="004F297E" w:rsidP="004F297E">
      <w:pPr>
        <w:jc w:val="both"/>
        <w:rPr>
          <w:rFonts w:ascii="Times New Roman" w:hAnsi="Times New Roman" w:cs="Times New Roman"/>
          <w:b/>
          <w:bCs/>
          <w:sz w:val="24"/>
          <w:szCs w:val="24"/>
        </w:rPr>
      </w:pPr>
    </w:p>
    <w:p w:rsidR="004F297E" w:rsidRDefault="004F297E" w:rsidP="004F297E">
      <w:pPr>
        <w:jc w:val="both"/>
        <w:rPr>
          <w:rFonts w:ascii="Times New Roman" w:hAnsi="Times New Roman" w:cs="Times New Roman"/>
          <w:b/>
          <w:bCs/>
          <w:sz w:val="24"/>
          <w:szCs w:val="24"/>
        </w:rPr>
      </w:pPr>
    </w:p>
    <w:p w:rsidR="004F297E" w:rsidRDefault="004F297E" w:rsidP="004F297E">
      <w:pPr>
        <w:jc w:val="both"/>
        <w:rPr>
          <w:rFonts w:ascii="Times New Roman" w:hAnsi="Times New Roman" w:cs="Times New Roman"/>
          <w:b/>
          <w:bCs/>
          <w:sz w:val="24"/>
          <w:szCs w:val="24"/>
        </w:rPr>
      </w:pPr>
    </w:p>
    <w:p w:rsidR="004F297E" w:rsidRDefault="004F297E" w:rsidP="004F297E">
      <w:pPr>
        <w:jc w:val="both"/>
        <w:rPr>
          <w:rFonts w:ascii="Times New Roman" w:hAnsi="Times New Roman" w:cs="Times New Roman"/>
          <w:b/>
          <w:bCs/>
          <w:sz w:val="24"/>
          <w:szCs w:val="24"/>
        </w:rPr>
      </w:pPr>
    </w:p>
    <w:p w:rsidR="004F297E" w:rsidRDefault="004F297E" w:rsidP="004F297E">
      <w:pPr>
        <w:jc w:val="both"/>
        <w:rPr>
          <w:rFonts w:ascii="Times New Roman" w:hAnsi="Times New Roman" w:cs="Times New Roman"/>
          <w:b/>
          <w:bCs/>
          <w:sz w:val="24"/>
          <w:szCs w:val="24"/>
        </w:rPr>
      </w:pPr>
    </w:p>
    <w:p w:rsidR="004F297E" w:rsidRDefault="004F297E" w:rsidP="004F297E">
      <w:pPr>
        <w:jc w:val="both"/>
        <w:rPr>
          <w:rFonts w:ascii="Times New Roman" w:hAnsi="Times New Roman" w:cs="Times New Roman"/>
          <w:b/>
          <w:bCs/>
          <w:sz w:val="24"/>
          <w:szCs w:val="24"/>
        </w:rPr>
      </w:pPr>
    </w:p>
    <w:p w:rsidR="004F297E" w:rsidRDefault="004F297E" w:rsidP="004F297E">
      <w:pPr>
        <w:rPr>
          <w:rFonts w:ascii="Times New Roman" w:hAnsi="Times New Roman" w:cs="Times New Roman"/>
          <w:b/>
          <w:bCs/>
          <w:sz w:val="24"/>
          <w:szCs w:val="24"/>
        </w:rPr>
      </w:pPr>
      <w:r>
        <w:rPr>
          <w:rFonts w:ascii="Times New Roman" w:hAnsi="Times New Roman" w:cs="Times New Roman"/>
          <w:b/>
          <w:bCs/>
          <w:sz w:val="24"/>
          <w:szCs w:val="24"/>
        </w:rPr>
        <w:br w:type="page"/>
      </w:r>
    </w:p>
    <w:p w:rsidR="004F297E" w:rsidRPr="00820348" w:rsidRDefault="004F297E" w:rsidP="004F297E">
      <w:pPr>
        <w:jc w:val="both"/>
        <w:rPr>
          <w:rFonts w:ascii="Times New Roman" w:hAnsi="Times New Roman" w:cs="Times New Roman"/>
          <w:b/>
          <w:bCs/>
          <w:sz w:val="24"/>
          <w:szCs w:val="24"/>
        </w:rPr>
      </w:pPr>
      <w:r w:rsidRPr="00820348">
        <w:rPr>
          <w:rFonts w:ascii="Times New Roman" w:hAnsi="Times New Roman" w:cs="Times New Roman"/>
          <w:b/>
          <w:bCs/>
          <w:sz w:val="24"/>
          <w:szCs w:val="24"/>
        </w:rPr>
        <w:lastRenderedPageBreak/>
        <w:t>Abstract</w:t>
      </w:r>
    </w:p>
    <w:p w:rsidR="004F297E" w:rsidRPr="00820348" w:rsidRDefault="004F297E" w:rsidP="004F297E">
      <w:pPr>
        <w:jc w:val="both"/>
        <w:rPr>
          <w:rFonts w:ascii="Times New Roman" w:hAnsi="Times New Roman" w:cs="Times New Roman"/>
          <w:sz w:val="24"/>
          <w:szCs w:val="24"/>
        </w:rPr>
      </w:pPr>
      <w:r w:rsidRPr="00820348">
        <w:rPr>
          <w:rFonts w:ascii="Times New Roman" w:hAnsi="Times New Roman" w:cs="Times New Roman"/>
          <w:sz w:val="24"/>
          <w:szCs w:val="24"/>
        </w:rPr>
        <w:t>Share and Tsaragi are twin communities in Kwara State, Nigeria, living harmoniously for centuries before a crisis on border issues erupted between them.  This study argues that internal mechanisms which originate from the people’s philosophy and culture are potent tools to sustain peaceful co-existence between them. The research designs are quantitative and qualitative and data were gathered from participant observations, questionnaires and interviews. Findings show that government interventions have not been perfectly enforced, hence recurring conflicts. The study concludes that crises are imminent where population growth is without corresponding economic empowerment and socio-cultural integration among the people. Previous research efforts confirm that African conflicts often occur due to the combination of poverty and weak States and institutions. However, data from this research confirms that collaborations and consensus are potent tools to entrench peace in Share and Tsaragi communities.</w:t>
      </w:r>
    </w:p>
    <w:p w:rsidR="004F297E" w:rsidRPr="00820348" w:rsidRDefault="004F297E" w:rsidP="004F297E">
      <w:pPr>
        <w:jc w:val="both"/>
        <w:rPr>
          <w:rFonts w:ascii="Times New Roman" w:hAnsi="Times New Roman" w:cs="Times New Roman"/>
          <w:sz w:val="24"/>
          <w:szCs w:val="24"/>
        </w:rPr>
      </w:pPr>
      <w:r w:rsidRPr="00820348">
        <w:rPr>
          <w:rFonts w:ascii="Times New Roman" w:hAnsi="Times New Roman" w:cs="Times New Roman"/>
          <w:sz w:val="24"/>
          <w:szCs w:val="24"/>
        </w:rPr>
        <w:t xml:space="preserve"> </w:t>
      </w:r>
    </w:p>
    <w:p w:rsidR="004F297E" w:rsidRPr="00820348" w:rsidRDefault="004F297E" w:rsidP="004F297E">
      <w:pPr>
        <w:jc w:val="both"/>
        <w:rPr>
          <w:rFonts w:ascii="Times New Roman" w:hAnsi="Times New Roman" w:cs="Times New Roman"/>
          <w:sz w:val="24"/>
          <w:szCs w:val="24"/>
        </w:rPr>
      </w:pPr>
      <w:r w:rsidRPr="00820348">
        <w:rPr>
          <w:rFonts w:ascii="Times New Roman" w:hAnsi="Times New Roman" w:cs="Times New Roman"/>
          <w:sz w:val="24"/>
          <w:szCs w:val="24"/>
        </w:rPr>
        <w:t>Keywords: Inter-Ethnic Crisis, Consensus/collaborations, Peace, Culture, Internal Mechanisms</w:t>
      </w:r>
    </w:p>
    <w:p w:rsidR="004F297E" w:rsidRPr="00820348" w:rsidRDefault="004F297E" w:rsidP="004F297E">
      <w:pPr>
        <w:jc w:val="both"/>
        <w:rPr>
          <w:rFonts w:ascii="Times New Roman" w:hAnsi="Times New Roman" w:cs="Times New Roman"/>
          <w:sz w:val="24"/>
          <w:szCs w:val="24"/>
        </w:rPr>
      </w:pPr>
    </w:p>
    <w:p w:rsidR="004F297E" w:rsidRPr="00820348" w:rsidRDefault="004F297E" w:rsidP="004F297E">
      <w:pPr>
        <w:jc w:val="both"/>
        <w:rPr>
          <w:rFonts w:ascii="Times New Roman" w:hAnsi="Times New Roman" w:cs="Times New Roman"/>
          <w:sz w:val="24"/>
          <w:szCs w:val="24"/>
        </w:rPr>
      </w:pPr>
    </w:p>
    <w:p w:rsidR="004F297E" w:rsidRPr="00820348" w:rsidRDefault="004F297E" w:rsidP="004F297E">
      <w:pPr>
        <w:jc w:val="both"/>
        <w:rPr>
          <w:rFonts w:ascii="Times New Roman" w:hAnsi="Times New Roman" w:cs="Times New Roman"/>
          <w:sz w:val="24"/>
          <w:szCs w:val="24"/>
        </w:rPr>
      </w:pPr>
    </w:p>
    <w:p w:rsidR="004F297E" w:rsidRPr="00820348" w:rsidRDefault="004F297E" w:rsidP="004F297E">
      <w:pPr>
        <w:jc w:val="both"/>
        <w:rPr>
          <w:rFonts w:ascii="Times New Roman" w:hAnsi="Times New Roman" w:cs="Times New Roman"/>
          <w:sz w:val="24"/>
          <w:szCs w:val="24"/>
        </w:rPr>
      </w:pPr>
    </w:p>
    <w:p w:rsidR="004F297E" w:rsidRPr="00820348" w:rsidRDefault="004F297E" w:rsidP="004F297E">
      <w:pPr>
        <w:jc w:val="both"/>
        <w:rPr>
          <w:rFonts w:ascii="Times New Roman" w:hAnsi="Times New Roman" w:cs="Times New Roman"/>
          <w:sz w:val="24"/>
          <w:szCs w:val="24"/>
        </w:rPr>
      </w:pPr>
    </w:p>
    <w:p w:rsidR="004F297E" w:rsidRPr="00820348" w:rsidRDefault="004F297E" w:rsidP="004F297E">
      <w:pPr>
        <w:jc w:val="both"/>
        <w:rPr>
          <w:rFonts w:ascii="Times New Roman" w:hAnsi="Times New Roman" w:cs="Times New Roman"/>
          <w:sz w:val="24"/>
          <w:szCs w:val="24"/>
        </w:rPr>
      </w:pPr>
      <w:r w:rsidRPr="00820348">
        <w:rPr>
          <w:rFonts w:ascii="Times New Roman" w:hAnsi="Times New Roman" w:cs="Times New Roman"/>
          <w:sz w:val="24"/>
          <w:szCs w:val="24"/>
        </w:rPr>
        <w:t> </w:t>
      </w:r>
    </w:p>
    <w:p w:rsidR="004F297E" w:rsidRPr="00820348" w:rsidRDefault="004F297E" w:rsidP="004F297E">
      <w:pPr>
        <w:jc w:val="both"/>
        <w:rPr>
          <w:rFonts w:ascii="Times New Roman" w:hAnsi="Times New Roman" w:cs="Times New Roman"/>
          <w:sz w:val="24"/>
          <w:szCs w:val="24"/>
        </w:rPr>
      </w:pPr>
    </w:p>
    <w:p w:rsidR="004F297E" w:rsidRDefault="004F297E" w:rsidP="004F297E">
      <w:pPr>
        <w:rPr>
          <w:rFonts w:ascii="Times New Roman" w:hAnsi="Times New Roman" w:cs="Times New Roman"/>
          <w:b/>
          <w:bCs/>
          <w:sz w:val="24"/>
          <w:szCs w:val="24"/>
        </w:rPr>
      </w:pPr>
      <w:r>
        <w:rPr>
          <w:rFonts w:ascii="Times New Roman" w:hAnsi="Times New Roman" w:cs="Times New Roman"/>
          <w:b/>
          <w:bCs/>
          <w:sz w:val="24"/>
          <w:szCs w:val="24"/>
        </w:rPr>
        <w:br w:type="page"/>
      </w:r>
    </w:p>
    <w:p w:rsidR="004F297E" w:rsidRPr="00820348" w:rsidRDefault="004F297E" w:rsidP="004F297E">
      <w:pPr>
        <w:pStyle w:val="ListParagraph"/>
        <w:numPr>
          <w:ilvl w:val="0"/>
          <w:numId w:val="1"/>
        </w:numPr>
        <w:jc w:val="both"/>
        <w:rPr>
          <w:rFonts w:ascii="Times New Roman" w:hAnsi="Times New Roman" w:cs="Times New Roman"/>
          <w:b/>
          <w:bCs/>
          <w:sz w:val="24"/>
          <w:szCs w:val="24"/>
        </w:rPr>
      </w:pPr>
      <w:r w:rsidRPr="00820348">
        <w:rPr>
          <w:rFonts w:ascii="Times New Roman" w:hAnsi="Times New Roman" w:cs="Times New Roman"/>
          <w:b/>
          <w:bCs/>
          <w:sz w:val="24"/>
          <w:szCs w:val="24"/>
        </w:rPr>
        <w:lastRenderedPageBreak/>
        <w:t>Introduction</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Nigeria as an independent nation-state, has experienced intra-ethnic and inter-ethnic crises for the past five decades due to diverse reasons, including poverty and corruption. It is imperative that proactive and pragmatic steps to correct this precarious debacle be prioritized. Share-Tsaragi belongs to different Local Government Areas (LGAs) in Nigeria; whereas Share is a Yoruba community in Ifelodun LGA of Kwara State, Tsaragi is a Nupe settlement in Edu LGA of Kwara State. The population of the study area was put at 15, 889. Whereas Tsaragi had an adult population of three thousand, two hundred and fifty two (3,252), eighteen years and above, Share’s population was fixed at twelve thousand, six hundred and thirty seven (12,637)</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{"citationItems":[{"id":"ITEM-1","itemData":{"author":[{"dropping-particle":"","family":"Alao","given":"David Oladimeji","non-dropping-particle":"","parse-names":false,"suffix":""}],"container-title":"IOSR Journal of Economics and Finance","id":"ITEM-1","issue":"5","issued":{"date-parts":[["2014"]]},"page":"8-15","title":"Interrogating Concession, Trust and Forgiveness in Saare/Tsaragi, Peace Building, Nigeria: Implication for Conflict Management in Africa.","type":"article-journal","volume":"5"},"uris":["http://www.mendeley.com/documents/?uuid=1022c3ba-4933-4d2f-b283-9f361da795ba"]}],"mendeley":{"formattedCitation":"(Alao, 2014)","plainTextFormattedCitation":"(Alao, 2014)","previouslyFormattedCitation":"(Alao, 2014)"},"properties":{"noteIndex":0},"schema":"https://github.com/citation-style-language/schema/raw/master/csl-citation.json"}</w:instrText>
      </w:r>
      <w:r>
        <w:rPr>
          <w:rFonts w:ascii="Times New Roman" w:hAnsi="Times New Roman" w:cs="Times New Roman"/>
          <w:sz w:val="24"/>
          <w:szCs w:val="24"/>
        </w:rPr>
        <w:fldChar w:fldCharType="separate"/>
      </w:r>
      <w:r w:rsidRPr="00E30439">
        <w:rPr>
          <w:rFonts w:ascii="Times New Roman" w:hAnsi="Times New Roman" w:cs="Times New Roman"/>
          <w:noProof/>
          <w:sz w:val="24"/>
          <w:szCs w:val="24"/>
        </w:rPr>
        <w:t>(Alao, 2014)</w:t>
      </w:r>
      <w:r>
        <w:rPr>
          <w:rFonts w:ascii="Times New Roman" w:hAnsi="Times New Roman" w:cs="Times New Roman"/>
          <w:sz w:val="24"/>
          <w:szCs w:val="24"/>
        </w:rPr>
        <w:fldChar w:fldCharType="end"/>
      </w:r>
      <w:r w:rsidRPr="00820348">
        <w:rPr>
          <w:rFonts w:ascii="Times New Roman" w:hAnsi="Times New Roman" w:cs="Times New Roman"/>
          <w:sz w:val="24"/>
          <w:szCs w:val="24"/>
        </w:rPr>
        <w:t>.  Both neighbouring communities who share almost indefinable boundary had co-habited for a long time now. Indeed, except for natives, to set a clear-cut line of demarcation between Share and Tsaragi even for meticulous observers, is a herculean task</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{"citationItems":[{"id":"ITEM-1","itemData":{"author":[{"dropping-particle":"","family":"IPCR","given":"","non-dropping-particle":"","parse-names":false,"suffix":""}],"id":"ITEM-1","issued":{"date-parts":[["2017"]]},"publisher":"JOHN ARCHERS (Publishers) Ltd","publisher-place":"Ibadan, Nigeria","title":"2016 Strategic conflict assessment of Nigeria: Consolidated and zonal reports institute for peace and conflict resolution (IPCR), Abuja 2017","type":"book"},"uris":["http://www.mendeley.com/documents/?uuid=23669fd2-9de0-475e-bbac-91a4cf02f3b4"]}],"mendeley":{"formattedCitation":"(IPCR, 2017)","plainTextFormattedCitation":"(IPCR, 2017)","previouslyFormattedCitation":"(IPCR, 2017)"},"properties":{"noteIndex":0},"schema":"https://github.com/citation-style-language/schema/raw/master/csl-citation.json"}</w:instrText>
      </w:r>
      <w:r>
        <w:rPr>
          <w:rFonts w:ascii="Times New Roman" w:hAnsi="Times New Roman" w:cs="Times New Roman"/>
          <w:sz w:val="24"/>
          <w:szCs w:val="24"/>
        </w:rPr>
        <w:fldChar w:fldCharType="separate"/>
      </w:r>
      <w:r w:rsidRPr="00E30439">
        <w:rPr>
          <w:rFonts w:ascii="Times New Roman" w:hAnsi="Times New Roman" w:cs="Times New Roman"/>
          <w:noProof/>
          <w:sz w:val="24"/>
          <w:szCs w:val="24"/>
        </w:rPr>
        <w:t>(IPCR, 2017)</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w:t>
      </w:r>
      <w:r w:rsidRPr="00E30439">
        <w:rPr>
          <w:rFonts w:ascii="Times New Roman" w:hAnsi="Times New Roman" w:cs="Times New Roman"/>
          <w:sz w:val="24"/>
          <w:szCs w:val="24"/>
        </w:rPr>
        <w:t xml:space="preserve">This was also the experience of </w:t>
      </w:r>
      <w:r>
        <w:rPr>
          <w:rFonts w:ascii="Times New Roman" w:hAnsi="Times New Roman" w:cs="Times New Roman"/>
          <w:sz w:val="24"/>
          <w:szCs w:val="24"/>
        </w:rPr>
        <w:t>the authors</w:t>
      </w:r>
      <w:r w:rsidRPr="00E30439">
        <w:rPr>
          <w:rFonts w:ascii="Times New Roman" w:hAnsi="Times New Roman" w:cs="Times New Roman"/>
          <w:sz w:val="24"/>
          <w:szCs w:val="24"/>
        </w:rPr>
        <w:t xml:space="preserve"> when </w:t>
      </w:r>
      <w:r>
        <w:rPr>
          <w:rFonts w:ascii="Times New Roman" w:hAnsi="Times New Roman" w:cs="Times New Roman"/>
          <w:sz w:val="24"/>
          <w:szCs w:val="24"/>
        </w:rPr>
        <w:t>they</w:t>
      </w:r>
      <w:r w:rsidRPr="00E30439">
        <w:rPr>
          <w:rFonts w:ascii="Times New Roman" w:hAnsi="Times New Roman" w:cs="Times New Roman"/>
          <w:sz w:val="24"/>
          <w:szCs w:val="24"/>
        </w:rPr>
        <w:t xml:space="preserve"> visited both communities for the first time on 20th March 2019.</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Experts, most of who are not indigenous have attempted proffering solutions to the problem of inter-ethnic crises in the two communities, yet, the problem has persisted. Both the Federal and State Governments have at different times constituted panels of enquiry on the Share-Tsaragi boundary dispute. The resurgence of crisis at the wake of the millennium and the escalation of three violent inter-ethnic conflicts between 2000 and 2008 due principally to land and boundary related issues, has enlisted this region of the “State of Harmony” (Kwara State) among the crisis zones in Nigeria. Today, peace has become rather elusive as the crises seem to have defied solution in spite of successive spirited efforts aimed at laying the problem to rest. </w:t>
      </w:r>
    </w:p>
    <w:p w:rsidR="004F297E" w:rsidRPr="00820348" w:rsidRDefault="004F297E" w:rsidP="004F297E">
      <w:pPr>
        <w:spacing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The general aim of this study is to bring about peaceful resolution of the conflicts and sustenance of peaceful co-existence between Share and Tsaragi communities through internal mechanisms that emanate from the peoples culture and worldview.  The objectives are to: i.) Identify the source </w:t>
      </w:r>
      <w:r w:rsidRPr="00820348">
        <w:rPr>
          <w:rFonts w:ascii="Times New Roman" w:hAnsi="Times New Roman" w:cs="Times New Roman"/>
          <w:sz w:val="24"/>
          <w:szCs w:val="24"/>
        </w:rPr>
        <w:lastRenderedPageBreak/>
        <w:t>of the crisis between Share/ Tsaragi communities; ii.) Examine previous intervention mechanism to resolve the crisis; iii.) Proffer practical internal mechanisms for resolution of the crisis; and iv.) Articulate a means of sustaining the expected peaceful co-existence between Share and Tsaragi communities.</w:t>
      </w:r>
    </w:p>
    <w:p w:rsidR="004F297E" w:rsidRPr="00672EEE" w:rsidRDefault="004F297E" w:rsidP="004F297E">
      <w:pPr>
        <w:pStyle w:val="ListParagraph"/>
        <w:numPr>
          <w:ilvl w:val="0"/>
          <w:numId w:val="1"/>
        </w:numPr>
        <w:jc w:val="both"/>
        <w:rPr>
          <w:rFonts w:ascii="Times New Roman" w:hAnsi="Times New Roman" w:cs="Times New Roman"/>
          <w:b/>
          <w:bCs/>
          <w:sz w:val="24"/>
          <w:szCs w:val="24"/>
        </w:rPr>
      </w:pPr>
      <w:r w:rsidRPr="00672EEE">
        <w:rPr>
          <w:rFonts w:ascii="Times New Roman" w:hAnsi="Times New Roman" w:cs="Times New Roman"/>
          <w:b/>
          <w:bCs/>
          <w:sz w:val="24"/>
          <w:szCs w:val="24"/>
        </w:rPr>
        <w:t>Background of the Crises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The Share-Tsaragi crisis has lingered </w:t>
      </w:r>
      <w:r>
        <w:rPr>
          <w:rFonts w:ascii="Times New Roman" w:hAnsi="Times New Roman" w:cs="Times New Roman"/>
          <w:sz w:val="24"/>
          <w:szCs w:val="24"/>
        </w:rPr>
        <w:t xml:space="preserve">for </w:t>
      </w:r>
      <w:r w:rsidRPr="00820348">
        <w:rPr>
          <w:rFonts w:ascii="Times New Roman" w:hAnsi="Times New Roman" w:cs="Times New Roman"/>
          <w:sz w:val="24"/>
          <w:szCs w:val="24"/>
        </w:rPr>
        <w:t>over a period of 40 years</w:t>
      </w:r>
      <w:r>
        <w:rPr>
          <w:rFonts w:ascii="Times New Roman" w:hAnsi="Times New Roman" w:cs="Times New Roman"/>
          <w:sz w:val="24"/>
          <w:szCs w:val="24"/>
        </w:rPr>
        <w:t>. The reason for the crisis is connected to</w:t>
      </w:r>
      <w:r w:rsidRPr="00820348">
        <w:rPr>
          <w:rFonts w:ascii="Times New Roman" w:hAnsi="Times New Roman" w:cs="Times New Roman"/>
          <w:sz w:val="24"/>
          <w:szCs w:val="24"/>
        </w:rPr>
        <w:t xml:space="preserve"> borders and issues of undecided occupancy and landowner. Some of the crises occurred on the following dates: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w:t>
      </w:r>
      <w:r w:rsidRPr="00820348">
        <w:rPr>
          <w:rFonts w:ascii="Times New Roman" w:hAnsi="Times New Roman" w:cs="Times New Roman"/>
          <w:sz w:val="24"/>
          <w:szCs w:val="24"/>
        </w:rPr>
        <w:tab/>
        <w:t xml:space="preserve">December 3, 1978;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ii.</w:t>
      </w:r>
      <w:r w:rsidRPr="00820348">
        <w:rPr>
          <w:rFonts w:ascii="Times New Roman" w:hAnsi="Times New Roman" w:cs="Times New Roman"/>
          <w:sz w:val="24"/>
          <w:szCs w:val="24"/>
        </w:rPr>
        <w:tab/>
        <w:t>The year 2000;</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iii.</w:t>
      </w:r>
      <w:r w:rsidRPr="00820348">
        <w:rPr>
          <w:rFonts w:ascii="Times New Roman" w:hAnsi="Times New Roman" w:cs="Times New Roman"/>
          <w:sz w:val="24"/>
          <w:szCs w:val="24"/>
        </w:rPr>
        <w:tab/>
        <w:t>November 2-3, 2008 (termed the bloodiest so far);</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iv.</w:t>
      </w:r>
      <w:r w:rsidRPr="00820348">
        <w:rPr>
          <w:rFonts w:ascii="Times New Roman" w:hAnsi="Times New Roman" w:cs="Times New Roman"/>
          <w:sz w:val="24"/>
          <w:szCs w:val="24"/>
        </w:rPr>
        <w:tab/>
        <w:t>December 19, 2015; and</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v.</w:t>
      </w:r>
      <w:r w:rsidRPr="00820348">
        <w:rPr>
          <w:rFonts w:ascii="Times New Roman" w:hAnsi="Times New Roman" w:cs="Times New Roman"/>
          <w:sz w:val="24"/>
          <w:szCs w:val="24"/>
        </w:rPr>
        <w:tab/>
        <w:t>August 4, 2016.</w:t>
      </w:r>
    </w:p>
    <w:p w:rsidR="004F297E" w:rsidRPr="00820348" w:rsidRDefault="004F297E" w:rsidP="004F29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w:t>
      </w:r>
      <w:r w:rsidRPr="00820348">
        <w:rPr>
          <w:rFonts w:ascii="Times New Roman" w:hAnsi="Times New Roman" w:cs="Times New Roman"/>
          <w:sz w:val="24"/>
          <w:szCs w:val="24"/>
        </w:rPr>
        <w:t>istory of the Share-Tsaragi settlements</w:t>
      </w:r>
      <w:r>
        <w:rPr>
          <w:rFonts w:ascii="Times New Roman" w:hAnsi="Times New Roman" w:cs="Times New Roman"/>
          <w:sz w:val="24"/>
          <w:szCs w:val="24"/>
        </w:rPr>
        <w:t xml:space="preserve"> has several versions</w:t>
      </w:r>
      <w:r w:rsidRPr="00820348">
        <w:rPr>
          <w:rFonts w:ascii="Times New Roman" w:hAnsi="Times New Roman" w:cs="Times New Roman"/>
          <w:sz w:val="24"/>
          <w:szCs w:val="24"/>
        </w:rPr>
        <w:t xml:space="preserve">. </w:t>
      </w:r>
      <w:r>
        <w:rPr>
          <w:rFonts w:ascii="Times New Roman" w:hAnsi="Times New Roman" w:cs="Times New Roman"/>
          <w:sz w:val="24"/>
          <w:szCs w:val="24"/>
        </w:rPr>
        <w:t>A</w:t>
      </w:r>
      <w:r w:rsidRPr="00820348">
        <w:rPr>
          <w:rFonts w:ascii="Times New Roman" w:hAnsi="Times New Roman" w:cs="Times New Roman"/>
          <w:sz w:val="24"/>
          <w:szCs w:val="24"/>
        </w:rPr>
        <w:t xml:space="preserve"> version claims that the Yoruba sub-group dispersed from Oyo-Ile, the capital of the Old Oyo Empire, due to the Bariba expansionist wars which had attacked Igboho in 1816. The defeat of the Oyo army led to the dispersal of the civil population into different axis. Those who went eastward were the forebears of the Igbomina Yoruba who left Ahun and momentarily settled at Sakama before finally settling down at the present site. The Jihad soon displaced the Nupe at Sakama, who had to re-locate to settle among the Yoruba in the present site. Another version of the Share tradition claims that the Share people, an Igbomina Yoruba group left Ahun, their original home in 1818 A.D. probably in hunt for ivory. The Share people who were said to have initially settled at Sakama, east of Share, claim they were the first to settle at the present site</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{"citationItems":[{"id":"ITEM-1","itemData":{"ISSN":"0971-8923","author":[{"dropping-particle":"","family":"Tijani","given":"Abdulwahab","non-dropping-particle":"","parse-names":false,"suffix":""}],"container-title":"Journal of Social Sciences","id":"ITEM-1","issue":"1","issued":{"date-parts":[["2008"]]},"page":"51-57","publisher":"Taylor &amp; Francis","title":"On Ethnic Identity: A Study of Share/Tsaragi Settlement in Nigeria (1830-1967)","type":"article-journal","volume":"17"},"uris":["http://www.mendeley.com/documents/?uuid=c0c5db4a-1e47-43a6-8c7e-e18ccfacd9a7"]}],"mendeley":{"formattedCitation":"(Tijani, 2008)","plainTextFormattedCitation":"(Tijani, 2008)","previouslyFormattedCitation":"(Tijani, 2008)"},"properties":{"noteIndex":0},"schema":"https://github.com/citation-style-language/schema/raw/master/csl-citation.json"}</w:instrText>
      </w:r>
      <w:r>
        <w:rPr>
          <w:rFonts w:ascii="Times New Roman" w:hAnsi="Times New Roman" w:cs="Times New Roman"/>
          <w:sz w:val="24"/>
          <w:szCs w:val="24"/>
        </w:rPr>
        <w:fldChar w:fldCharType="separate"/>
      </w:r>
      <w:r w:rsidRPr="00DD3CA3">
        <w:rPr>
          <w:rFonts w:ascii="Times New Roman" w:hAnsi="Times New Roman" w:cs="Times New Roman"/>
          <w:noProof/>
          <w:sz w:val="24"/>
          <w:szCs w:val="24"/>
        </w:rPr>
        <w:t>(Tijani, 2008)</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lastRenderedPageBreak/>
        <w:t>Nupe traditions equally allege that they were the first to settle at Share. The Nupe, who in the course of the 19th century were later driven by the Fulani Jihad to Share, was said to have left Atagara with a brief stay at Sakama. The tradition has it that the Nupes who were predominantly farmers stayed near Sakama at Kpotofutayanci. Upon hearing the news of the Fulani Jihad, they abandoned Sakama and moved to the present site. They claim that it was the Share people that later came to settle with them</w:t>
      </w:r>
      <w:r>
        <w:rPr>
          <w:rFonts w:ascii="Times New Roman" w:hAnsi="Times New Roman" w:cs="Times New Roman"/>
          <w:sz w:val="24"/>
          <w:szCs w:val="24"/>
        </w:rPr>
        <w:t xml:space="preserve"> (</w:t>
      </w:r>
      <w:r w:rsidRPr="00DD3CA3">
        <w:rPr>
          <w:rFonts w:ascii="Times New Roman" w:hAnsi="Times New Roman" w:cs="Times New Roman"/>
          <w:sz w:val="24"/>
          <w:szCs w:val="24"/>
        </w:rPr>
        <w:t>Etsu Tsaragi Alhaji Aliyu Abdullahi Kpotwa</w:t>
      </w:r>
      <w:r>
        <w:rPr>
          <w:rFonts w:ascii="Times New Roman" w:hAnsi="Times New Roman" w:cs="Times New Roman"/>
          <w:sz w:val="24"/>
          <w:szCs w:val="24"/>
        </w:rPr>
        <w:t>, personal communication,</w:t>
      </w:r>
      <w:r w:rsidRPr="00DD3CA3">
        <w:rPr>
          <w:rFonts w:ascii="Times New Roman" w:hAnsi="Times New Roman" w:cs="Times New Roman"/>
          <w:sz w:val="24"/>
          <w:szCs w:val="24"/>
        </w:rPr>
        <w:t xml:space="preserve"> March 26</w:t>
      </w:r>
      <w:r>
        <w:rPr>
          <w:rFonts w:ascii="Times New Roman" w:hAnsi="Times New Roman" w:cs="Times New Roman"/>
          <w:sz w:val="24"/>
          <w:szCs w:val="24"/>
        </w:rPr>
        <w:t>,</w:t>
      </w:r>
      <w:r w:rsidRPr="00DD3CA3">
        <w:rPr>
          <w:rFonts w:ascii="Times New Roman" w:hAnsi="Times New Roman" w:cs="Times New Roman"/>
          <w:sz w:val="24"/>
          <w:szCs w:val="24"/>
        </w:rPr>
        <w:t xml:space="preserve"> 2019</w:t>
      </w:r>
      <w:r>
        <w:rPr>
          <w:rFonts w:ascii="Times New Roman" w:hAnsi="Times New Roman" w:cs="Times New Roman"/>
          <w:sz w:val="24"/>
          <w:szCs w:val="24"/>
        </w:rPr>
        <w:t>)</w:t>
      </w:r>
      <w:r w:rsidRPr="00820348">
        <w:rPr>
          <w:rFonts w:ascii="Times New Roman" w:hAnsi="Times New Roman" w:cs="Times New Roman"/>
          <w:sz w:val="24"/>
          <w:szCs w:val="24"/>
        </w:rPr>
        <w:t>.  Whichever the case, both groups had co-habited for virtually two centuries before the escalation of crises.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Due to cultural differences, however, the Nupe and their Yoruba neighbours established segregated settlements</w:t>
      </w:r>
      <w:r>
        <w:rPr>
          <w:rFonts w:ascii="Times New Roman" w:hAnsi="Times New Roman" w:cs="Times New Roman"/>
          <w:sz w:val="24"/>
          <w:szCs w:val="24"/>
        </w:rPr>
        <w:t xml:space="preserve">, </w:t>
      </w:r>
      <w:r w:rsidRPr="00820348">
        <w:rPr>
          <w:rFonts w:ascii="Times New Roman" w:hAnsi="Times New Roman" w:cs="Times New Roman"/>
          <w:sz w:val="24"/>
          <w:szCs w:val="24"/>
        </w:rPr>
        <w:t xml:space="preserve">each with its own traditional ruler, the Olupako and Nda-Opoto, (later Emir) respectively.  Nonetheless, the ethnic identities in Share-Tsaragi never escalated to violent conflicts in the pre-colonial history because </w:t>
      </w:r>
      <w:r>
        <w:rPr>
          <w:rFonts w:ascii="Times New Roman" w:hAnsi="Times New Roman" w:cs="Times New Roman"/>
          <w:sz w:val="24"/>
          <w:szCs w:val="24"/>
        </w:rPr>
        <w:t>of mutual understanding of</w:t>
      </w:r>
      <w:r w:rsidRPr="00820348">
        <w:rPr>
          <w:rFonts w:ascii="Times New Roman" w:hAnsi="Times New Roman" w:cs="Times New Roman"/>
          <w:sz w:val="24"/>
          <w:szCs w:val="24"/>
        </w:rPr>
        <w:t xml:space="preserve"> each other and </w:t>
      </w:r>
      <w:r>
        <w:rPr>
          <w:rFonts w:ascii="Times New Roman" w:hAnsi="Times New Roman" w:cs="Times New Roman"/>
          <w:sz w:val="24"/>
          <w:szCs w:val="24"/>
        </w:rPr>
        <w:t>for harmony to reign in the communities (</w:t>
      </w:r>
      <w:r w:rsidRPr="0002771B">
        <w:rPr>
          <w:rFonts w:ascii="Times New Roman" w:hAnsi="Times New Roman" w:cs="Times New Roman"/>
          <w:sz w:val="24"/>
          <w:szCs w:val="24"/>
        </w:rPr>
        <w:t xml:space="preserve">Mr. Ajayi, the president of the Share </w:t>
      </w:r>
      <w:r>
        <w:rPr>
          <w:rFonts w:ascii="Times New Roman" w:hAnsi="Times New Roman" w:cs="Times New Roman"/>
          <w:sz w:val="24"/>
          <w:szCs w:val="24"/>
        </w:rPr>
        <w:t>D</w:t>
      </w:r>
      <w:r w:rsidRPr="0002771B">
        <w:rPr>
          <w:rFonts w:ascii="Times New Roman" w:hAnsi="Times New Roman" w:cs="Times New Roman"/>
          <w:sz w:val="24"/>
          <w:szCs w:val="24"/>
        </w:rPr>
        <w:t>escendant Union</w:t>
      </w:r>
      <w:r>
        <w:rPr>
          <w:rFonts w:ascii="Times New Roman" w:hAnsi="Times New Roman" w:cs="Times New Roman"/>
          <w:sz w:val="24"/>
          <w:szCs w:val="24"/>
        </w:rPr>
        <w:t>, personal communication,</w:t>
      </w:r>
      <w:r w:rsidRPr="00DD3CA3">
        <w:rPr>
          <w:rFonts w:ascii="Times New Roman" w:hAnsi="Times New Roman" w:cs="Times New Roman"/>
          <w:sz w:val="24"/>
          <w:szCs w:val="24"/>
        </w:rPr>
        <w:t xml:space="preserve"> </w:t>
      </w:r>
      <w:r w:rsidRPr="0002771B">
        <w:rPr>
          <w:rFonts w:ascii="Times New Roman" w:hAnsi="Times New Roman" w:cs="Times New Roman"/>
          <w:sz w:val="24"/>
          <w:szCs w:val="24"/>
        </w:rPr>
        <w:t xml:space="preserve"> March 20</w:t>
      </w:r>
      <w:r>
        <w:rPr>
          <w:rFonts w:ascii="Times New Roman" w:hAnsi="Times New Roman" w:cs="Times New Roman"/>
          <w:sz w:val="24"/>
          <w:szCs w:val="24"/>
        </w:rPr>
        <w:t>,</w:t>
      </w:r>
      <w:r w:rsidRPr="0002771B">
        <w:rPr>
          <w:rFonts w:ascii="Times New Roman" w:hAnsi="Times New Roman" w:cs="Times New Roman"/>
          <w:sz w:val="24"/>
          <w:szCs w:val="24"/>
        </w:rPr>
        <w:t xml:space="preserve"> 2019</w:t>
      </w:r>
      <w:r>
        <w:rPr>
          <w:rFonts w:ascii="Times New Roman" w:hAnsi="Times New Roman" w:cs="Times New Roman"/>
          <w:sz w:val="24"/>
          <w:szCs w:val="24"/>
        </w:rPr>
        <w:t xml:space="preserve"> </w:t>
      </w:r>
      <w:r w:rsidRPr="0002771B">
        <w:rPr>
          <w:rFonts w:ascii="Times New Roman" w:hAnsi="Times New Roman" w:cs="Times New Roman"/>
          <w:sz w:val="24"/>
          <w:szCs w:val="24"/>
        </w:rPr>
        <w:t>and Alhaji Attahiru Abdulkadir Haruna, the Nda zoko of Tsaragi</w:t>
      </w:r>
      <w:r>
        <w:rPr>
          <w:rFonts w:ascii="Times New Roman" w:hAnsi="Times New Roman" w:cs="Times New Roman"/>
          <w:sz w:val="24"/>
          <w:szCs w:val="24"/>
        </w:rPr>
        <w:t>, personal communication,</w:t>
      </w:r>
      <w:r w:rsidRPr="00DD3CA3">
        <w:rPr>
          <w:rFonts w:ascii="Times New Roman" w:hAnsi="Times New Roman" w:cs="Times New Roman"/>
          <w:sz w:val="24"/>
          <w:szCs w:val="24"/>
        </w:rPr>
        <w:t xml:space="preserve"> </w:t>
      </w:r>
      <w:r w:rsidRPr="0002771B">
        <w:rPr>
          <w:rFonts w:ascii="Times New Roman" w:hAnsi="Times New Roman" w:cs="Times New Roman"/>
          <w:sz w:val="24"/>
          <w:szCs w:val="24"/>
        </w:rPr>
        <w:t>March 26</w:t>
      </w:r>
      <w:r>
        <w:rPr>
          <w:rFonts w:ascii="Times New Roman" w:hAnsi="Times New Roman" w:cs="Times New Roman"/>
          <w:sz w:val="24"/>
          <w:szCs w:val="24"/>
        </w:rPr>
        <w:t>,</w:t>
      </w:r>
      <w:r w:rsidRPr="0002771B">
        <w:rPr>
          <w:rFonts w:ascii="Times New Roman" w:hAnsi="Times New Roman" w:cs="Times New Roman"/>
          <w:sz w:val="24"/>
          <w:szCs w:val="24"/>
        </w:rPr>
        <w:t xml:space="preserve"> 2019</w:t>
      </w:r>
      <w:r>
        <w:rPr>
          <w:rFonts w:ascii="Times New Roman" w:hAnsi="Times New Roman" w:cs="Times New Roman"/>
          <w:sz w:val="24"/>
          <w:szCs w:val="24"/>
        </w:rPr>
        <w:t>)</w:t>
      </w:r>
      <w:r w:rsidRPr="0002771B">
        <w:rPr>
          <w:rFonts w:ascii="Times New Roman" w:hAnsi="Times New Roman" w:cs="Times New Roman"/>
          <w:sz w:val="24"/>
          <w:szCs w:val="24"/>
        </w:rPr>
        <w:t>. In addition, people present from Tsaragi and Share at the joint workshop held at the Share/Tsaragi road boundary on 3rd September 2019 attested to this cordial history of both communities</w:t>
      </w:r>
      <w:r w:rsidRPr="00820348">
        <w:rPr>
          <w:rFonts w:ascii="Times New Roman" w:hAnsi="Times New Roman" w:cs="Times New Roman"/>
          <w:sz w:val="24"/>
          <w:szCs w:val="24"/>
        </w:rPr>
        <w:t>.  Arguably, attempt to legitimise the control of resources</w:t>
      </w:r>
      <w:r>
        <w:rPr>
          <w:rFonts w:ascii="Times New Roman" w:hAnsi="Times New Roman" w:cs="Times New Roman"/>
          <w:sz w:val="24"/>
          <w:szCs w:val="24"/>
        </w:rPr>
        <w:t xml:space="preserve"> in the environment</w:t>
      </w:r>
      <w:r w:rsidRPr="00820348">
        <w:rPr>
          <w:rFonts w:ascii="Times New Roman" w:hAnsi="Times New Roman" w:cs="Times New Roman"/>
          <w:sz w:val="24"/>
          <w:szCs w:val="24"/>
        </w:rPr>
        <w:t xml:space="preserve">, rather than cultural conflicts could have been responsible for the segregated settlement (Tijani, 2008).  The same has become the cause of sporadic violent outbursts in recent times. The Fiangiawa/Fejewe quarters, which both warring communities uncompromisingly lay claim of ownership to, has been identified as the hotspot and core of every clash.  Nigeria’s Strategic Conflict Assessment (SCA) Report attested that the bone of contention </w:t>
      </w:r>
      <w:r w:rsidRPr="00820348">
        <w:rPr>
          <w:rFonts w:ascii="Times New Roman" w:hAnsi="Times New Roman" w:cs="Times New Roman"/>
          <w:sz w:val="24"/>
          <w:szCs w:val="24"/>
        </w:rPr>
        <w:lastRenderedPageBreak/>
        <w:t xml:space="preserve">for the </w:t>
      </w:r>
      <w:r>
        <w:rPr>
          <w:rFonts w:ascii="Times New Roman" w:hAnsi="Times New Roman" w:cs="Times New Roman"/>
          <w:sz w:val="24"/>
          <w:szCs w:val="24"/>
        </w:rPr>
        <w:t>clashes</w:t>
      </w:r>
      <w:r w:rsidRPr="00820348">
        <w:rPr>
          <w:rFonts w:ascii="Times New Roman" w:hAnsi="Times New Roman" w:cs="Times New Roman"/>
          <w:sz w:val="24"/>
          <w:szCs w:val="24"/>
        </w:rPr>
        <w:t xml:space="preserve"> </w:t>
      </w:r>
      <w:r>
        <w:rPr>
          <w:rFonts w:ascii="Times New Roman" w:hAnsi="Times New Roman" w:cs="Times New Roman"/>
          <w:sz w:val="24"/>
          <w:szCs w:val="24"/>
        </w:rPr>
        <w:t>found in the</w:t>
      </w:r>
      <w:r w:rsidRPr="00820348">
        <w:rPr>
          <w:rFonts w:ascii="Times New Roman" w:hAnsi="Times New Roman" w:cs="Times New Roman"/>
          <w:sz w:val="24"/>
          <w:szCs w:val="24"/>
        </w:rPr>
        <w:t xml:space="preserve"> communities is a piece of land covering over 200 hectares, called Fiangiawa/Fejewe of which both communities claim ownership</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{"citationItems":[{"id":"ITEM-1","itemData":{"author":[{"dropping-particle":"","family":"IPCR","given":"","non-dropping-particle":"","parse-names":false,"suffix":""}],"id":"ITEM-1","issued":{"date-parts":[["2017"]]},"publisher":"JOHN ARCHERS (Publishers) Ltd","publisher-place":"Ibadan, Nigeria","title":"2016 Strategic conflict assessment of Nigeria: Consolidated and zonal reports institute for peace and conflict resolution (IPCR), Abuja 2017","type":"book"},"uris":["http://www.mendeley.com/documents/?uuid=23669fd2-9de0-475e-bbac-91a4cf02f3b4"]}],"mendeley":{"formattedCitation":"(IPCR, 2017)","plainTextFormattedCitation":"(IPCR, 2017)","previouslyFormattedCitation":"(IPCR, 2017)"},"properties":{"noteIndex":0},"schema":"https://github.com/citation-style-language/schema/raw/master/csl-citation.json"}</w:instrText>
      </w:r>
      <w:r>
        <w:rPr>
          <w:rFonts w:ascii="Times New Roman" w:hAnsi="Times New Roman" w:cs="Times New Roman"/>
          <w:sz w:val="24"/>
          <w:szCs w:val="24"/>
        </w:rPr>
        <w:fldChar w:fldCharType="separate"/>
      </w:r>
      <w:r w:rsidRPr="005A3EDE">
        <w:rPr>
          <w:rFonts w:ascii="Times New Roman" w:hAnsi="Times New Roman" w:cs="Times New Roman"/>
          <w:noProof/>
          <w:sz w:val="24"/>
          <w:szCs w:val="24"/>
        </w:rPr>
        <w:t>(IPCR, 2017)</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It is expedient to acknowledge previous endeavours which attempted to find lasting solutions, especially the five Commissions/Panels that have been set up between 1976 and 2015 on the Share-Tsaragi crises. These were the Justice Mamman Nasir led boundary adjustment commission (1976), Justice Louis Mbanefo panel set up by the Federal Government in 1995/96, Deacon Sayomi led panel (2002), Justice Mahmud Abdulgafar commission of inquiry (2008) and the Sulu Gambari chaired commission of inquiry (2015). Beside these efforts, there were other intercessions by Non-Governmental Organisations, for example, the Institute for Peace and Conflict Resolution (IPCR) in concurrence with the United Nations Development Programme (UNDP), held a 3-Day workshop on the promotion of community dialogue, conflict resolution and peace building from 30th May, 2017 to 1st June, 2017 on the same issue. In addition, the Kwara State Government under the Governorship of Dr Bukola Saraki (2003-11) in a bid to resolve the Share-Tsaragi inter-ethnic crisis declared the said spot a “Buffer Zone” in 2008</w:t>
      </w:r>
      <w:r>
        <w:rPr>
          <w:rFonts w:ascii="Times New Roman" w:hAnsi="Times New Roman" w:cs="Times New Roman"/>
          <w:sz w:val="24"/>
          <w:szCs w:val="24"/>
        </w:rPr>
        <w:t xml:space="preserve"> (</w:t>
      </w:r>
      <w:r w:rsidRPr="005A3EDE">
        <w:rPr>
          <w:rFonts w:ascii="Times New Roman" w:hAnsi="Times New Roman" w:cs="Times New Roman"/>
          <w:sz w:val="24"/>
          <w:szCs w:val="24"/>
        </w:rPr>
        <w:t>Dr D. G. Yusuph, personal communication, June 25, 2018</w:t>
      </w:r>
      <w:r>
        <w:rPr>
          <w:rFonts w:ascii="Times New Roman" w:hAnsi="Times New Roman" w:cs="Times New Roman"/>
          <w:sz w:val="24"/>
          <w:szCs w:val="24"/>
        </w:rPr>
        <w:t>)</w:t>
      </w:r>
      <w:r w:rsidRPr="00820348">
        <w:rPr>
          <w:rFonts w:ascii="Times New Roman" w:hAnsi="Times New Roman" w:cs="Times New Roman"/>
          <w:sz w:val="24"/>
          <w:szCs w:val="24"/>
        </w:rPr>
        <w:t xml:space="preserve">.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Yet, a wide lacuna has been created which this research sets out to fill. This study shall examine the source of the recurrent inter-ethnic crises, and unearth the various emanating implications for national integration and proffer practical solutions to this pervasive problem. One major implication of persistent inter-ethnic crisis in Nigeria has been lack of consistent and sustainable development.</w:t>
      </w:r>
    </w:p>
    <w:p w:rsidR="004F297E" w:rsidRPr="00672EEE" w:rsidRDefault="004F297E" w:rsidP="004F297E">
      <w:pPr>
        <w:pStyle w:val="ListParagraph"/>
        <w:numPr>
          <w:ilvl w:val="0"/>
          <w:numId w:val="1"/>
        </w:numPr>
        <w:jc w:val="both"/>
        <w:rPr>
          <w:rFonts w:ascii="Times New Roman" w:hAnsi="Times New Roman" w:cs="Times New Roman"/>
          <w:b/>
          <w:bCs/>
          <w:sz w:val="24"/>
          <w:szCs w:val="24"/>
        </w:rPr>
      </w:pPr>
      <w:r w:rsidRPr="00672EEE">
        <w:rPr>
          <w:rFonts w:ascii="Times New Roman" w:hAnsi="Times New Roman" w:cs="Times New Roman"/>
          <w:b/>
          <w:bCs/>
          <w:sz w:val="24"/>
          <w:szCs w:val="24"/>
        </w:rPr>
        <w:t>Theoretical Framework</w:t>
      </w:r>
    </w:p>
    <w:p w:rsidR="004F297E" w:rsidRPr="00820348" w:rsidRDefault="004F297E" w:rsidP="004F29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Various </w:t>
      </w:r>
      <w:r w:rsidRPr="00820348">
        <w:rPr>
          <w:rFonts w:ascii="Times New Roman" w:hAnsi="Times New Roman" w:cs="Times New Roman"/>
          <w:sz w:val="24"/>
          <w:szCs w:val="24"/>
        </w:rPr>
        <w:t xml:space="preserve">African countries </w:t>
      </w:r>
      <w:r>
        <w:rPr>
          <w:rFonts w:ascii="Times New Roman" w:hAnsi="Times New Roman" w:cs="Times New Roman"/>
          <w:sz w:val="24"/>
          <w:szCs w:val="24"/>
        </w:rPr>
        <w:t>are plagued with instability</w:t>
      </w:r>
      <w:r w:rsidRPr="00820348">
        <w:rPr>
          <w:rFonts w:ascii="Times New Roman" w:hAnsi="Times New Roman" w:cs="Times New Roman"/>
          <w:sz w:val="24"/>
          <w:szCs w:val="24"/>
        </w:rPr>
        <w:t>.</w:t>
      </w:r>
      <w:r>
        <w:rPr>
          <w:rFonts w:ascii="Times New Roman" w:hAnsi="Times New Roman" w:cs="Times New Roman"/>
          <w:sz w:val="24"/>
          <w:szCs w:val="24"/>
        </w:rPr>
        <w:t xml:space="preserve"> Among the volatile c</w:t>
      </w:r>
      <w:r w:rsidRPr="00820348">
        <w:rPr>
          <w:rFonts w:ascii="Times New Roman" w:hAnsi="Times New Roman" w:cs="Times New Roman"/>
          <w:sz w:val="24"/>
          <w:szCs w:val="24"/>
        </w:rPr>
        <w:t xml:space="preserve">ountries </w:t>
      </w:r>
      <w:r>
        <w:rPr>
          <w:rFonts w:ascii="Times New Roman" w:hAnsi="Times New Roman" w:cs="Times New Roman"/>
          <w:sz w:val="24"/>
          <w:szCs w:val="24"/>
        </w:rPr>
        <w:t>in</w:t>
      </w:r>
      <w:r w:rsidRPr="00820348">
        <w:rPr>
          <w:rFonts w:ascii="Times New Roman" w:hAnsi="Times New Roman" w:cs="Times New Roman"/>
          <w:sz w:val="24"/>
          <w:szCs w:val="24"/>
        </w:rPr>
        <w:t xml:space="preserve"> sub-Saharan Africa</w:t>
      </w:r>
      <w:r>
        <w:rPr>
          <w:rFonts w:ascii="Times New Roman" w:hAnsi="Times New Roman" w:cs="Times New Roman"/>
          <w:sz w:val="24"/>
          <w:szCs w:val="24"/>
        </w:rPr>
        <w:t xml:space="preserve"> are</w:t>
      </w:r>
      <w:r w:rsidRPr="00820348">
        <w:rPr>
          <w:rFonts w:ascii="Times New Roman" w:hAnsi="Times New Roman" w:cs="Times New Roman"/>
          <w:sz w:val="24"/>
          <w:szCs w:val="24"/>
        </w:rPr>
        <w:t xml:space="preserve"> Sierra-Leone, Ivory Coast, Liberia, Nigeria and the Democratic Republic of Congo</w:t>
      </w:r>
      <w:r>
        <w:rPr>
          <w:rFonts w:ascii="Times New Roman" w:hAnsi="Times New Roman" w:cs="Times New Roman"/>
          <w:sz w:val="24"/>
          <w:szCs w:val="24"/>
        </w:rPr>
        <w:t>. They are prone to</w:t>
      </w:r>
      <w:r w:rsidRPr="00820348">
        <w:rPr>
          <w:rFonts w:ascii="Times New Roman" w:hAnsi="Times New Roman" w:cs="Times New Roman"/>
          <w:sz w:val="24"/>
          <w:szCs w:val="24"/>
        </w:rPr>
        <w:t xml:space="preserve"> insecurity, instability, corrupt political institutions and poverty. </w:t>
      </w:r>
      <w:r>
        <w:rPr>
          <w:rFonts w:ascii="Times New Roman" w:hAnsi="Times New Roman" w:cs="Times New Roman"/>
          <w:sz w:val="24"/>
          <w:szCs w:val="24"/>
        </w:rPr>
        <w:lastRenderedPageBreak/>
        <w:t>Moreover</w:t>
      </w:r>
      <w:r w:rsidRPr="00820348">
        <w:rPr>
          <w:rFonts w:ascii="Times New Roman" w:hAnsi="Times New Roman" w:cs="Times New Roman"/>
          <w:sz w:val="24"/>
          <w:szCs w:val="24"/>
        </w:rPr>
        <w:t xml:space="preserve">, these countries </w:t>
      </w:r>
      <w:r>
        <w:rPr>
          <w:rFonts w:ascii="Times New Roman" w:hAnsi="Times New Roman" w:cs="Times New Roman"/>
          <w:sz w:val="24"/>
          <w:szCs w:val="24"/>
        </w:rPr>
        <w:t xml:space="preserve">have not showed enough </w:t>
      </w:r>
      <w:r w:rsidRPr="00820348">
        <w:rPr>
          <w:rFonts w:ascii="Times New Roman" w:hAnsi="Times New Roman" w:cs="Times New Roman"/>
          <w:sz w:val="24"/>
          <w:szCs w:val="24"/>
        </w:rPr>
        <w:t xml:space="preserve">will to </w:t>
      </w:r>
      <w:r>
        <w:rPr>
          <w:rFonts w:ascii="Times New Roman" w:hAnsi="Times New Roman" w:cs="Times New Roman"/>
          <w:sz w:val="24"/>
          <w:szCs w:val="24"/>
        </w:rPr>
        <w:t>address many of the</w:t>
      </w:r>
      <w:r w:rsidRPr="00820348">
        <w:rPr>
          <w:rFonts w:ascii="Times New Roman" w:hAnsi="Times New Roman" w:cs="Times New Roman"/>
          <w:sz w:val="24"/>
          <w:szCs w:val="24"/>
        </w:rPr>
        <w:t xml:space="preserve"> ethnic conflict</w:t>
      </w:r>
      <w:r>
        <w:rPr>
          <w:rFonts w:ascii="Times New Roman" w:hAnsi="Times New Roman" w:cs="Times New Roman"/>
          <w:sz w:val="24"/>
          <w:szCs w:val="24"/>
        </w:rPr>
        <w:t xml:space="preserve">s been experienced in their communities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{"citationItems":[{"id":"ITEM-1","itemData":{"author":[{"dropping-particle":"","family":"Marshall","given":"Monty G","non-dropping-particle":"","parse-names":false,"suffix":""},{"dropping-particle":"","family":"Gurr","given":"Ted Robert","non-dropping-particle":"","parse-names":false,"suffix":""}],"id":"ITEM-1","issued":{"date-parts":[["2003"]]},"publisher":"Center for International Development and Conflict Management","title":"Peace and Conflict 2003: A global survey of armed conflicts, self-determination movements, and democracy","type":"book"},"uris":["http://www.mendeley.com/documents/?uuid=432375d5-50b0-404b-b734-5a646a7e7056"]}],"mendeley":{"formattedCitation":"(Marshall and Gurr, 2003)","plainTextFormattedCitation":"(Marshall and Gurr, 2003)","previouslyFormattedCitation":"(Marshall and Gurr, 2003)"},"properties":{"noteIndex":0},"schema":"https://github.com/citation-style-language/schema/raw/master/csl-citation.json"}</w:instrText>
      </w:r>
      <w:r>
        <w:rPr>
          <w:rFonts w:ascii="Times New Roman" w:hAnsi="Times New Roman" w:cs="Times New Roman"/>
          <w:sz w:val="24"/>
          <w:szCs w:val="24"/>
        </w:rPr>
        <w:fldChar w:fldCharType="separate"/>
      </w:r>
      <w:r w:rsidRPr="00271311">
        <w:rPr>
          <w:rFonts w:ascii="Times New Roman" w:hAnsi="Times New Roman" w:cs="Times New Roman"/>
          <w:noProof/>
          <w:sz w:val="24"/>
          <w:szCs w:val="24"/>
        </w:rPr>
        <w:t>(Marshall and Gurr, 2003)</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The conflicts in these countries are mostly among ethnic groups and </w:t>
      </w:r>
      <w:r>
        <w:rPr>
          <w:rFonts w:ascii="Times New Roman" w:hAnsi="Times New Roman" w:cs="Times New Roman"/>
          <w:sz w:val="24"/>
          <w:szCs w:val="24"/>
        </w:rPr>
        <w:t>they can be linked</w:t>
      </w:r>
      <w:r w:rsidRPr="00820348">
        <w:rPr>
          <w:rFonts w:ascii="Times New Roman" w:hAnsi="Times New Roman" w:cs="Times New Roman"/>
          <w:sz w:val="24"/>
          <w:szCs w:val="24"/>
        </w:rPr>
        <w:t xml:space="preserve"> to ineffective conflict management. </w:t>
      </w:r>
      <w:r>
        <w:rPr>
          <w:rFonts w:ascii="Times New Roman" w:hAnsi="Times New Roman" w:cs="Times New Roman"/>
          <w:sz w:val="24"/>
          <w:szCs w:val="24"/>
        </w:rPr>
        <w:t xml:space="preserve">According to </w:t>
      </w:r>
      <w:r w:rsidRPr="00820348">
        <w:rPr>
          <w:rFonts w:ascii="Times New Roman" w:hAnsi="Times New Roman" w:cs="Times New Roman"/>
          <w:sz w:val="24"/>
          <w:szCs w:val="24"/>
        </w:rPr>
        <w:t>Ted Gurr and Monty Marshall</w:t>
      </w:r>
      <w:r>
        <w:rPr>
          <w:rFonts w:ascii="Times New Roman" w:hAnsi="Times New Roman" w:cs="Times New Roman"/>
          <w:sz w:val="24"/>
          <w:szCs w:val="24"/>
        </w:rPr>
        <w:t xml:space="preserve">, </w:t>
      </w:r>
      <w:r w:rsidRPr="00820348">
        <w:rPr>
          <w:rFonts w:ascii="Times New Roman" w:hAnsi="Times New Roman" w:cs="Times New Roman"/>
          <w:sz w:val="24"/>
          <w:szCs w:val="24"/>
        </w:rPr>
        <w:t xml:space="preserve">many African conflicts </w:t>
      </w:r>
      <w:r>
        <w:rPr>
          <w:rFonts w:ascii="Times New Roman" w:hAnsi="Times New Roman" w:cs="Times New Roman"/>
          <w:sz w:val="24"/>
          <w:szCs w:val="24"/>
        </w:rPr>
        <w:t xml:space="preserve">can be associated with issues </w:t>
      </w:r>
      <w:r w:rsidRPr="00820348">
        <w:rPr>
          <w:rFonts w:ascii="Times New Roman" w:hAnsi="Times New Roman" w:cs="Times New Roman"/>
          <w:sz w:val="24"/>
          <w:szCs w:val="24"/>
        </w:rPr>
        <w:t>of poverty</w:t>
      </w:r>
      <w:r>
        <w:rPr>
          <w:rFonts w:ascii="Times New Roman" w:hAnsi="Times New Roman" w:cs="Times New Roman"/>
          <w:sz w:val="24"/>
          <w:szCs w:val="24"/>
        </w:rPr>
        <w:t>,</w:t>
      </w:r>
      <w:r w:rsidRPr="00820348">
        <w:rPr>
          <w:rFonts w:ascii="Times New Roman" w:hAnsi="Times New Roman" w:cs="Times New Roman"/>
          <w:sz w:val="24"/>
          <w:szCs w:val="24"/>
        </w:rPr>
        <w:t xml:space="preserve"> weak States and institutions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{"citationItems":[{"id":"ITEM-1","itemData":{"author":[{"dropping-particle":"","family":"Gurr","given":"Ted Robert","non-dropping-particle":"","parse-names":false,"suffix":""},{"dropping-particle":"","family":"Marshall","given":"Monty G","non-dropping-particle":"","parse-names":false,"suffix":""},{"dropping-particle":"","family":"Khosla","given":"Deepa","non-dropping-particle":"","parse-names":false,"suffix":""}],"container-title":"Center for International Development and Conflict Management, College Park, MD","id":"ITEM-1","issued":{"date-parts":[["2001"]]},"title":"Peace and conflict 2001","type":"article-journal"},"uris":["http://www.mendeley.com/documents/?uuid=4a5ccd34-d144-403c-966e-81cb5c662070"]}],"mendeley":{"formattedCitation":"(Gurr, Marshall and Khosla, 2001)","plainTextFormattedCitation":"(Gurr, Marshall and Khosla, 2001)","previouslyFormattedCitation":"(Gurr, Marshall and Khosla, 2001)"},"properties":{"noteIndex":0},"schema":"https://github.com/citation-style-language/schema/raw/master/csl-citation.json"}</w:instrText>
      </w:r>
      <w:r>
        <w:rPr>
          <w:rFonts w:ascii="Times New Roman" w:hAnsi="Times New Roman" w:cs="Times New Roman"/>
          <w:sz w:val="24"/>
          <w:szCs w:val="24"/>
        </w:rPr>
        <w:fldChar w:fldCharType="separate"/>
      </w:r>
      <w:r w:rsidRPr="00FD10BB">
        <w:rPr>
          <w:rFonts w:ascii="Times New Roman" w:hAnsi="Times New Roman" w:cs="Times New Roman"/>
          <w:noProof/>
          <w:sz w:val="24"/>
          <w:szCs w:val="24"/>
        </w:rPr>
        <w:t>(Gurr, Marshall and Khosla, 2001)</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w:t>
      </w:r>
      <w:r>
        <w:rPr>
          <w:rFonts w:ascii="Times New Roman" w:hAnsi="Times New Roman" w:cs="Times New Roman"/>
          <w:sz w:val="24"/>
          <w:szCs w:val="24"/>
        </w:rPr>
        <w:t xml:space="preserve">Among the </w:t>
      </w:r>
      <w:r w:rsidRPr="00820348">
        <w:rPr>
          <w:rFonts w:ascii="Times New Roman" w:hAnsi="Times New Roman" w:cs="Times New Roman"/>
          <w:sz w:val="24"/>
          <w:szCs w:val="24"/>
        </w:rPr>
        <w:t>demand</w:t>
      </w:r>
      <w:r>
        <w:rPr>
          <w:rFonts w:ascii="Times New Roman" w:hAnsi="Times New Roman" w:cs="Times New Roman"/>
          <w:sz w:val="24"/>
          <w:szCs w:val="24"/>
        </w:rPr>
        <w:t>s often found in these conflicts are</w:t>
      </w:r>
      <w:r w:rsidRPr="00820348">
        <w:rPr>
          <w:rFonts w:ascii="Times New Roman" w:hAnsi="Times New Roman" w:cs="Times New Roman"/>
          <w:sz w:val="24"/>
          <w:szCs w:val="24"/>
        </w:rPr>
        <w:t xml:space="preserve"> autonomy, land, money</w:t>
      </w:r>
      <w:r>
        <w:rPr>
          <w:rFonts w:ascii="Times New Roman" w:hAnsi="Times New Roman" w:cs="Times New Roman"/>
          <w:sz w:val="24"/>
          <w:szCs w:val="24"/>
        </w:rPr>
        <w:t>,</w:t>
      </w:r>
      <w:r w:rsidRPr="00820348">
        <w:rPr>
          <w:rFonts w:ascii="Times New Roman" w:hAnsi="Times New Roman" w:cs="Times New Roman"/>
          <w:sz w:val="24"/>
          <w:szCs w:val="24"/>
        </w:rPr>
        <w:t xml:space="preserve"> and power. Furthermore, Michael Edward Brown </w:t>
      </w:r>
      <w:r>
        <w:rPr>
          <w:rFonts w:ascii="Times New Roman" w:hAnsi="Times New Roman" w:cs="Times New Roman"/>
          <w:sz w:val="24"/>
          <w:szCs w:val="24"/>
        </w:rPr>
        <w:t>notes that to</w:t>
      </w:r>
      <w:r w:rsidRPr="00820348">
        <w:rPr>
          <w:rFonts w:ascii="Times New Roman" w:hAnsi="Times New Roman" w:cs="Times New Roman"/>
          <w:sz w:val="24"/>
          <w:szCs w:val="24"/>
        </w:rPr>
        <w:t xml:space="preserve"> distinguish between underlying causes and proximate causes</w:t>
      </w:r>
      <w:r>
        <w:rPr>
          <w:rFonts w:ascii="Times New Roman" w:hAnsi="Times New Roman" w:cs="Times New Roman"/>
          <w:sz w:val="24"/>
          <w:szCs w:val="24"/>
        </w:rPr>
        <w:t xml:space="preserve"> of many conflicts one has to take into consideration a number of factors such as </w:t>
      </w:r>
      <w:r w:rsidRPr="00820348">
        <w:rPr>
          <w:rFonts w:ascii="Times New Roman" w:hAnsi="Times New Roman" w:cs="Times New Roman"/>
          <w:sz w:val="24"/>
          <w:szCs w:val="24"/>
        </w:rPr>
        <w:t>structural, political, economic</w:t>
      </w:r>
      <w:r>
        <w:rPr>
          <w:rFonts w:ascii="Times New Roman" w:hAnsi="Times New Roman" w:cs="Times New Roman"/>
          <w:sz w:val="24"/>
          <w:szCs w:val="24"/>
        </w:rPr>
        <w:t xml:space="preserve">, </w:t>
      </w:r>
      <w:r w:rsidRPr="00820348">
        <w:rPr>
          <w:rFonts w:ascii="Times New Roman" w:hAnsi="Times New Roman" w:cs="Times New Roman"/>
          <w:sz w:val="24"/>
          <w:szCs w:val="24"/>
        </w:rPr>
        <w:t>social, cultural and perceptual.</w:t>
      </w:r>
      <w:r>
        <w:rPr>
          <w:rFonts w:ascii="Times New Roman" w:hAnsi="Times New Roman" w:cs="Times New Roman"/>
          <w:sz w:val="24"/>
          <w:szCs w:val="24"/>
        </w:rPr>
        <w:t xml:space="preserve"> In terms of</w:t>
      </w:r>
      <w:r w:rsidRPr="00820348">
        <w:rPr>
          <w:rFonts w:ascii="Times New Roman" w:hAnsi="Times New Roman" w:cs="Times New Roman"/>
          <w:sz w:val="24"/>
          <w:szCs w:val="24"/>
        </w:rPr>
        <w:t xml:space="preserve"> </w:t>
      </w:r>
      <w:r>
        <w:rPr>
          <w:rFonts w:ascii="Times New Roman" w:hAnsi="Times New Roman" w:cs="Times New Roman"/>
          <w:sz w:val="24"/>
          <w:szCs w:val="24"/>
        </w:rPr>
        <w:t>p</w:t>
      </w:r>
      <w:r w:rsidRPr="00820348">
        <w:rPr>
          <w:rFonts w:ascii="Times New Roman" w:hAnsi="Times New Roman" w:cs="Times New Roman"/>
          <w:sz w:val="24"/>
          <w:szCs w:val="24"/>
        </w:rPr>
        <w:t xml:space="preserve">roximate causes </w:t>
      </w:r>
      <w:r>
        <w:rPr>
          <w:rFonts w:ascii="Times New Roman" w:hAnsi="Times New Roman" w:cs="Times New Roman"/>
          <w:sz w:val="24"/>
          <w:szCs w:val="24"/>
        </w:rPr>
        <w:t>there are</w:t>
      </w:r>
      <w:r w:rsidRPr="00820348">
        <w:rPr>
          <w:rFonts w:ascii="Times New Roman" w:hAnsi="Times New Roman" w:cs="Times New Roman"/>
          <w:sz w:val="24"/>
          <w:szCs w:val="24"/>
        </w:rPr>
        <w:t xml:space="preserve"> four </w:t>
      </w:r>
      <w:r>
        <w:rPr>
          <w:rFonts w:ascii="Times New Roman" w:hAnsi="Times New Roman" w:cs="Times New Roman"/>
          <w:sz w:val="24"/>
          <w:szCs w:val="24"/>
        </w:rPr>
        <w:t>things that</w:t>
      </w:r>
      <w:r w:rsidRPr="00820348">
        <w:rPr>
          <w:rFonts w:ascii="Times New Roman" w:hAnsi="Times New Roman" w:cs="Times New Roman"/>
          <w:sz w:val="24"/>
          <w:szCs w:val="24"/>
        </w:rPr>
        <w:t xml:space="preserve"> trigger</w:t>
      </w:r>
      <w:r>
        <w:rPr>
          <w:rFonts w:ascii="Times New Roman" w:hAnsi="Times New Roman" w:cs="Times New Roman"/>
          <w:sz w:val="24"/>
          <w:szCs w:val="24"/>
        </w:rPr>
        <w:t xml:space="preserve"> </w:t>
      </w:r>
      <w:r w:rsidRPr="00820348">
        <w:rPr>
          <w:rFonts w:ascii="Times New Roman" w:hAnsi="Times New Roman" w:cs="Times New Roman"/>
          <w:sz w:val="24"/>
          <w:szCs w:val="24"/>
        </w:rPr>
        <w:t>conflict</w:t>
      </w:r>
      <w:r>
        <w:rPr>
          <w:rFonts w:ascii="Times New Roman" w:hAnsi="Times New Roman" w:cs="Times New Roman"/>
          <w:sz w:val="24"/>
          <w:szCs w:val="24"/>
        </w:rPr>
        <w:t>s</w:t>
      </w:r>
      <w:r w:rsidRPr="00820348">
        <w:rPr>
          <w:rFonts w:ascii="Times New Roman" w:hAnsi="Times New Roman" w:cs="Times New Roman"/>
          <w:sz w:val="24"/>
          <w:szCs w:val="24"/>
        </w:rPr>
        <w:t>: internal mass-level factors (bad domestic problems), external mass-level factors (bad neighbo</w:t>
      </w:r>
      <w:r>
        <w:rPr>
          <w:rFonts w:ascii="Times New Roman" w:hAnsi="Times New Roman" w:cs="Times New Roman"/>
          <w:sz w:val="24"/>
          <w:szCs w:val="24"/>
        </w:rPr>
        <w:t>u</w:t>
      </w:r>
      <w:r w:rsidRPr="00820348">
        <w:rPr>
          <w:rFonts w:ascii="Times New Roman" w:hAnsi="Times New Roman" w:cs="Times New Roman"/>
          <w:sz w:val="24"/>
          <w:szCs w:val="24"/>
        </w:rPr>
        <w:t>rhoods), external elite-level factors (bad neighbo</w:t>
      </w:r>
      <w:r>
        <w:rPr>
          <w:rFonts w:ascii="Times New Roman" w:hAnsi="Times New Roman" w:cs="Times New Roman"/>
          <w:sz w:val="24"/>
          <w:szCs w:val="24"/>
        </w:rPr>
        <w:t>u</w:t>
      </w:r>
      <w:r w:rsidRPr="00820348">
        <w:rPr>
          <w:rFonts w:ascii="Times New Roman" w:hAnsi="Times New Roman" w:cs="Times New Roman"/>
          <w:sz w:val="24"/>
          <w:szCs w:val="24"/>
        </w:rPr>
        <w:t xml:space="preserve">rs), and internal elite-level factors (bad leaders). </w:t>
      </w:r>
      <w:r>
        <w:rPr>
          <w:rFonts w:ascii="Times New Roman" w:hAnsi="Times New Roman" w:cs="Times New Roman"/>
          <w:sz w:val="24"/>
          <w:szCs w:val="24"/>
        </w:rPr>
        <w:t>All these causes are mostly found in all</w:t>
      </w:r>
      <w:r w:rsidRPr="00820348">
        <w:rPr>
          <w:rFonts w:ascii="Times New Roman" w:hAnsi="Times New Roman" w:cs="Times New Roman"/>
          <w:sz w:val="24"/>
          <w:szCs w:val="24"/>
        </w:rPr>
        <w:t xml:space="preserve"> ethnic conflict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{"citationItems":[{"id":"ITEM-1","itemData":{"ISBN":"0262522098","author":[{"dropping-particle":"","family":"Brown","given":"Michael Edward","non-dropping-particle":"","parse-names":false,"suffix":""}],"id":"ITEM-1","issue":"10","issued":{"date-parts":[["1996"]]},"publisher":"Mit Press","title":"The international dimensions of internal conflict","type":"book"},"uris":["http://www.mendeley.com/documents/?uuid=c994860a-1092-4125-bdcd-1dabe23b703c"]}],"mendeley":{"formattedCitation":"(Brown, 1996)","plainTextFormattedCitation":"(Brown, 1996)","previouslyFormattedCitation":"(Brown, 1996)"},"properties":{"noteIndex":0},"schema":"https://github.com/citation-style-language/schema/raw/master/csl-citation.json"}</w:instrText>
      </w:r>
      <w:r>
        <w:rPr>
          <w:rFonts w:ascii="Times New Roman" w:hAnsi="Times New Roman" w:cs="Times New Roman"/>
          <w:sz w:val="24"/>
          <w:szCs w:val="24"/>
        </w:rPr>
        <w:fldChar w:fldCharType="separate"/>
      </w:r>
      <w:r w:rsidRPr="00D25E53">
        <w:rPr>
          <w:rFonts w:ascii="Times New Roman" w:hAnsi="Times New Roman" w:cs="Times New Roman"/>
          <w:noProof/>
          <w:sz w:val="24"/>
          <w:szCs w:val="24"/>
        </w:rPr>
        <w:t>(Brown, 1996)</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w:t>
      </w:r>
    </w:p>
    <w:p w:rsidR="004F297E" w:rsidRPr="00820348" w:rsidRDefault="004F297E" w:rsidP="004F29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Hence, it can be deduced that many e</w:t>
      </w:r>
      <w:r w:rsidRPr="00820348">
        <w:rPr>
          <w:rFonts w:ascii="Times New Roman" w:hAnsi="Times New Roman" w:cs="Times New Roman"/>
          <w:sz w:val="24"/>
          <w:szCs w:val="24"/>
        </w:rPr>
        <w:t xml:space="preserve">thnic conflicts are </w:t>
      </w:r>
      <w:r>
        <w:rPr>
          <w:rFonts w:ascii="Times New Roman" w:hAnsi="Times New Roman" w:cs="Times New Roman"/>
          <w:sz w:val="24"/>
          <w:szCs w:val="24"/>
        </w:rPr>
        <w:t xml:space="preserve">associated with </w:t>
      </w:r>
      <w:r w:rsidRPr="00820348">
        <w:rPr>
          <w:rFonts w:ascii="Times New Roman" w:hAnsi="Times New Roman" w:cs="Times New Roman"/>
          <w:sz w:val="24"/>
          <w:szCs w:val="24"/>
        </w:rPr>
        <w:t xml:space="preserve">power </w:t>
      </w:r>
      <w:r>
        <w:rPr>
          <w:rFonts w:ascii="Times New Roman" w:hAnsi="Times New Roman" w:cs="Times New Roman"/>
          <w:sz w:val="24"/>
          <w:szCs w:val="24"/>
        </w:rPr>
        <w:t>and</w:t>
      </w:r>
      <w:r w:rsidRPr="00820348">
        <w:rPr>
          <w:rFonts w:ascii="Times New Roman" w:hAnsi="Times New Roman" w:cs="Times New Roman"/>
          <w:sz w:val="24"/>
          <w:szCs w:val="24"/>
        </w:rPr>
        <w:t xml:space="preserve"> resources.  Etefa</w:t>
      </w:r>
      <w:r>
        <w:rPr>
          <w:rFonts w:ascii="Times New Roman" w:hAnsi="Times New Roman" w:cs="Times New Roman"/>
          <w:sz w:val="24"/>
          <w:szCs w:val="24"/>
        </w:rPr>
        <w:t xml:space="preserve"> citing </w:t>
      </w:r>
      <w:r w:rsidRPr="00820348">
        <w:rPr>
          <w:rFonts w:ascii="Times New Roman" w:hAnsi="Times New Roman" w:cs="Times New Roman"/>
          <w:sz w:val="24"/>
          <w:szCs w:val="24"/>
        </w:rPr>
        <w:t xml:space="preserve">Anthony D. Smith </w:t>
      </w:r>
      <w:r>
        <w:rPr>
          <w:rFonts w:ascii="Times New Roman" w:hAnsi="Times New Roman" w:cs="Times New Roman"/>
          <w:sz w:val="24"/>
          <w:szCs w:val="24"/>
        </w:rPr>
        <w:t>not</w:t>
      </w:r>
      <w:r w:rsidRPr="00820348">
        <w:rPr>
          <w:rFonts w:ascii="Times New Roman" w:hAnsi="Times New Roman" w:cs="Times New Roman"/>
          <w:sz w:val="24"/>
          <w:szCs w:val="24"/>
        </w:rPr>
        <w:t xml:space="preserve">ed </w:t>
      </w:r>
      <w:r>
        <w:rPr>
          <w:rFonts w:ascii="Times New Roman" w:hAnsi="Times New Roman" w:cs="Times New Roman"/>
          <w:sz w:val="24"/>
          <w:szCs w:val="24"/>
        </w:rPr>
        <w:t xml:space="preserve">that </w:t>
      </w:r>
      <w:r w:rsidRPr="00820348">
        <w:rPr>
          <w:rFonts w:ascii="Times New Roman" w:hAnsi="Times New Roman" w:cs="Times New Roman"/>
          <w:sz w:val="24"/>
          <w:szCs w:val="24"/>
        </w:rPr>
        <w:t xml:space="preserve">ethnic criteria </w:t>
      </w:r>
      <w:r>
        <w:rPr>
          <w:rFonts w:ascii="Times New Roman" w:hAnsi="Times New Roman" w:cs="Times New Roman"/>
          <w:sz w:val="24"/>
          <w:szCs w:val="24"/>
        </w:rPr>
        <w:t>are linked to</w:t>
      </w:r>
      <w:r w:rsidRPr="00820348">
        <w:rPr>
          <w:rFonts w:ascii="Times New Roman" w:hAnsi="Times New Roman" w:cs="Times New Roman"/>
          <w:sz w:val="24"/>
          <w:szCs w:val="24"/>
        </w:rPr>
        <w:t xml:space="preserve"> the origins of communal identity</w:t>
      </w:r>
      <w:r>
        <w:rPr>
          <w:rFonts w:ascii="Times New Roman" w:hAnsi="Times New Roman" w:cs="Times New Roman"/>
          <w:sz w:val="24"/>
          <w:szCs w:val="24"/>
        </w:rPr>
        <w:t xml:space="preserve"> and c</w:t>
      </w:r>
      <w:r w:rsidRPr="00820348">
        <w:rPr>
          <w:rFonts w:ascii="Times New Roman" w:hAnsi="Times New Roman" w:cs="Times New Roman"/>
          <w:sz w:val="24"/>
          <w:szCs w:val="24"/>
        </w:rPr>
        <w:t xml:space="preserve">ommunal identity </w:t>
      </w:r>
      <w:r>
        <w:rPr>
          <w:rFonts w:ascii="Times New Roman" w:hAnsi="Times New Roman" w:cs="Times New Roman"/>
          <w:sz w:val="24"/>
          <w:szCs w:val="24"/>
        </w:rPr>
        <w:t>re</w:t>
      </w:r>
      <w:r w:rsidRPr="00820348">
        <w:rPr>
          <w:rFonts w:ascii="Times New Roman" w:hAnsi="Times New Roman" w:cs="Times New Roman"/>
          <w:sz w:val="24"/>
          <w:szCs w:val="24"/>
        </w:rPr>
        <w:t xml:space="preserve">volves </w:t>
      </w:r>
      <w:r>
        <w:rPr>
          <w:rFonts w:ascii="Times New Roman" w:hAnsi="Times New Roman" w:cs="Times New Roman"/>
          <w:sz w:val="24"/>
          <w:szCs w:val="24"/>
        </w:rPr>
        <w:t xml:space="preserve">around </w:t>
      </w:r>
      <w:r w:rsidRPr="00820348">
        <w:rPr>
          <w:rFonts w:ascii="Times New Roman" w:hAnsi="Times New Roman" w:cs="Times New Roman"/>
          <w:sz w:val="24"/>
          <w:szCs w:val="24"/>
        </w:rPr>
        <w:t>experiences</w:t>
      </w:r>
      <w:r>
        <w:rPr>
          <w:rFonts w:ascii="Times New Roman" w:hAnsi="Times New Roman" w:cs="Times New Roman"/>
          <w:sz w:val="24"/>
          <w:szCs w:val="24"/>
        </w:rPr>
        <w:t>,</w:t>
      </w:r>
      <w:r w:rsidRPr="00820348">
        <w:rPr>
          <w:rFonts w:ascii="Times New Roman" w:hAnsi="Times New Roman" w:cs="Times New Roman"/>
          <w:sz w:val="24"/>
          <w:szCs w:val="24"/>
        </w:rPr>
        <w:t xml:space="preserve"> memories, culture, and territory or homeland, </w:t>
      </w:r>
      <w:r>
        <w:rPr>
          <w:rFonts w:ascii="Times New Roman" w:hAnsi="Times New Roman" w:cs="Times New Roman"/>
          <w:sz w:val="24"/>
          <w:szCs w:val="24"/>
        </w:rPr>
        <w:t>either inhabited</w:t>
      </w:r>
      <w:r w:rsidRPr="00820348">
        <w:rPr>
          <w:rFonts w:ascii="Times New Roman" w:hAnsi="Times New Roman" w:cs="Times New Roman"/>
          <w:sz w:val="24"/>
          <w:szCs w:val="24"/>
        </w:rPr>
        <w:t xml:space="preserve"> or </w:t>
      </w:r>
      <w:r>
        <w:rPr>
          <w:rFonts w:ascii="Times New Roman" w:hAnsi="Times New Roman" w:cs="Times New Roman"/>
          <w:sz w:val="24"/>
          <w:szCs w:val="24"/>
        </w:rPr>
        <w:t>un</w:t>
      </w:r>
      <w:r w:rsidRPr="00820348">
        <w:rPr>
          <w:rFonts w:ascii="Times New Roman" w:hAnsi="Times New Roman" w:cs="Times New Roman"/>
          <w:sz w:val="24"/>
          <w:szCs w:val="24"/>
        </w:rPr>
        <w:t>inhabit</w:t>
      </w:r>
      <w:r>
        <w:rPr>
          <w:rFonts w:ascii="Times New Roman" w:hAnsi="Times New Roman" w:cs="Times New Roman"/>
          <w:sz w:val="24"/>
          <w:szCs w:val="24"/>
        </w:rPr>
        <w:t>ed</w:t>
      </w:r>
      <w:r w:rsidRPr="00820348">
        <w:rPr>
          <w:rFonts w:ascii="Times New Roman" w:hAnsi="Times New Roman" w:cs="Times New Roman"/>
          <w:sz w:val="24"/>
          <w:szCs w:val="24"/>
        </w:rPr>
        <w:t xml:space="preserve">. Etefa submitted that fundamentals of shared culture include language, religion, laws, customs, institutions, dress, music, and food. </w:t>
      </w:r>
      <w:r>
        <w:rPr>
          <w:rFonts w:ascii="Times New Roman" w:hAnsi="Times New Roman" w:cs="Times New Roman"/>
          <w:sz w:val="24"/>
          <w:szCs w:val="24"/>
        </w:rPr>
        <w:t>In addition, most e</w:t>
      </w:r>
      <w:r w:rsidRPr="00820348">
        <w:rPr>
          <w:rFonts w:ascii="Times New Roman" w:hAnsi="Times New Roman" w:cs="Times New Roman"/>
          <w:sz w:val="24"/>
          <w:szCs w:val="24"/>
        </w:rPr>
        <w:t xml:space="preserve">thnic groups </w:t>
      </w:r>
      <w:r>
        <w:rPr>
          <w:rFonts w:ascii="Times New Roman" w:hAnsi="Times New Roman" w:cs="Times New Roman"/>
          <w:sz w:val="24"/>
          <w:szCs w:val="24"/>
        </w:rPr>
        <w:t xml:space="preserve">display their </w:t>
      </w:r>
      <w:r w:rsidRPr="00820348">
        <w:rPr>
          <w:rFonts w:ascii="Times New Roman" w:hAnsi="Times New Roman" w:cs="Times New Roman"/>
          <w:sz w:val="24"/>
          <w:szCs w:val="24"/>
        </w:rPr>
        <w:t>camaraderie and self-awareness</w:t>
      </w:r>
      <w:r>
        <w:rPr>
          <w:rFonts w:ascii="Times New Roman" w:hAnsi="Times New Roman" w:cs="Times New Roman"/>
          <w:sz w:val="24"/>
          <w:szCs w:val="24"/>
        </w:rPr>
        <w:t xml:space="preserve"> even in their </w:t>
      </w:r>
      <w:r w:rsidRPr="00820348">
        <w:rPr>
          <w:rFonts w:ascii="Times New Roman" w:hAnsi="Times New Roman" w:cs="Times New Roman"/>
          <w:sz w:val="24"/>
          <w:szCs w:val="24"/>
        </w:rPr>
        <w:t>name</w:t>
      </w:r>
      <w:r>
        <w:rPr>
          <w:rFonts w:ascii="Times New Roman" w:hAnsi="Times New Roman" w:cs="Times New Roman"/>
          <w:sz w:val="24"/>
          <w:szCs w:val="24"/>
        </w:rPr>
        <w:t>s</w:t>
      </w:r>
      <w:r w:rsidRPr="00820348">
        <w:rPr>
          <w:rFonts w:ascii="Times New Roman" w:hAnsi="Times New Roman" w:cs="Times New Roman"/>
          <w:sz w:val="24"/>
          <w:szCs w:val="24"/>
        </w:rPr>
        <w:t xml:space="preserve">.  According to this author, identity </w:t>
      </w:r>
      <w:r>
        <w:rPr>
          <w:rFonts w:ascii="Times New Roman" w:hAnsi="Times New Roman" w:cs="Times New Roman"/>
          <w:sz w:val="24"/>
          <w:szCs w:val="24"/>
        </w:rPr>
        <w:t>can be seen through</w:t>
      </w:r>
      <w:r w:rsidRPr="00820348">
        <w:rPr>
          <w:rFonts w:ascii="Times New Roman" w:hAnsi="Times New Roman" w:cs="Times New Roman"/>
          <w:sz w:val="24"/>
          <w:szCs w:val="24"/>
        </w:rPr>
        <w:t xml:space="preserve"> concrete and insubstantial </w:t>
      </w:r>
      <w:r>
        <w:rPr>
          <w:rFonts w:ascii="Times New Roman" w:hAnsi="Times New Roman" w:cs="Times New Roman"/>
          <w:sz w:val="24"/>
          <w:szCs w:val="24"/>
        </w:rPr>
        <w:t>element</w:t>
      </w:r>
      <w:r w:rsidRPr="00820348">
        <w:rPr>
          <w:rFonts w:ascii="Times New Roman" w:hAnsi="Times New Roman" w:cs="Times New Roman"/>
          <w:sz w:val="24"/>
          <w:szCs w:val="24"/>
        </w:rPr>
        <w:t>s. Concrete characteristics</w:t>
      </w:r>
      <w:r>
        <w:rPr>
          <w:rFonts w:ascii="Times New Roman" w:hAnsi="Times New Roman" w:cs="Times New Roman"/>
          <w:sz w:val="24"/>
          <w:szCs w:val="24"/>
        </w:rPr>
        <w:t xml:space="preserve"> are shown in</w:t>
      </w:r>
      <w:r w:rsidRPr="00820348">
        <w:rPr>
          <w:rFonts w:ascii="Times New Roman" w:hAnsi="Times New Roman" w:cs="Times New Roman"/>
          <w:sz w:val="24"/>
          <w:szCs w:val="24"/>
        </w:rPr>
        <w:t xml:space="preserve"> culture </w:t>
      </w:r>
      <w:r>
        <w:rPr>
          <w:rFonts w:ascii="Times New Roman" w:hAnsi="Times New Roman" w:cs="Times New Roman"/>
          <w:sz w:val="24"/>
          <w:szCs w:val="24"/>
        </w:rPr>
        <w:t>and</w:t>
      </w:r>
      <w:r w:rsidRPr="00820348">
        <w:rPr>
          <w:rFonts w:ascii="Times New Roman" w:hAnsi="Times New Roman" w:cs="Times New Roman"/>
          <w:sz w:val="24"/>
          <w:szCs w:val="24"/>
        </w:rPr>
        <w:t xml:space="preserve"> physical traits</w:t>
      </w:r>
      <w:r>
        <w:rPr>
          <w:rFonts w:ascii="Times New Roman" w:hAnsi="Times New Roman" w:cs="Times New Roman"/>
          <w:sz w:val="24"/>
          <w:szCs w:val="24"/>
        </w:rPr>
        <w:t xml:space="preserve"> with both </w:t>
      </w:r>
      <w:r w:rsidRPr="00820348">
        <w:rPr>
          <w:rFonts w:ascii="Times New Roman" w:hAnsi="Times New Roman" w:cs="Times New Roman"/>
          <w:sz w:val="24"/>
          <w:szCs w:val="24"/>
        </w:rPr>
        <w:t>contribut</w:t>
      </w:r>
      <w:r>
        <w:rPr>
          <w:rFonts w:ascii="Times New Roman" w:hAnsi="Times New Roman" w:cs="Times New Roman"/>
          <w:sz w:val="24"/>
          <w:szCs w:val="24"/>
        </w:rPr>
        <w:t>ing</w:t>
      </w:r>
      <w:r w:rsidRPr="00820348">
        <w:rPr>
          <w:rFonts w:ascii="Times New Roman" w:hAnsi="Times New Roman" w:cs="Times New Roman"/>
          <w:sz w:val="24"/>
          <w:szCs w:val="24"/>
        </w:rPr>
        <w:t xml:space="preserve"> to the group’s feeling of identity, solidarity, and uniqueness; while insubstantial ethnicity is based on values</w:t>
      </w:r>
      <w:r>
        <w:rPr>
          <w:rFonts w:ascii="Times New Roman" w:hAnsi="Times New Roman" w:cs="Times New Roman"/>
          <w:sz w:val="24"/>
          <w:szCs w:val="24"/>
        </w:rPr>
        <w:t xml:space="preserve"> in terms of</w:t>
      </w:r>
      <w:r w:rsidRPr="00820348">
        <w:rPr>
          <w:rFonts w:ascii="Times New Roman" w:hAnsi="Times New Roman" w:cs="Times New Roman"/>
          <w:sz w:val="24"/>
          <w:szCs w:val="24"/>
        </w:rPr>
        <w:t xml:space="preserve"> believe</w:t>
      </w:r>
      <w:r>
        <w:rPr>
          <w:rFonts w:ascii="Times New Roman" w:hAnsi="Times New Roman" w:cs="Times New Roman"/>
          <w:sz w:val="24"/>
          <w:szCs w:val="24"/>
        </w:rPr>
        <w:t xml:space="preserve"> </w:t>
      </w:r>
      <w:r w:rsidRPr="00820348">
        <w:rPr>
          <w:rFonts w:ascii="Times New Roman" w:hAnsi="Times New Roman" w:cs="Times New Roman"/>
          <w:sz w:val="24"/>
          <w:szCs w:val="24"/>
        </w:rPr>
        <w:t xml:space="preserve">or are made to believe, </w:t>
      </w:r>
      <w:r>
        <w:rPr>
          <w:rFonts w:ascii="Times New Roman" w:hAnsi="Times New Roman" w:cs="Times New Roman"/>
          <w:sz w:val="24"/>
          <w:szCs w:val="24"/>
        </w:rPr>
        <w:t>which serves as a rallying point for all the</w:t>
      </w:r>
      <w:r w:rsidRPr="00820348">
        <w:rPr>
          <w:rFonts w:ascii="Times New Roman" w:hAnsi="Times New Roman" w:cs="Times New Roman"/>
          <w:sz w:val="24"/>
          <w:szCs w:val="24"/>
        </w:rPr>
        <w:t xml:space="preserve"> members of that </w:t>
      </w:r>
      <w:r>
        <w:rPr>
          <w:rFonts w:ascii="Times New Roman" w:hAnsi="Times New Roman" w:cs="Times New Roman"/>
          <w:sz w:val="24"/>
          <w:szCs w:val="24"/>
        </w:rPr>
        <w:t xml:space="preserve">community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{"citationItems":[{"id":"ITEM-1","itemData":{"author":[{"dropping-particle":"","family":"Etefa","given":"Tsega","non-dropping-particle":"","parse-names":false,"suffix":""}],"container-title":"The Origins of Ethnic Conflict in Africa","id":"ITEM-1","issued":{"date-parts":[["2019"]]},"page":"1-27","publisher":"Springer","title":"Ethnicity as a Tool: The Root Causes of Ethnic Conflict in Africa—A Critical Introduction","type":"chapter"},"uris":["http://www.mendeley.com/documents/?uuid=47f7ece4-cc9c-4d09-967f-e852dc01c732"]}],"mendeley":{"formattedCitation":"(Etefa, 2019)","plainTextFormattedCitation":"(Etefa, 2019)","previouslyFormattedCitation":"(Etefa, 2019)"},"properties":{"noteIndex":0},"schema":"https://github.com/citation-style-language/schema/raw/master/csl-citation.json"}</w:instrText>
      </w:r>
      <w:r>
        <w:rPr>
          <w:rFonts w:ascii="Times New Roman" w:hAnsi="Times New Roman" w:cs="Times New Roman"/>
          <w:sz w:val="24"/>
          <w:szCs w:val="24"/>
        </w:rPr>
        <w:fldChar w:fldCharType="separate"/>
      </w:r>
      <w:r w:rsidRPr="00853CA8">
        <w:rPr>
          <w:rFonts w:ascii="Times New Roman" w:hAnsi="Times New Roman" w:cs="Times New Roman"/>
          <w:noProof/>
          <w:sz w:val="24"/>
          <w:szCs w:val="24"/>
        </w:rPr>
        <w:t>(Etefa, 2019)</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lastRenderedPageBreak/>
        <w:t>The Share and Tsaragi communities in Kwara State, Nigeria had lived together peacefully as neighbours for almost two centuries before the boundary issues started to escalate into violent conflicts attended with blood bathes. Reasons for this could be inferred from available records and data gotten during this research to include:</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a.</w:t>
      </w:r>
      <w:r w:rsidRPr="00820348">
        <w:rPr>
          <w:rFonts w:ascii="Times New Roman" w:hAnsi="Times New Roman" w:cs="Times New Roman"/>
          <w:sz w:val="24"/>
          <w:szCs w:val="24"/>
        </w:rPr>
        <w:tab/>
        <w:t>Communal Clashes (Land and Boundary Issues)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Nigeria’s Strategic Conflict Assessment (SCA) Report identified the bone of contention for the </w:t>
      </w:r>
      <w:r>
        <w:rPr>
          <w:rFonts w:ascii="Times New Roman" w:hAnsi="Times New Roman" w:cs="Times New Roman"/>
          <w:sz w:val="24"/>
          <w:szCs w:val="24"/>
        </w:rPr>
        <w:t>incessant clash</w:t>
      </w:r>
      <w:r w:rsidRPr="00820348">
        <w:rPr>
          <w:rFonts w:ascii="Times New Roman" w:hAnsi="Times New Roman" w:cs="Times New Roman"/>
          <w:sz w:val="24"/>
          <w:szCs w:val="24"/>
        </w:rPr>
        <w:t xml:space="preserve"> between the two communities as: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w:t>
      </w:r>
      <w:r w:rsidRPr="00820348">
        <w:rPr>
          <w:rFonts w:ascii="Times New Roman" w:hAnsi="Times New Roman" w:cs="Times New Roman"/>
          <w:sz w:val="24"/>
          <w:szCs w:val="24"/>
        </w:rPr>
        <w:tab/>
        <w:t xml:space="preserve">a piece of farmland covering over 200 hectares, called Fiangiawa/Fejewe of which both communities claim ownership.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ii.</w:t>
      </w:r>
      <w:r w:rsidRPr="00820348">
        <w:rPr>
          <w:rFonts w:ascii="Times New Roman" w:hAnsi="Times New Roman" w:cs="Times New Roman"/>
          <w:sz w:val="24"/>
          <w:szCs w:val="24"/>
        </w:rPr>
        <w:tab/>
        <w:t xml:space="preserve">the creation of Ifelodun Local Government Area in 1976, with headquarters in Share (a Yoruba community), which has reportedly been misconstrued by the Tsaragi community (Nupe people) as an attempt by the government to validate the former as the landlords.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b.</w:t>
      </w:r>
      <w:r w:rsidRPr="00820348">
        <w:rPr>
          <w:rFonts w:ascii="Times New Roman" w:hAnsi="Times New Roman" w:cs="Times New Roman"/>
          <w:sz w:val="24"/>
          <w:szCs w:val="24"/>
        </w:rPr>
        <w:tab/>
        <w:t>Non-Implementation of Government White Paper</w:t>
      </w:r>
    </w:p>
    <w:p w:rsidR="004F297E" w:rsidRDefault="004F297E" w:rsidP="004F29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{"citationItems":[{"id":"ITEM-1","itemData":{"author":[{"dropping-particle":"","family":"Alao","given":"David Oladimeji","non-dropping-particle":"","parse-names":false,"suffix":""}],"container-title":"IOSR Journal of Economics and Finance","id":"ITEM-1","issue":"5","issued":{"date-parts":[["2014"]]},"page":"8-15","title":"Interrogating Concession, Trust and Forgiveness in Saare/Tsaragi, Peace Building, Nigeria: Implication for Conflict Management in Africa.","type":"article-journal","volume":"5"},"uris":["http://www.mendeley.com/documents/?uuid=1022c3ba-4933-4d2f-b283-9f361da795ba"]}],"mendeley":{"formattedCitation":"(Alao, 2014)","manualFormatting":"Alao (2014)","plainTextFormattedCitation":"(Alao, 2014)","previouslyFormattedCitation":"(Alao, 2014)"},"properties":{"noteIndex":0},"schema":"https://github.com/citation-style-language/schema/raw/master/csl-citation.json"}</w:instrText>
      </w:r>
      <w:r>
        <w:rPr>
          <w:rFonts w:ascii="Times New Roman" w:hAnsi="Times New Roman" w:cs="Times New Roman"/>
          <w:sz w:val="24"/>
          <w:szCs w:val="24"/>
        </w:rPr>
        <w:fldChar w:fldCharType="separate"/>
      </w:r>
      <w:r w:rsidRPr="00F44311">
        <w:rPr>
          <w:rFonts w:ascii="Times New Roman" w:hAnsi="Times New Roman" w:cs="Times New Roman"/>
          <w:noProof/>
          <w:sz w:val="24"/>
          <w:szCs w:val="24"/>
        </w:rPr>
        <w:t xml:space="preserve">Alao </w:t>
      </w:r>
      <w:r>
        <w:rPr>
          <w:rFonts w:ascii="Times New Roman" w:hAnsi="Times New Roman" w:cs="Times New Roman"/>
          <w:noProof/>
          <w:sz w:val="24"/>
          <w:szCs w:val="24"/>
        </w:rPr>
        <w:t>(</w:t>
      </w:r>
      <w:r w:rsidRPr="00F44311">
        <w:rPr>
          <w:rFonts w:ascii="Times New Roman" w:hAnsi="Times New Roman" w:cs="Times New Roman"/>
          <w:noProof/>
          <w:sz w:val="24"/>
          <w:szCs w:val="24"/>
        </w:rPr>
        <w:t>2014)</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had indicted government as lacking the political will to solve the Share and Tsaragi conflict. He argued that the non-implementation of white papers in many conflicts in the past is responsible for the recurrence of ethno-religious crisis in the state.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c. Proliferation of Ethnic Militias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In his own reaction to members of the Commission of Enquiry probing the December 19, 2015 Share-Tsaragi inter-ethnic communal crisis, the Etsu Tsaragi, Alhaji Aliyu Abdullahi Kpotwa, said those behind the crisis are ethnic-militia and ethnic-jingoist, "hemp smokers," who did not listen to the wise counsel of their respective traditional rulers during the crisis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{"citationItems":[{"id":"ITEM-1","itemData":{"author":[{"dropping-particle":"","family":"Ilorin.info","given":"","non-dropping-particle":"","parse-names":false,"suffix":""}],"id":"ITEM-1","issued":{"date-parts":[["2016"]]},"title":"How To End Share-Tsaragi Crisis – Monarch","type":"article"},"uris":["http://www.mendeley.com/documents/?uuid=727b43bd-91c8-4264-98d2-7a1751144c1b"]}],"mendeley":{"formattedCitation":"(Ilorin.info, 2016)","plainTextFormattedCitation":"(Ilorin.info, 2016)","previouslyFormattedCitation":"(Ilorin.info, 2016)"},"properties":{"noteIndex":0},"schema":"https://github.com/citation-style-language/schema/raw/master/csl-citation.json"}</w:instrText>
      </w:r>
      <w:r>
        <w:rPr>
          <w:rFonts w:ascii="Times New Roman" w:hAnsi="Times New Roman" w:cs="Times New Roman"/>
          <w:sz w:val="24"/>
          <w:szCs w:val="24"/>
        </w:rPr>
        <w:fldChar w:fldCharType="separate"/>
      </w:r>
      <w:r w:rsidRPr="00F44311">
        <w:rPr>
          <w:rFonts w:ascii="Times New Roman" w:hAnsi="Times New Roman" w:cs="Times New Roman"/>
          <w:noProof/>
          <w:sz w:val="24"/>
          <w:szCs w:val="24"/>
        </w:rPr>
        <w:t>(Ilorin.info, 2016)</w:t>
      </w:r>
      <w:r>
        <w:rPr>
          <w:rFonts w:ascii="Times New Roman" w:hAnsi="Times New Roman" w:cs="Times New Roman"/>
          <w:sz w:val="24"/>
          <w:szCs w:val="24"/>
        </w:rPr>
        <w:fldChar w:fldCharType="end"/>
      </w:r>
      <w:r>
        <w:rPr>
          <w:rFonts w:ascii="Times New Roman" w:hAnsi="Times New Roman" w:cs="Times New Roman"/>
          <w:sz w:val="24"/>
          <w:szCs w:val="24"/>
        </w:rPr>
        <w:t>.</w:t>
      </w:r>
      <w:r w:rsidRPr="00820348">
        <w:rPr>
          <w:rFonts w:ascii="Times New Roman" w:hAnsi="Times New Roman" w:cs="Times New Roman"/>
          <w:sz w:val="24"/>
          <w:szCs w:val="24"/>
        </w:rPr>
        <w:t xml:space="preserve">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d</w:t>
      </w:r>
      <w:r>
        <w:rPr>
          <w:rFonts w:ascii="Times New Roman" w:hAnsi="Times New Roman" w:cs="Times New Roman"/>
          <w:sz w:val="24"/>
          <w:szCs w:val="24"/>
        </w:rPr>
        <w:t>.</w:t>
      </w:r>
      <w:r w:rsidRPr="00820348">
        <w:rPr>
          <w:rFonts w:ascii="Times New Roman" w:hAnsi="Times New Roman" w:cs="Times New Roman"/>
          <w:sz w:val="24"/>
          <w:szCs w:val="24"/>
        </w:rPr>
        <w:t xml:space="preserve">     Non-readiness of warring Parties to embrace Peace</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lastRenderedPageBreak/>
        <w:t xml:space="preserve">The situation is powered by the </w:t>
      </w:r>
      <w:r>
        <w:rPr>
          <w:rFonts w:ascii="Times New Roman" w:hAnsi="Times New Roman" w:cs="Times New Roman"/>
          <w:sz w:val="24"/>
          <w:szCs w:val="24"/>
        </w:rPr>
        <w:t>warring</w:t>
      </w:r>
      <w:r w:rsidRPr="00820348">
        <w:rPr>
          <w:rFonts w:ascii="Times New Roman" w:hAnsi="Times New Roman" w:cs="Times New Roman"/>
          <w:sz w:val="24"/>
          <w:szCs w:val="24"/>
        </w:rPr>
        <w:t xml:space="preserve"> parties</w:t>
      </w:r>
      <w:r>
        <w:rPr>
          <w:rFonts w:ascii="Times New Roman" w:hAnsi="Times New Roman" w:cs="Times New Roman"/>
          <w:sz w:val="24"/>
          <w:szCs w:val="24"/>
        </w:rPr>
        <w:t>’</w:t>
      </w:r>
      <w:r w:rsidRPr="00820348">
        <w:rPr>
          <w:rFonts w:ascii="Times New Roman" w:hAnsi="Times New Roman" w:cs="Times New Roman"/>
          <w:sz w:val="24"/>
          <w:szCs w:val="24"/>
        </w:rPr>
        <w:t xml:space="preserve"> </w:t>
      </w:r>
      <w:r>
        <w:rPr>
          <w:rFonts w:ascii="Times New Roman" w:hAnsi="Times New Roman" w:cs="Times New Roman"/>
          <w:sz w:val="24"/>
          <w:szCs w:val="24"/>
        </w:rPr>
        <w:t>inability to support</w:t>
      </w:r>
      <w:r w:rsidRPr="00820348">
        <w:rPr>
          <w:rFonts w:ascii="Times New Roman" w:hAnsi="Times New Roman" w:cs="Times New Roman"/>
          <w:sz w:val="24"/>
          <w:szCs w:val="24"/>
        </w:rPr>
        <w:t xml:space="preserve"> negotiation, reconciliation, and arbitration, has essentially impeded any genuine peace in the area. Consequently, inter-ethnic crises in Share-Tsaragi have been endemic and these have underdeveloped the area a great deal. From the above causes emanate issues that border on fear of domination, insecurity, opposition, bigotry, mistrust, un-redressed socio-political injustices, poverty, unemployment, and the promotion of sectional hegemony.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Scholars</w:t>
      </w:r>
      <w:r>
        <w:rPr>
          <w:rFonts w:ascii="Times New Roman" w:hAnsi="Times New Roman" w:cs="Times New Roman"/>
          <w:sz w:val="24"/>
          <w:szCs w:val="24"/>
        </w:rPr>
        <w:t xml:space="preserve"> such as </w:t>
      </w:r>
      <w:r w:rsidRPr="00820348">
        <w:rPr>
          <w:rFonts w:ascii="Times New Roman" w:hAnsi="Times New Roman" w:cs="Times New Roman"/>
          <w:sz w:val="24"/>
          <w:szCs w:val="24"/>
        </w:rPr>
        <w:t xml:space="preserve">Donald Horowitz, </w:t>
      </w:r>
      <w:r>
        <w:rPr>
          <w:rFonts w:ascii="Times New Roman" w:hAnsi="Times New Roman" w:cs="Times New Roman"/>
          <w:sz w:val="24"/>
          <w:szCs w:val="24"/>
        </w:rPr>
        <w:t>David Lake,</w:t>
      </w:r>
      <w:r w:rsidRPr="00820348">
        <w:rPr>
          <w:rFonts w:ascii="Times New Roman" w:hAnsi="Times New Roman" w:cs="Times New Roman"/>
          <w:sz w:val="24"/>
          <w:szCs w:val="24"/>
        </w:rPr>
        <w:t xml:space="preserve"> Donald Rothschild, </w:t>
      </w:r>
      <w:r>
        <w:rPr>
          <w:rFonts w:ascii="Times New Roman" w:hAnsi="Times New Roman" w:cs="Times New Roman"/>
          <w:sz w:val="24"/>
          <w:szCs w:val="24"/>
        </w:rPr>
        <w:t xml:space="preserve">Chung In Moon </w:t>
      </w:r>
      <w:r w:rsidRPr="00820348">
        <w:rPr>
          <w:rFonts w:ascii="Times New Roman" w:hAnsi="Times New Roman" w:cs="Times New Roman"/>
          <w:sz w:val="24"/>
          <w:szCs w:val="24"/>
        </w:rPr>
        <w:t>and Edward Azar</w:t>
      </w:r>
      <w:r>
        <w:rPr>
          <w:rFonts w:ascii="Times New Roman" w:hAnsi="Times New Roman" w:cs="Times New Roman"/>
          <w:sz w:val="24"/>
          <w:szCs w:val="24"/>
        </w:rPr>
        <w:t xml:space="preserve"> </w:t>
      </w:r>
      <w:r w:rsidRPr="00820348">
        <w:rPr>
          <w:rFonts w:ascii="Times New Roman" w:hAnsi="Times New Roman" w:cs="Times New Roman"/>
          <w:sz w:val="24"/>
          <w:szCs w:val="24"/>
        </w:rPr>
        <w:t xml:space="preserve">have </w:t>
      </w:r>
      <w:r>
        <w:rPr>
          <w:rFonts w:ascii="Times New Roman" w:hAnsi="Times New Roman" w:cs="Times New Roman"/>
          <w:sz w:val="24"/>
          <w:szCs w:val="24"/>
        </w:rPr>
        <w:t>made attempt</w:t>
      </w:r>
      <w:r w:rsidRPr="00820348">
        <w:rPr>
          <w:rFonts w:ascii="Times New Roman" w:hAnsi="Times New Roman" w:cs="Times New Roman"/>
          <w:sz w:val="24"/>
          <w:szCs w:val="24"/>
        </w:rPr>
        <w:t xml:space="preserve"> to develop theoretical approaches to ethnicity and ethnic conflict</w:t>
      </w:r>
      <w:r>
        <w:rPr>
          <w:rFonts w:ascii="Times New Roman" w:hAnsi="Times New Roman" w:cs="Times New Roman"/>
          <w:sz w:val="24"/>
          <w:szCs w:val="24"/>
        </w:rPr>
        <w:t xml:space="preserve">. They opined </w:t>
      </w:r>
      <w:r w:rsidRPr="00820348">
        <w:rPr>
          <w:rFonts w:ascii="Times New Roman" w:hAnsi="Times New Roman" w:cs="Times New Roman"/>
          <w:sz w:val="24"/>
          <w:szCs w:val="24"/>
        </w:rPr>
        <w:t>that the ethnic conflicts experienced today, especially in Africa have deep rooted causes</w:t>
      </w:r>
      <w:r>
        <w:rPr>
          <w:rFonts w:ascii="Times New Roman" w:hAnsi="Times New Roman" w:cs="Times New Roman"/>
          <w:sz w:val="24"/>
          <w:szCs w:val="24"/>
        </w:rPr>
        <w:t xml:space="preserve"> and that issues of </w:t>
      </w:r>
      <w:r w:rsidRPr="00820348">
        <w:rPr>
          <w:rFonts w:ascii="Times New Roman" w:hAnsi="Times New Roman" w:cs="Times New Roman"/>
          <w:sz w:val="24"/>
          <w:szCs w:val="24"/>
        </w:rPr>
        <w:t xml:space="preserve">race, religion, language, and identity have become so complex </w:t>
      </w:r>
      <w:r>
        <w:rPr>
          <w:rFonts w:ascii="Times New Roman" w:hAnsi="Times New Roman" w:cs="Times New Roman"/>
          <w:sz w:val="24"/>
          <w:szCs w:val="24"/>
        </w:rPr>
        <w:t xml:space="preserve">due to their </w:t>
      </w:r>
      <w:r w:rsidRPr="00820348">
        <w:rPr>
          <w:rFonts w:ascii="Times New Roman" w:hAnsi="Times New Roman" w:cs="Times New Roman"/>
          <w:sz w:val="24"/>
          <w:szCs w:val="24"/>
        </w:rPr>
        <w:t>strong influence on people’s status in a community</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{"citationItems":[{"id":"ITEM-1","itemData":{"ISBN":"0520227069","author":[{"dropping-particle":"","family":"Horowitz","given":"Donald L","non-dropping-particle":"","parse-names":false,"suffix":""}],"id":"ITEM-1","issued":{"date-parts":[["2000"]]},"publisher":"Univ of California Press","title":"Ethnic groups in conflict, updated edition with a new preface","type":"book"},"uris":["http://www.mendeley.com/documents/?uuid=0261e6ce-6bee-4e59-844f-74747facb283"]},{"id":"ITEM-2","itemData":{"ISSN":"0162-2889","author":[{"dropping-particle":"","family":"Lake","given":"David A","non-dropping-particle":"","parse-names":false,"suffix":""},{"dropping-particle":"","family":"Rothchild","given":"Donald","non-dropping-particle":"","parse-names":false,"suffix":""}],"container-title":"International security","id":"ITEM-2","issue":"2","issued":{"date-parts":[["1996"]]},"page":"41-75","publisher":"MIT Press","title":"Containing fear: The origins and management of ethnic conflict","type":"article-journal","volume":"21"},"uris":["http://www.mendeley.com/documents/?uuid=471935b2-4507-4ac6-9371-97c8813b6c78"]},{"id":"ITEM-3","itemData":{"ISSN":"0305-8298","author":[{"dropping-particle":"","family":"Azar","given":"Edward E","non-dropping-particle":"","parse-names":false,"suffix":""},{"dropping-particle":"","family":"Moon","given":"Chung In","non-dropping-particle":"","parse-names":false,"suffix":""}],"container-title":"Millennium","id":"ITEM-3","issue":"3","issued":{"date-parts":[["1986"]]},"page":"393-406","publisher":"Sage Publications Sage UK: London, England","title":"Managing protracted social conflicts in the third world: facilitation and development diplomacy","type":"article-journal","volume":"15"},"uris":["http://www.mendeley.com/documents/?uuid=caff6795-5244-4209-892d-f00662f95489"]}],"mendeley":{"formattedCitation":"(Azar and Moon, 1986; Lake and Rothchild, 1996; Horowitz, 2000)","plainTextFormattedCitation":"(Azar and Moon, 1986; Lake and Rothchild, 1996; Horowitz, 2000)","previouslyFormattedCitation":"(Azar and Moon, 1986; Lake and Rothchild, 1996; Horowitz, 2000)"},"properties":{"noteIndex":0},"schema":"https://github.com/citation-style-language/schema/raw/master/csl-citation.json"}</w:instrText>
      </w:r>
      <w:r>
        <w:rPr>
          <w:rFonts w:ascii="Times New Roman" w:hAnsi="Times New Roman" w:cs="Times New Roman"/>
          <w:sz w:val="24"/>
          <w:szCs w:val="24"/>
        </w:rPr>
        <w:fldChar w:fldCharType="separate"/>
      </w:r>
      <w:r w:rsidRPr="00694FC9">
        <w:rPr>
          <w:rFonts w:ascii="Times New Roman" w:hAnsi="Times New Roman" w:cs="Times New Roman"/>
          <w:noProof/>
          <w:sz w:val="24"/>
          <w:szCs w:val="24"/>
        </w:rPr>
        <w:t>(Azar and Moon, 1986; Lake and Rothchild, 1996; Horowitz, 2000)</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This paper adopts a hybrid of some theories of conflict resolution. One of the hybridized theories is the structural theory of conflict. Structuralisms linked conflict to the structural defects and imbalances in the distribution of global resources. The theorists posit that conflict could be built into a particular way in which a society is structured and organized. Thus, a fair and just society tends to enjoy relative peace and tranquillity</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{"citationItems":[{"id":"ITEM-1","itemData":{"author":[{"dropping-particle":"","family":"Folarin","given":"S.F.","non-dropping-particle":"","parse-names":false,"suffix":""}],"container-title":"Readings in Peace and Conflict Studies","editor":[{"dropping-particle":"","family":"Soremekun","given":"et. al.","non-dropping-particle":"","parse-names":false,"suffix":""}],"id":"ITEM-1","issued":{"date-parts":[["2013"]]},"publisher":"Covenant University Press","publisher-place":"Ota, Nigeria","title":"Types and Causes of Conflict","type":"chapter"},"uris":["http://www.mendeley.com/documents/?uuid=14ff4e17-4e85-454a-8b2e-6fbda0a4cf5b"]}],"mendeley":{"formattedCitation":"(Folarin, 2013)","plainTextFormattedCitation":"(Folarin, 2013)","previouslyFormattedCitation":"(Folarin, 2013)"},"properties":{"noteIndex":0},"schema":"https://github.com/citation-style-language/schema/raw/master/csl-citation.json"}</w:instrText>
      </w:r>
      <w:r>
        <w:rPr>
          <w:rFonts w:ascii="Times New Roman" w:hAnsi="Times New Roman" w:cs="Times New Roman"/>
          <w:sz w:val="24"/>
          <w:szCs w:val="24"/>
        </w:rPr>
        <w:fldChar w:fldCharType="separate"/>
      </w:r>
      <w:r w:rsidRPr="00694FC9">
        <w:rPr>
          <w:rFonts w:ascii="Times New Roman" w:hAnsi="Times New Roman" w:cs="Times New Roman"/>
          <w:noProof/>
          <w:sz w:val="24"/>
          <w:szCs w:val="24"/>
        </w:rPr>
        <w:t>(Folarin, 2013)</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Secondly, is the Realist School of thought which sees conflict as a fact of life that cannot be over-looked. It traces human instincts for violence to selfishness and the pursuit of selfish interests, which fuels the desire to conquer the world around him, despite scarce resources. The Realist school championed by Hans Morgenthau asserts that a nation-state should prepare for war always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{"citationItems":[{"id":"ITEM-1","itemData":{"ISBN":"1351658816","author":[{"dropping-particle":"","family":"Korab-Karpowicz","given":"W Julian","non-dropping-particle":"","parse-names":false,"suffix":""}],"id":"ITEM-1","issued":{"date-parts":[["2017"]]},"publisher":"Routledge","title":"Tractatus Politico-Philosophicus: New Directions for the Future Development of Humankind","type":"book"},"uris":["http://www.mendeley.com/documents/?uuid=9c2a3e3d-d729-409e-99cd-ddadea0dc186"]}],"mendeley":{"formattedCitation":"(Korab-Karpowicz, 2017)","plainTextFormattedCitation":"(Korab-Karpowicz, 2017)","previouslyFormattedCitation":"(Korab-Karpowicz, 2017)"},"properties":{"noteIndex":0},"schema":"https://github.com/citation-style-language/schema/raw/master/csl-citation.json"}</w:instrText>
      </w:r>
      <w:r>
        <w:rPr>
          <w:rFonts w:ascii="Times New Roman" w:hAnsi="Times New Roman" w:cs="Times New Roman"/>
          <w:sz w:val="24"/>
          <w:szCs w:val="24"/>
        </w:rPr>
        <w:fldChar w:fldCharType="separate"/>
      </w:r>
      <w:r w:rsidRPr="00694FC9">
        <w:rPr>
          <w:rFonts w:ascii="Times New Roman" w:hAnsi="Times New Roman" w:cs="Times New Roman"/>
          <w:noProof/>
          <w:sz w:val="24"/>
          <w:szCs w:val="24"/>
        </w:rPr>
        <w:t>(Korab-Karpowicz, 2017)</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Thirdly, there are conflict entrepreneurs who promote all forms of conflict; political, economic or social conflicts for personal economic gains (profits)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{"citationItems":[{"id":"ITEM-1","itemData":{"URL":"www.wntrepreneur.com","author":[{"dropping-particle":"","family":"Campbell","given":"S.","non-dropping-particle":"","parse-names":false,"suffix":""}],"id":"ITEM-1","issued":{"date-parts":[["2016"]]},"title":"The 10 benefits of Conflict","type":"webpage"},"uris":["http://www.mendeley.com/documents/?uuid=a72f2787-afff-4c71-a52c-a72c780e6c2f"]}],"mendeley":{"formattedCitation":"(Campbell, 2016)","plainTextFormattedCitation":"(Campbell, 2016)","previouslyFormattedCitation":"(Campbell, 2016)"},"properties":{"noteIndex":0},"schema":"https://github.com/citation-style-language/schema/raw/master/csl-citation.json"}</w:instrText>
      </w:r>
      <w:r>
        <w:rPr>
          <w:rFonts w:ascii="Times New Roman" w:hAnsi="Times New Roman" w:cs="Times New Roman"/>
          <w:sz w:val="24"/>
          <w:szCs w:val="24"/>
        </w:rPr>
        <w:fldChar w:fldCharType="separate"/>
      </w:r>
      <w:r w:rsidRPr="00694FC9">
        <w:rPr>
          <w:rFonts w:ascii="Times New Roman" w:hAnsi="Times New Roman" w:cs="Times New Roman"/>
          <w:noProof/>
          <w:sz w:val="24"/>
          <w:szCs w:val="24"/>
        </w:rPr>
        <w:t xml:space="preserve">(Campbell, </w:t>
      </w:r>
      <w:r w:rsidRPr="00694FC9">
        <w:rPr>
          <w:rFonts w:ascii="Times New Roman" w:hAnsi="Times New Roman" w:cs="Times New Roman"/>
          <w:noProof/>
          <w:sz w:val="24"/>
          <w:szCs w:val="24"/>
        </w:rPr>
        <w:lastRenderedPageBreak/>
        <w:t>2016)</w:t>
      </w:r>
      <w:r>
        <w:rPr>
          <w:rFonts w:ascii="Times New Roman" w:hAnsi="Times New Roman" w:cs="Times New Roman"/>
          <w:sz w:val="24"/>
          <w:szCs w:val="24"/>
        </w:rPr>
        <w:fldChar w:fldCharType="end"/>
      </w:r>
      <w:r w:rsidRPr="00820348">
        <w:rPr>
          <w:rFonts w:ascii="Times New Roman" w:hAnsi="Times New Roman" w:cs="Times New Roman"/>
          <w:sz w:val="24"/>
          <w:szCs w:val="24"/>
        </w:rPr>
        <w:t>.  Politicians and arms manufacturers, who sponsor conflict for personal political and economic gains fall into the category. Fourthly, Vygotsky’s Socio-cultural Theory which asserts that the ways people interact with others and the culture they live-in shape their mental abilities is germane to the position of this paper</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{"citationItems":[{"id":"ITEM-1","itemData":{"author":[{"dropping-particle":"","family":"Daniels","given":"H","non-dropping-particle":"","parse-names":false,"suffix":""}],"container-title":"An Introduction to Vygotsky. New York: Routledge","id":"ITEM-1","issued":{"date-parts":[["2005"]]},"title":"The development of Vygotsky's thought An introduction to Thinking and Speech","type":"article-journal"},"uris":["http://www.mendeley.com/documents/?uuid=97960ab8-c1b3-4d7f-9c37-406b972bd7f6"]}],"mendeley":{"formattedCitation":"(Daniels, 2005)","plainTextFormattedCitation":"(Daniels, 2005)","previouslyFormattedCitation":"(Daniels, 2005)"},"properties":{"noteIndex":0},"schema":"https://github.com/citation-style-language/schema/raw/master/csl-citation.json"}</w:instrText>
      </w:r>
      <w:r>
        <w:rPr>
          <w:rFonts w:ascii="Times New Roman" w:hAnsi="Times New Roman" w:cs="Times New Roman"/>
          <w:sz w:val="24"/>
          <w:szCs w:val="24"/>
        </w:rPr>
        <w:fldChar w:fldCharType="separate"/>
      </w:r>
      <w:r w:rsidRPr="00694FC9">
        <w:rPr>
          <w:rFonts w:ascii="Times New Roman" w:hAnsi="Times New Roman" w:cs="Times New Roman"/>
          <w:noProof/>
          <w:sz w:val="24"/>
          <w:szCs w:val="24"/>
        </w:rPr>
        <w:t>(Daniels, 2005)</w:t>
      </w:r>
      <w:r>
        <w:rPr>
          <w:rFonts w:ascii="Times New Roman" w:hAnsi="Times New Roman" w:cs="Times New Roman"/>
          <w:sz w:val="24"/>
          <w:szCs w:val="24"/>
        </w:rPr>
        <w:fldChar w:fldCharType="end"/>
      </w:r>
      <w:r w:rsidRPr="00820348">
        <w:rPr>
          <w:rFonts w:ascii="Times New Roman" w:hAnsi="Times New Roman" w:cs="Times New Roman"/>
          <w:sz w:val="24"/>
          <w:szCs w:val="24"/>
        </w:rPr>
        <w:t xml:space="preserve">.  The ways the people of Share and Tsaragi have been interacting with each other over the years of their co-existence and living together has gone a long way to shaping their attitudes on conflict resolution around them.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The theories above show that the causes of conflicts are multidimensional and data confirms that this is true of the Share-Tsaragi inter-ethnic conflict. Some are linked to the lopsided structure of the society, which promotes the prosperity of the privileged few in contrast to the poverty of greater majority. Conflict is also linked to the denial of basic needs, social-political exclusion, natural wickedness of humans, and frustrating existence leading to aggression, amongst others. </w:t>
      </w:r>
    </w:p>
    <w:p w:rsidR="004F297E" w:rsidRPr="00AB22D4" w:rsidRDefault="004F297E" w:rsidP="004F297E">
      <w:pPr>
        <w:pStyle w:val="ListParagraph"/>
        <w:numPr>
          <w:ilvl w:val="0"/>
          <w:numId w:val="1"/>
        </w:numPr>
        <w:spacing w:after="0"/>
        <w:jc w:val="both"/>
        <w:rPr>
          <w:rFonts w:ascii="Times New Roman" w:hAnsi="Times New Roman" w:cs="Times New Roman"/>
          <w:b/>
          <w:bCs/>
          <w:sz w:val="24"/>
          <w:szCs w:val="24"/>
        </w:rPr>
      </w:pPr>
      <w:r w:rsidRPr="00AB22D4">
        <w:rPr>
          <w:rFonts w:ascii="Times New Roman" w:hAnsi="Times New Roman" w:cs="Times New Roman"/>
          <w:b/>
          <w:bCs/>
          <w:sz w:val="24"/>
          <w:szCs w:val="24"/>
        </w:rPr>
        <w:t xml:space="preserve">Methodology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The study utilized a mixed-method/approach and tools from both qualitative and quantitative research designs. Both primary and secondary sources of information were used. Secondary data for the work was gathered from textbooks, journals and periodicals to complement the primary sources from participant observation, questionnaire, and interviews. Research tools adopted are structured interviews, town hall meetings and questionnaire. In-depth interviews with the traditional rulers and chiefs/elders (five in each community) were also explored in order to achieve the research goal. One hundred and thirty Questionnaires were administered across the different social, educational, gender and religious strata of both communities, particularly targeting students and youths.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 The population of the study area is put at 15, 889 but due to the impossibility of reaching everybody in the communities for the study, 130 respondents (sixty-five [65] from each community) were randomly sampled as population for the study. The choice of the sample </w:t>
      </w:r>
      <w:r w:rsidRPr="00820348">
        <w:rPr>
          <w:rFonts w:ascii="Times New Roman" w:hAnsi="Times New Roman" w:cs="Times New Roman"/>
          <w:sz w:val="24"/>
          <w:szCs w:val="24"/>
        </w:rPr>
        <w:lastRenderedPageBreak/>
        <w:t>population was to ensure fair representation of facts from both groups since Share and Tsaragi communities have experienced loss of lives and wanton destruction of properties including schools, health-centres, worship places, farmlands, homes, and social amenities (Please see figures). The questionnaire for the study had 21 items and was analysed using statistical tools such as tables, simple percentages and statistical analysis like SPSS (see figure for a sample copy of the questionnaire).</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Section “A” elicited information on respondents’ bio-data, including origin, occupation, age, gender, religion and educational status, while Section “B” sought information on the factors that triggered crises between the two communities, factors responsible for the failure of past peace efforts by State and non-State actors, among other things. The questionnaire comprised a set of multiple-choice as well as Likert Scale questions, with five alternative options scored thus: 5 point to Strongly agreed (SA), 4 for agreed (A), 3 for undecided (UD), 2 for disagreed (D) and 1 for strongly disagreed (SD). This is because the higher the points, the stronger the factor that is responsible for the Share and Tsaragi conflicts. One town hall meeting in each community and a joint meeting of stakeholders in both communities were held during the research. Participant observation methods were employed to gather data at the three occasions from a cross section of both communities. Through these, the study achieved the desired validity, reliability and diversity.</w:t>
      </w:r>
    </w:p>
    <w:p w:rsidR="004F297E" w:rsidRPr="00AB22D4" w:rsidRDefault="004F297E" w:rsidP="004F297E">
      <w:pPr>
        <w:pStyle w:val="ListParagraph"/>
        <w:numPr>
          <w:ilvl w:val="0"/>
          <w:numId w:val="1"/>
        </w:numPr>
        <w:jc w:val="both"/>
        <w:rPr>
          <w:rFonts w:ascii="Times New Roman" w:hAnsi="Times New Roman" w:cs="Times New Roman"/>
          <w:b/>
          <w:bCs/>
          <w:sz w:val="24"/>
          <w:szCs w:val="24"/>
        </w:rPr>
      </w:pPr>
      <w:r w:rsidRPr="00AB22D4">
        <w:rPr>
          <w:rFonts w:ascii="Times New Roman" w:hAnsi="Times New Roman" w:cs="Times New Roman"/>
          <w:b/>
          <w:bCs/>
          <w:sz w:val="24"/>
          <w:szCs w:val="24"/>
        </w:rPr>
        <w:t>Data Analyses and Discussions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There is concord on the cause of the crisis between these communities to be land issues as confirmed by data from the interviews, town hall meetings and questionnaires.  Interviews with the rulers of both communities, the Olupako of Share (represented by Elder Gabriel Jimoh Adeyemi due to ill health) and the Etsu Tsaragi (Alhaji Aliyu Abdullahi Kpotwa), their chiefs, religious leaders in both communities, representatives of women groups and the youths, all agree that the cause of the crisis concerns land issues. Furthermore, data from the 130 questionnaires </w:t>
      </w:r>
      <w:r w:rsidRPr="00820348">
        <w:rPr>
          <w:rFonts w:ascii="Times New Roman" w:hAnsi="Times New Roman" w:cs="Times New Roman"/>
          <w:sz w:val="24"/>
          <w:szCs w:val="24"/>
        </w:rPr>
        <w:lastRenderedPageBreak/>
        <w:t>distributed, 65 in Share and 65 in Tsaragi show that respondents are agreed that the cause of the conflict concerns land issues, 63 (95.6%) in Tsaragi and 61 (93.8%) in Share. Thus, from all indications land issues remain the cause of the Share-Tsaragi crisis. The conflicts in migration narratives during interviews at Share and Tsaragi suggest that the major concern for both communities is who is the ‘indigene’ and who is the ‘settler’, with the attending privileges for the status.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The prevailing perception of the other parties in this conflict is that of betrayer and enemy. Therefore, it can be said that both parties displayed mutual suspicion. In Share the other party is construed as enemy by 16 (24.6%) and betrayer by 33 (50.8%), likewise in Tsaragi as enemy by 25 (36.8%) and betrayer by 27 (39.7).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The trend of mutual suspicion manifest in the prohibition of intermarriage between these two communities. However, few inter-marriages do occur between indigenes of both communities more by Tsaragi-27.3% than in Share-24.2%. Nevertheless, data from the town hall meetings especially among the youths, show that there are many romantic relationships between girls and boys across these communities, which suggest that many inter-marriages may occur in few years to come between youths of Share-Tsaragi. This also suggests that intermarriage is a viable internal mechanism for crisis resolution in the two communities.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Although, the crisis has nothing to do with religion, religion is another possible internal mechanism to resolve the crisis in the two communities, because the sharing of place of worship with members of the other community by both Share (86.7%) and Tsaragi (77.3%) is quite high, especially in a country that is known for high level of religiosity. Moreover, religious leaders encourage intermarriages in both communities between individuals of the same faith but of different ethnicities.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lastRenderedPageBreak/>
        <w:t>In addition, an analysis of the shadow parties in the conflict from both communities shows that it is the youths, Share (59.7%) and Tsaragi (61.3%).  Data from interviews with youths in both communities and the town meetings also confirm that this crisis and any mechanism for resolution should prioritize the youths</w:t>
      </w:r>
      <w:r>
        <w:rPr>
          <w:rFonts w:ascii="Times New Roman" w:hAnsi="Times New Roman" w:cs="Times New Roman"/>
          <w:sz w:val="24"/>
          <w:szCs w:val="24"/>
        </w:rPr>
        <w:t xml:space="preserve"> (</w:t>
      </w:r>
      <w:r w:rsidRPr="00075AE7">
        <w:rPr>
          <w:rFonts w:ascii="Times New Roman" w:hAnsi="Times New Roman" w:cs="Times New Roman"/>
          <w:sz w:val="24"/>
          <w:szCs w:val="24"/>
        </w:rPr>
        <w:t>Alhaji Abdulganiyu Ajibola,</w:t>
      </w:r>
      <w:r>
        <w:rPr>
          <w:rFonts w:ascii="Times New Roman" w:hAnsi="Times New Roman" w:cs="Times New Roman"/>
          <w:sz w:val="24"/>
          <w:szCs w:val="24"/>
        </w:rPr>
        <w:t xml:space="preserve"> </w:t>
      </w:r>
      <w:r w:rsidRPr="00075AE7">
        <w:rPr>
          <w:rFonts w:ascii="Times New Roman" w:hAnsi="Times New Roman" w:cs="Times New Roman"/>
          <w:sz w:val="24"/>
          <w:szCs w:val="24"/>
        </w:rPr>
        <w:t>Youth leader of Share,</w:t>
      </w:r>
      <w:r>
        <w:rPr>
          <w:rFonts w:ascii="Times New Roman" w:hAnsi="Times New Roman" w:cs="Times New Roman"/>
          <w:sz w:val="24"/>
          <w:szCs w:val="24"/>
        </w:rPr>
        <w:t xml:space="preserve"> personal communication, </w:t>
      </w:r>
      <w:r w:rsidRPr="00075AE7">
        <w:rPr>
          <w:rFonts w:ascii="Times New Roman" w:hAnsi="Times New Roman" w:cs="Times New Roman"/>
          <w:sz w:val="24"/>
          <w:szCs w:val="24"/>
        </w:rPr>
        <w:t>March</w:t>
      </w:r>
      <w:r>
        <w:rPr>
          <w:rFonts w:ascii="Times New Roman" w:hAnsi="Times New Roman" w:cs="Times New Roman"/>
          <w:sz w:val="24"/>
          <w:szCs w:val="24"/>
        </w:rPr>
        <w:t xml:space="preserve"> 2</w:t>
      </w:r>
      <w:r w:rsidRPr="00075AE7">
        <w:rPr>
          <w:rFonts w:ascii="Times New Roman" w:hAnsi="Times New Roman" w:cs="Times New Roman"/>
          <w:sz w:val="24"/>
          <w:szCs w:val="24"/>
        </w:rPr>
        <w:t>0</w:t>
      </w:r>
      <w:r>
        <w:rPr>
          <w:rFonts w:ascii="Times New Roman" w:hAnsi="Times New Roman" w:cs="Times New Roman"/>
          <w:sz w:val="24"/>
          <w:szCs w:val="24"/>
        </w:rPr>
        <w:t>,</w:t>
      </w:r>
      <w:r w:rsidRPr="00075AE7">
        <w:rPr>
          <w:rFonts w:ascii="Times New Roman" w:hAnsi="Times New Roman" w:cs="Times New Roman"/>
          <w:sz w:val="24"/>
          <w:szCs w:val="24"/>
        </w:rPr>
        <w:t xml:space="preserve"> 2019</w:t>
      </w:r>
      <w:r>
        <w:rPr>
          <w:rFonts w:ascii="Times New Roman" w:hAnsi="Times New Roman" w:cs="Times New Roman"/>
          <w:sz w:val="24"/>
          <w:szCs w:val="24"/>
        </w:rPr>
        <w:t xml:space="preserve">; </w:t>
      </w:r>
      <w:r w:rsidRPr="00075AE7">
        <w:rPr>
          <w:rFonts w:ascii="Times New Roman" w:hAnsi="Times New Roman" w:cs="Times New Roman"/>
          <w:sz w:val="24"/>
          <w:szCs w:val="24"/>
        </w:rPr>
        <w:t>Mallam Ibrahim Mohammed</w:t>
      </w:r>
      <w:r>
        <w:rPr>
          <w:rFonts w:ascii="Times New Roman" w:hAnsi="Times New Roman" w:cs="Times New Roman"/>
          <w:sz w:val="24"/>
          <w:szCs w:val="24"/>
        </w:rPr>
        <w:t>, Y</w:t>
      </w:r>
      <w:r w:rsidRPr="00075AE7">
        <w:rPr>
          <w:rFonts w:ascii="Times New Roman" w:hAnsi="Times New Roman" w:cs="Times New Roman"/>
          <w:sz w:val="24"/>
          <w:szCs w:val="24"/>
        </w:rPr>
        <w:t>outh leader of Tsaragi</w:t>
      </w:r>
      <w:r>
        <w:rPr>
          <w:rFonts w:ascii="Times New Roman" w:hAnsi="Times New Roman" w:cs="Times New Roman"/>
          <w:sz w:val="24"/>
          <w:szCs w:val="24"/>
        </w:rPr>
        <w:t>, personal communication</w:t>
      </w:r>
      <w:r w:rsidRPr="00075AE7">
        <w:rPr>
          <w:rFonts w:ascii="Times New Roman" w:hAnsi="Times New Roman" w:cs="Times New Roman"/>
          <w:sz w:val="24"/>
          <w:szCs w:val="24"/>
        </w:rPr>
        <w:t xml:space="preserve"> September 3</w:t>
      </w:r>
      <w:r>
        <w:rPr>
          <w:rFonts w:ascii="Times New Roman" w:hAnsi="Times New Roman" w:cs="Times New Roman"/>
          <w:sz w:val="24"/>
          <w:szCs w:val="24"/>
        </w:rPr>
        <w:t>,</w:t>
      </w:r>
      <w:r w:rsidRPr="00075AE7">
        <w:rPr>
          <w:rFonts w:ascii="Times New Roman" w:hAnsi="Times New Roman" w:cs="Times New Roman"/>
          <w:sz w:val="24"/>
          <w:szCs w:val="24"/>
        </w:rPr>
        <w:t xml:space="preserve"> 2019</w:t>
      </w:r>
      <w:r>
        <w:rPr>
          <w:rFonts w:ascii="Times New Roman" w:hAnsi="Times New Roman" w:cs="Times New Roman"/>
          <w:sz w:val="24"/>
          <w:szCs w:val="24"/>
        </w:rPr>
        <w:t>)</w:t>
      </w:r>
      <w:r w:rsidRPr="00820348">
        <w:rPr>
          <w:rFonts w:ascii="Times New Roman" w:hAnsi="Times New Roman" w:cs="Times New Roman"/>
          <w:sz w:val="24"/>
          <w:szCs w:val="24"/>
        </w:rPr>
        <w:t>. This indicates that the youths should be the target of any internal mechanism of resolving the crisis.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The two communities were generally dissatisfied with the Government handling of the crisis so far, 62.5% in Tsaragi and 70.8% in Share. This is a justification for this present study in terms of using internal mechanisms in resolving the crisis. Furthermore, both parties expressed their satisfaction with community leaders’ handling of the crisis which they found very satisfying more in Tsaragi (52.3%) than in Share (34.9%). Moreover, this shows that community leaders are stakeholders in any resolution proposed for the crisis. By extension, both communities also indicated they are satisfied with how the religious leaders handled the crisis so far. Therefore, it should be noted that religious leaders are stakeholders to any resolution of the crisis.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Again, the two communities agreed that there are lapses in previous attempts to reconcile the two parties and that the crisis could have been avoided, Share-93.4% and Tsaragi-84.6%. That is why both communities’ accent to the establishment of joint projects (e.g. Businesses, schools, water dams, hospitals) as internal mechanisms, Share-26 (56.5%) and Tsaragi-31 (58.5). They, however, gave little attention to music concert as an internal mechanism probably because of the prevailing Islamic culture.</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For both communities, the preferred internal conflict-handling style of resolving the conflict is by collaboration and compromise/consensus (Share 48.1%) and (Tsaragi 38.5%). This shows that </w:t>
      </w:r>
      <w:r w:rsidRPr="00820348">
        <w:rPr>
          <w:rFonts w:ascii="Times New Roman" w:hAnsi="Times New Roman" w:cs="Times New Roman"/>
          <w:sz w:val="24"/>
          <w:szCs w:val="24"/>
        </w:rPr>
        <w:lastRenderedPageBreak/>
        <w:t xml:space="preserve">both communities are ready and willing to end the crisis. Data from the town hall meetings show many attendants suggesting the establishment of a joint infrastructure, such as a stadium or a multi-purpose hall on the disputed piece of farmland covering over 200 hectares, called Fiangiawa/Fejewe of which both communities claim ownership.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Also, the two communities consider trespassing as an early warning signal of the crisis as well as hate speech and actions by Tsaragi 19 (31.1%, 24.6%) by Share 40 (72.7%, 9.1%). An indication of this is the prevalent use of Yoruba Language in both communities whereas Nupe language is limited to Tsaragi majorly. This is an indication that language is an internal mechanism that could be explored for this crisis. If the Nupe language could be widely spoken in Share as the Yoruba language is in Tsaragi, it will facilitate mutual trust and harmony.</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In sum, internal mechanisms that may serve as resolution to the Share-Tsaragi crisis from data available include inter-marriage, proficiency in each other’s languages, joint religious activities, joint projects (e.g. Businesses, schools, water dams, hospitals) and the establishment of an infrastructure on the disputed piece of land. Also, these efforts should give serious countenance to the youths, religious and traditional leaders as stakeholders to be successfully implemented. The validity of the effectiveness of internal mechanisms to resolve the crisis is because they emanate from the peoples’ culture and philosophy rather that an imposition of external measures to solve the problem.</w:t>
      </w:r>
    </w:p>
    <w:p w:rsidR="004F297E" w:rsidRPr="00AB22D4" w:rsidRDefault="004F297E" w:rsidP="004F297E">
      <w:pPr>
        <w:pStyle w:val="ListParagraph"/>
        <w:numPr>
          <w:ilvl w:val="0"/>
          <w:numId w:val="1"/>
        </w:numPr>
        <w:jc w:val="both"/>
        <w:rPr>
          <w:rFonts w:ascii="Times New Roman" w:hAnsi="Times New Roman" w:cs="Times New Roman"/>
          <w:b/>
          <w:bCs/>
          <w:sz w:val="24"/>
          <w:szCs w:val="24"/>
        </w:rPr>
      </w:pPr>
      <w:r w:rsidRPr="00AB22D4">
        <w:rPr>
          <w:rFonts w:ascii="Times New Roman" w:hAnsi="Times New Roman" w:cs="Times New Roman"/>
          <w:b/>
          <w:bCs/>
          <w:sz w:val="24"/>
          <w:szCs w:val="24"/>
        </w:rPr>
        <w:t>Conclusion</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This paper investigated the source of the crises between Share and Tsaragi communities. It shows that previous intervention mechanisms to resolve the crisis have not been successful. It proffers practical internal mechanisms for the resolution of the crisis, thereby, articulating a means of sustaining the expected peaceful co-existence between Share and Tsaragi communities. Although tension appears to have dowsed down now, considering the recrudescent nature of violence in the </w:t>
      </w:r>
      <w:r w:rsidRPr="00820348">
        <w:rPr>
          <w:rFonts w:ascii="Times New Roman" w:hAnsi="Times New Roman" w:cs="Times New Roman"/>
          <w:sz w:val="24"/>
          <w:szCs w:val="24"/>
        </w:rPr>
        <w:lastRenderedPageBreak/>
        <w:t>communities, the need to seek for effective mechanisms to find a lasting solution to the crisis in the region becomes imperative. The crisis could be resolved through internal mechanisms such as language, intermarriage, establishment of joint projects, involvement of religious leaders, and most importantly, the youths should be the focus of all these internal mechanisms in order for the crisis to be resolved. We anticipate that religious leaders could be a threat to the use of both religion and intermarriage as internal mechanism in resolving the crisis in the two communities, the paper, therefore, suggests a focus on more traditional methods of conflict management in order to achieve peaceful co-existence. The findings of this paper have policy implications for developing conflict management system in resolving inter-ethnic crises in general and open the way for finding a more lasting peaceful resolution of the Share-Tsaragi crisis in particular.</w:t>
      </w:r>
    </w:p>
    <w:p w:rsidR="004F297E" w:rsidRPr="003D75B0" w:rsidRDefault="004F297E" w:rsidP="004F297E">
      <w:pPr>
        <w:pStyle w:val="ListParagraph"/>
        <w:numPr>
          <w:ilvl w:val="0"/>
          <w:numId w:val="1"/>
        </w:numPr>
        <w:jc w:val="both"/>
        <w:rPr>
          <w:rFonts w:ascii="Times New Roman" w:hAnsi="Times New Roman" w:cs="Times New Roman"/>
          <w:b/>
          <w:bCs/>
          <w:sz w:val="24"/>
          <w:szCs w:val="24"/>
        </w:rPr>
      </w:pPr>
      <w:r w:rsidRPr="003D75B0">
        <w:rPr>
          <w:rFonts w:ascii="Times New Roman" w:hAnsi="Times New Roman" w:cs="Times New Roman"/>
          <w:b/>
          <w:bCs/>
          <w:sz w:val="24"/>
          <w:szCs w:val="24"/>
        </w:rPr>
        <w:t>Recommendations</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We recommend that the government, both at federal and state levels, adopt a new strategic plan in ensuring the implementation of series of recommendations of past panels of enquiries, white paper and settlement meetings held in the past. In addition, government should build a hall/Stadium on the controversial Fiangiawa/Fejewe land for social events by both communities. This process should be carried out under a transparent atmosphere devoid of any form of favouritism for or against either of the two communities. Further, we encourage the establishment of joint beneficial projects and programmes for the communities on health, education, sporting, which could be a source of better interaction in pursuit of peace in Share and Tsaragi.</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Again, we advocate for a return to adopting traditional internal mechanisms of elders and palace involvements in conflict resolution in the two communities. This is achievable through regular community meetings, reorientation of the community leaders as agents of peace, engagement of youths in gainful employment to overcome restiveness, constitutional recognition of the role of traditional rulers as peacemakers in their domains with penalty for violation and rewards for </w:t>
      </w:r>
      <w:r w:rsidRPr="00820348">
        <w:rPr>
          <w:rFonts w:ascii="Times New Roman" w:hAnsi="Times New Roman" w:cs="Times New Roman"/>
          <w:sz w:val="24"/>
          <w:szCs w:val="24"/>
        </w:rPr>
        <w:lastRenderedPageBreak/>
        <w:t xml:space="preserve">maintaining peace over a specified number of years. It is believed that these deliberate government efforts will dovetail to broker peace in Share and Tsaragi communities.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 xml:space="preserve">Also, structures for sincere dialogue among the people of the two communities that promote inclusive and democratised environment will give all concerned citizens a sense of belonging, relevance, and participation. This will encourage the spirit of give and take which is crucial in negotiation, reconciliation, arbitration instead of violent confrontation. Moreover, establishment of conflict prevention and peace management structures such as Peace Committees in the communities can prevent periodic violence and gradually overcome the underlying fraternal feelings of deep animosity. The bodies established can serve as arbiters where aggrieved persons in brewing conflicts can report to for settlement-steps to be taken promptly before it degenerates into conflicts. </w:t>
      </w:r>
    </w:p>
    <w:p w:rsidR="004F297E" w:rsidRPr="00820348" w:rsidRDefault="004F297E" w:rsidP="004F297E">
      <w:pPr>
        <w:spacing w:after="0" w:line="480" w:lineRule="auto"/>
        <w:jc w:val="both"/>
        <w:rPr>
          <w:rFonts w:ascii="Times New Roman" w:hAnsi="Times New Roman" w:cs="Times New Roman"/>
          <w:sz w:val="24"/>
          <w:szCs w:val="24"/>
        </w:rPr>
      </w:pPr>
      <w:r w:rsidRPr="00820348">
        <w:rPr>
          <w:rFonts w:ascii="Times New Roman" w:hAnsi="Times New Roman" w:cs="Times New Roman"/>
          <w:sz w:val="24"/>
          <w:szCs w:val="24"/>
        </w:rPr>
        <w:t>Lastly, an annual event of festivity could be instituted to commemorate the resolution and mark the existing peace between the two communities. At such an event, cultural events such as music and dances of both communities can be performed by the two communities. This suggestion stems from the fact that at a joint workshop for the two communities by the authors of this paper, where a dramatic performance was staged and songs rendered, the indigenes did not waste time joining the performers to sing familiar songs from their place. This could also foster the learning of each other’s language through music. It is worth noting that this model of internal mechanisms for conflict resolution could be replicated in some other conflict-prone communities in Africa for experimentation to test its effectiveness.</w:t>
      </w:r>
    </w:p>
    <w:p w:rsidR="004F297E" w:rsidRDefault="004F297E" w:rsidP="004F297E">
      <w:pPr>
        <w:jc w:val="both"/>
        <w:rPr>
          <w:rFonts w:ascii="Times New Roman" w:hAnsi="Times New Roman" w:cs="Times New Roman"/>
          <w:sz w:val="24"/>
          <w:szCs w:val="24"/>
        </w:rPr>
      </w:pPr>
    </w:p>
    <w:p w:rsidR="004F297E" w:rsidRPr="00820348" w:rsidRDefault="004F297E" w:rsidP="004F297E">
      <w:pPr>
        <w:jc w:val="both"/>
        <w:rPr>
          <w:rFonts w:ascii="Times New Roman" w:hAnsi="Times New Roman" w:cs="Times New Roman"/>
          <w:sz w:val="24"/>
          <w:szCs w:val="24"/>
        </w:rPr>
      </w:pPr>
    </w:p>
    <w:p w:rsidR="004F297E" w:rsidRPr="00820348" w:rsidRDefault="004F297E" w:rsidP="004F297E">
      <w:pPr>
        <w:jc w:val="both"/>
        <w:rPr>
          <w:rFonts w:ascii="Times New Roman" w:hAnsi="Times New Roman" w:cs="Times New Roman"/>
          <w:sz w:val="24"/>
          <w:szCs w:val="24"/>
        </w:rPr>
      </w:pPr>
    </w:p>
    <w:p w:rsidR="004F297E" w:rsidRPr="00820348" w:rsidRDefault="004F297E" w:rsidP="004F297E">
      <w:pPr>
        <w:jc w:val="both"/>
        <w:rPr>
          <w:rFonts w:ascii="Times New Roman" w:hAnsi="Times New Roman" w:cs="Times New Roman"/>
          <w:sz w:val="24"/>
          <w:szCs w:val="24"/>
        </w:rPr>
      </w:pPr>
    </w:p>
    <w:p w:rsidR="004F297E" w:rsidRPr="003D75B0" w:rsidRDefault="004F297E" w:rsidP="004F297E">
      <w:pPr>
        <w:jc w:val="both"/>
        <w:rPr>
          <w:rFonts w:ascii="Times New Roman" w:hAnsi="Times New Roman" w:cs="Times New Roman"/>
          <w:b/>
          <w:bCs/>
          <w:sz w:val="24"/>
          <w:szCs w:val="24"/>
        </w:rPr>
      </w:pPr>
      <w:r w:rsidRPr="003D75B0">
        <w:rPr>
          <w:rFonts w:ascii="Times New Roman" w:hAnsi="Times New Roman" w:cs="Times New Roman"/>
          <w:b/>
          <w:bCs/>
          <w:sz w:val="24"/>
          <w:szCs w:val="24"/>
        </w:rPr>
        <w:lastRenderedPageBreak/>
        <w:t>References</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5B51F3">
        <w:rPr>
          <w:rFonts w:ascii="Times New Roman" w:hAnsi="Times New Roman" w:cs="Times New Roman"/>
          <w:noProof/>
          <w:sz w:val="24"/>
          <w:szCs w:val="24"/>
        </w:rPr>
        <w:t xml:space="preserve">Alao, D. O. (2014) ‘Interrogating Concession, Trust and Forgiveness in Saare/Tsaragi, Peace Building, Nigeria: Implication for Conflict Management in Africa.’, </w:t>
      </w:r>
      <w:r w:rsidRPr="005B51F3">
        <w:rPr>
          <w:rFonts w:ascii="Times New Roman" w:hAnsi="Times New Roman" w:cs="Times New Roman"/>
          <w:i/>
          <w:iCs/>
          <w:noProof/>
          <w:sz w:val="24"/>
          <w:szCs w:val="24"/>
        </w:rPr>
        <w:t>IOSR Journal of Economics and Finance</w:t>
      </w:r>
      <w:r w:rsidRPr="005B51F3">
        <w:rPr>
          <w:rFonts w:ascii="Times New Roman" w:hAnsi="Times New Roman" w:cs="Times New Roman"/>
          <w:noProof/>
          <w:sz w:val="24"/>
          <w:szCs w:val="24"/>
        </w:rPr>
        <w:t>, 5(5), pp. 8–15.</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Azar, E. E. and Moon, C. I. (1986) ‘Managing protracted social conflicts in the third world: facilitation and development diplomacy’, </w:t>
      </w:r>
      <w:r w:rsidRPr="005B51F3">
        <w:rPr>
          <w:rFonts w:ascii="Times New Roman" w:hAnsi="Times New Roman" w:cs="Times New Roman"/>
          <w:i/>
          <w:iCs/>
          <w:noProof/>
          <w:sz w:val="24"/>
          <w:szCs w:val="24"/>
        </w:rPr>
        <w:t>Millennium</w:t>
      </w:r>
      <w:r w:rsidRPr="005B51F3">
        <w:rPr>
          <w:rFonts w:ascii="Times New Roman" w:hAnsi="Times New Roman" w:cs="Times New Roman"/>
          <w:noProof/>
          <w:sz w:val="24"/>
          <w:szCs w:val="24"/>
        </w:rPr>
        <w:t>. Sage Publications Sage UK: London, England, 15(3), pp. 393–406.</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Brown, M. E. (1996) </w:t>
      </w:r>
      <w:r w:rsidRPr="005B51F3">
        <w:rPr>
          <w:rFonts w:ascii="Times New Roman" w:hAnsi="Times New Roman" w:cs="Times New Roman"/>
          <w:i/>
          <w:iCs/>
          <w:noProof/>
          <w:sz w:val="24"/>
          <w:szCs w:val="24"/>
        </w:rPr>
        <w:t>The international dimensions of internal conflict</w:t>
      </w:r>
      <w:r w:rsidRPr="005B51F3">
        <w:rPr>
          <w:rFonts w:ascii="Times New Roman" w:hAnsi="Times New Roman" w:cs="Times New Roman"/>
          <w:noProof/>
          <w:sz w:val="24"/>
          <w:szCs w:val="24"/>
        </w:rPr>
        <w:t>. Mit Press.</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Campbell, S. (2016) </w:t>
      </w:r>
      <w:r w:rsidRPr="005B51F3">
        <w:rPr>
          <w:rFonts w:ascii="Times New Roman" w:hAnsi="Times New Roman" w:cs="Times New Roman"/>
          <w:i/>
          <w:iCs/>
          <w:noProof/>
          <w:sz w:val="24"/>
          <w:szCs w:val="24"/>
        </w:rPr>
        <w:t>The 10 benefits of Conflict</w:t>
      </w:r>
      <w:r w:rsidRPr="005B51F3">
        <w:rPr>
          <w:rFonts w:ascii="Times New Roman" w:hAnsi="Times New Roman" w:cs="Times New Roman"/>
          <w:noProof/>
          <w:sz w:val="24"/>
          <w:szCs w:val="24"/>
        </w:rPr>
        <w:t>. Available at: www.wntrepreneur.com.</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Daniels, H. (2005) ‘The development of Vygotsky’s thought An introduction to Thinking and Speech’, </w:t>
      </w:r>
      <w:r w:rsidRPr="005B51F3">
        <w:rPr>
          <w:rFonts w:ascii="Times New Roman" w:hAnsi="Times New Roman" w:cs="Times New Roman"/>
          <w:i/>
          <w:iCs/>
          <w:noProof/>
          <w:sz w:val="24"/>
          <w:szCs w:val="24"/>
        </w:rPr>
        <w:t>An Introduction to Vygotsky. New York: Routledge</w:t>
      </w:r>
      <w:r w:rsidRPr="005B51F3">
        <w:rPr>
          <w:rFonts w:ascii="Times New Roman" w:hAnsi="Times New Roman" w:cs="Times New Roman"/>
          <w:noProof/>
          <w:sz w:val="24"/>
          <w:szCs w:val="24"/>
        </w:rPr>
        <w:t>.</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Etefa, T. (2019) ‘Ethnicity as a Tool: The Root Causes of Ethnic Conflict in Africa—A Critical Introduction’, in </w:t>
      </w:r>
      <w:r w:rsidRPr="005B51F3">
        <w:rPr>
          <w:rFonts w:ascii="Times New Roman" w:hAnsi="Times New Roman" w:cs="Times New Roman"/>
          <w:i/>
          <w:iCs/>
          <w:noProof/>
          <w:sz w:val="24"/>
          <w:szCs w:val="24"/>
        </w:rPr>
        <w:t>The Origins of Ethnic Conflict in Africa</w:t>
      </w:r>
      <w:r w:rsidRPr="005B51F3">
        <w:rPr>
          <w:rFonts w:ascii="Times New Roman" w:hAnsi="Times New Roman" w:cs="Times New Roman"/>
          <w:noProof/>
          <w:sz w:val="24"/>
          <w:szCs w:val="24"/>
        </w:rPr>
        <w:t>. Springer, pp. 1–27.</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Folarin, S. F. (2013) ‘Types and Causes of Conflict’, in Soremekun,  et. al. (ed.) </w:t>
      </w:r>
      <w:r w:rsidRPr="005B51F3">
        <w:rPr>
          <w:rFonts w:ascii="Times New Roman" w:hAnsi="Times New Roman" w:cs="Times New Roman"/>
          <w:i/>
          <w:iCs/>
          <w:noProof/>
          <w:sz w:val="24"/>
          <w:szCs w:val="24"/>
        </w:rPr>
        <w:t>Readings in Peace and Conflict Studies</w:t>
      </w:r>
      <w:r w:rsidRPr="005B51F3">
        <w:rPr>
          <w:rFonts w:ascii="Times New Roman" w:hAnsi="Times New Roman" w:cs="Times New Roman"/>
          <w:noProof/>
          <w:sz w:val="24"/>
          <w:szCs w:val="24"/>
        </w:rPr>
        <w:t>. Ota, Nigeria: Covenant University Press. Available at: http://eprints.covenantuniversity.edu.ng.</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Gurr, T. R., Marshall, M. G. and Khosla, D. (2001) ‘Peace and conflict 2001’, </w:t>
      </w:r>
      <w:r w:rsidRPr="005B51F3">
        <w:rPr>
          <w:rFonts w:ascii="Times New Roman" w:hAnsi="Times New Roman" w:cs="Times New Roman"/>
          <w:i/>
          <w:iCs/>
          <w:noProof/>
          <w:sz w:val="24"/>
          <w:szCs w:val="24"/>
        </w:rPr>
        <w:t>Center for International Development and Conflict Management, College Park, MD</w:t>
      </w:r>
      <w:r w:rsidRPr="005B51F3">
        <w:rPr>
          <w:rFonts w:ascii="Times New Roman" w:hAnsi="Times New Roman" w:cs="Times New Roman"/>
          <w:noProof/>
          <w:sz w:val="24"/>
          <w:szCs w:val="24"/>
        </w:rPr>
        <w:t>.</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Horowitz, D. L. (2000) </w:t>
      </w:r>
      <w:r w:rsidRPr="005B51F3">
        <w:rPr>
          <w:rFonts w:ascii="Times New Roman" w:hAnsi="Times New Roman" w:cs="Times New Roman"/>
          <w:i/>
          <w:iCs/>
          <w:noProof/>
          <w:sz w:val="24"/>
          <w:szCs w:val="24"/>
        </w:rPr>
        <w:t>Ethnic groups in conflict, updated edition with a new preface</w:t>
      </w:r>
      <w:r w:rsidRPr="005B51F3">
        <w:rPr>
          <w:rFonts w:ascii="Times New Roman" w:hAnsi="Times New Roman" w:cs="Times New Roman"/>
          <w:noProof/>
          <w:sz w:val="24"/>
          <w:szCs w:val="24"/>
        </w:rPr>
        <w:t>. Univ of California Press.</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Ilorin.info (2016) ‘How To End Share-Tsaragi Crisis – Monarch’. Available at: https://www.ilorin.info/fullnews.php?id=16620.</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IPCR (2017) </w:t>
      </w:r>
      <w:r w:rsidRPr="005B51F3">
        <w:rPr>
          <w:rFonts w:ascii="Times New Roman" w:hAnsi="Times New Roman" w:cs="Times New Roman"/>
          <w:i/>
          <w:iCs/>
          <w:noProof/>
          <w:sz w:val="24"/>
          <w:szCs w:val="24"/>
        </w:rPr>
        <w:t>2016 Strategic conflict assessment of Nigeria: Consolidated and zonal reports institute for peace and conflict resolution (IPCR), Abuja 2017</w:t>
      </w:r>
      <w:r w:rsidRPr="005B51F3">
        <w:rPr>
          <w:rFonts w:ascii="Times New Roman" w:hAnsi="Times New Roman" w:cs="Times New Roman"/>
          <w:noProof/>
          <w:sz w:val="24"/>
          <w:szCs w:val="24"/>
        </w:rPr>
        <w:t>. Ibadan, Nigeria: JOHN ARCHERS (Publishers) Ltd.</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Korab-Karpowicz, W. J. (2017) </w:t>
      </w:r>
      <w:r w:rsidRPr="005B51F3">
        <w:rPr>
          <w:rFonts w:ascii="Times New Roman" w:hAnsi="Times New Roman" w:cs="Times New Roman"/>
          <w:i/>
          <w:iCs/>
          <w:noProof/>
          <w:sz w:val="24"/>
          <w:szCs w:val="24"/>
        </w:rPr>
        <w:t>Tractatus Politico-Philosophicus: New Directions for the Future Development of Humankind</w:t>
      </w:r>
      <w:r w:rsidRPr="005B51F3">
        <w:rPr>
          <w:rFonts w:ascii="Times New Roman" w:hAnsi="Times New Roman" w:cs="Times New Roman"/>
          <w:noProof/>
          <w:sz w:val="24"/>
          <w:szCs w:val="24"/>
        </w:rPr>
        <w:t>. Routledge.</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Lake, D. A. and Rothchild, D. (1996) ‘Containing fear: The origins and management of ethnic conflict’, </w:t>
      </w:r>
      <w:r w:rsidRPr="005B51F3">
        <w:rPr>
          <w:rFonts w:ascii="Times New Roman" w:hAnsi="Times New Roman" w:cs="Times New Roman"/>
          <w:i/>
          <w:iCs/>
          <w:noProof/>
          <w:sz w:val="24"/>
          <w:szCs w:val="24"/>
        </w:rPr>
        <w:t>International security</w:t>
      </w:r>
      <w:r w:rsidRPr="005B51F3">
        <w:rPr>
          <w:rFonts w:ascii="Times New Roman" w:hAnsi="Times New Roman" w:cs="Times New Roman"/>
          <w:noProof/>
          <w:sz w:val="24"/>
          <w:szCs w:val="24"/>
        </w:rPr>
        <w:t>. MIT Press, 21(2), pp. 41–75.</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szCs w:val="24"/>
        </w:rPr>
      </w:pPr>
      <w:r w:rsidRPr="005B51F3">
        <w:rPr>
          <w:rFonts w:ascii="Times New Roman" w:hAnsi="Times New Roman" w:cs="Times New Roman"/>
          <w:noProof/>
          <w:sz w:val="24"/>
          <w:szCs w:val="24"/>
        </w:rPr>
        <w:t xml:space="preserve">Marshall, M. G. and Gurr, T. R. (2003) </w:t>
      </w:r>
      <w:r w:rsidRPr="005B51F3">
        <w:rPr>
          <w:rFonts w:ascii="Times New Roman" w:hAnsi="Times New Roman" w:cs="Times New Roman"/>
          <w:i/>
          <w:iCs/>
          <w:noProof/>
          <w:sz w:val="24"/>
          <w:szCs w:val="24"/>
        </w:rPr>
        <w:t>Peace and Conflict 2003: A global survey of armed conflicts, self-determination movements, and democracy</w:t>
      </w:r>
      <w:r w:rsidRPr="005B51F3">
        <w:rPr>
          <w:rFonts w:ascii="Times New Roman" w:hAnsi="Times New Roman" w:cs="Times New Roman"/>
          <w:noProof/>
          <w:sz w:val="24"/>
          <w:szCs w:val="24"/>
        </w:rPr>
        <w:t>. Center for International Development and Conflict Management.</w:t>
      </w:r>
    </w:p>
    <w:p w:rsidR="004F297E" w:rsidRPr="005B51F3" w:rsidRDefault="004F297E" w:rsidP="004F297E">
      <w:pPr>
        <w:widowControl w:val="0"/>
        <w:autoSpaceDE w:val="0"/>
        <w:autoSpaceDN w:val="0"/>
        <w:adjustRightInd w:val="0"/>
        <w:spacing w:line="240" w:lineRule="auto"/>
        <w:rPr>
          <w:rFonts w:ascii="Times New Roman" w:hAnsi="Times New Roman" w:cs="Times New Roman"/>
          <w:noProof/>
          <w:sz w:val="24"/>
        </w:rPr>
      </w:pPr>
      <w:r w:rsidRPr="005B51F3">
        <w:rPr>
          <w:rFonts w:ascii="Times New Roman" w:hAnsi="Times New Roman" w:cs="Times New Roman"/>
          <w:noProof/>
          <w:sz w:val="24"/>
          <w:szCs w:val="24"/>
        </w:rPr>
        <w:t xml:space="preserve">Tijani, A. (2008) ‘On Ethnic Identity: A Study of Share/Tsaragi Settlement in Nigeria (1830-1967)’, </w:t>
      </w:r>
      <w:r w:rsidRPr="005B51F3">
        <w:rPr>
          <w:rFonts w:ascii="Times New Roman" w:hAnsi="Times New Roman" w:cs="Times New Roman"/>
          <w:i/>
          <w:iCs/>
          <w:noProof/>
          <w:sz w:val="24"/>
          <w:szCs w:val="24"/>
        </w:rPr>
        <w:t>Journal of Social Sciences</w:t>
      </w:r>
      <w:r w:rsidRPr="005B51F3">
        <w:rPr>
          <w:rFonts w:ascii="Times New Roman" w:hAnsi="Times New Roman" w:cs="Times New Roman"/>
          <w:noProof/>
          <w:sz w:val="24"/>
          <w:szCs w:val="24"/>
        </w:rPr>
        <w:t>. Taylor &amp; Francis, 17(1), pp. 51–57.</w:t>
      </w:r>
    </w:p>
    <w:p w:rsidR="004F297E" w:rsidRPr="00820348" w:rsidRDefault="004F297E" w:rsidP="004F297E">
      <w:pPr>
        <w:jc w:val="both"/>
        <w:rPr>
          <w:rFonts w:ascii="Times New Roman" w:hAnsi="Times New Roman" w:cs="Times New Roman"/>
          <w:sz w:val="24"/>
          <w:szCs w:val="24"/>
        </w:rPr>
      </w:pPr>
      <w:r>
        <w:rPr>
          <w:rFonts w:ascii="Times New Roman" w:hAnsi="Times New Roman" w:cs="Times New Roman"/>
          <w:sz w:val="24"/>
          <w:szCs w:val="24"/>
        </w:rPr>
        <w:fldChar w:fldCharType="end"/>
      </w:r>
    </w:p>
    <w:p w:rsidR="00EF2EB7" w:rsidRDefault="00EF2EB7">
      <w:bookmarkStart w:id="0" w:name="_GoBack"/>
      <w:bookmarkEnd w:id="0"/>
    </w:p>
    <w:sectPr w:rsidR="00EF2EB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B18" w:rsidRDefault="008E1B18" w:rsidP="004F297E">
      <w:pPr>
        <w:spacing w:after="0" w:line="240" w:lineRule="auto"/>
      </w:pPr>
      <w:r>
        <w:separator/>
      </w:r>
    </w:p>
  </w:endnote>
  <w:endnote w:type="continuationSeparator" w:id="0">
    <w:p w:rsidR="008E1B18" w:rsidRDefault="008E1B18" w:rsidP="004F2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570670"/>
      <w:docPartObj>
        <w:docPartGallery w:val="Page Numbers (Bottom of Page)"/>
        <w:docPartUnique/>
      </w:docPartObj>
    </w:sdtPr>
    <w:sdtEndPr>
      <w:rPr>
        <w:rFonts w:ascii="Times New Roman" w:hAnsi="Times New Roman" w:cs="Times New Roman"/>
        <w:noProof/>
      </w:rPr>
    </w:sdtEndPr>
    <w:sdtContent>
      <w:p w:rsidR="003D75B0" w:rsidRPr="003D75B0" w:rsidRDefault="008E1B18" w:rsidP="003D75B0">
        <w:pPr>
          <w:pStyle w:val="Footer"/>
          <w:jc w:val="center"/>
          <w:rPr>
            <w:rFonts w:ascii="Times New Roman" w:hAnsi="Times New Roman" w:cs="Times New Roman"/>
          </w:rPr>
        </w:pPr>
        <w:r w:rsidRPr="003D75B0">
          <w:rPr>
            <w:rFonts w:ascii="Times New Roman" w:hAnsi="Times New Roman" w:cs="Times New Roman"/>
          </w:rPr>
          <w:fldChar w:fldCharType="begin"/>
        </w:r>
        <w:r w:rsidRPr="003D75B0">
          <w:rPr>
            <w:rFonts w:ascii="Times New Roman" w:hAnsi="Times New Roman" w:cs="Times New Roman"/>
          </w:rPr>
          <w:instrText xml:space="preserve"> PAGE   \* MERGEFORMAT </w:instrText>
        </w:r>
        <w:r w:rsidRPr="003D75B0">
          <w:rPr>
            <w:rFonts w:ascii="Times New Roman" w:hAnsi="Times New Roman" w:cs="Times New Roman"/>
          </w:rPr>
          <w:fldChar w:fldCharType="separate"/>
        </w:r>
        <w:r w:rsidR="004F297E">
          <w:rPr>
            <w:rFonts w:ascii="Times New Roman" w:hAnsi="Times New Roman" w:cs="Times New Roman"/>
            <w:noProof/>
          </w:rPr>
          <w:t>17</w:t>
        </w:r>
        <w:r w:rsidRPr="003D75B0">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B18" w:rsidRDefault="008E1B18" w:rsidP="004F297E">
      <w:pPr>
        <w:spacing w:after="0" w:line="240" w:lineRule="auto"/>
      </w:pPr>
      <w:r>
        <w:separator/>
      </w:r>
    </w:p>
  </w:footnote>
  <w:footnote w:type="continuationSeparator" w:id="0">
    <w:p w:rsidR="008E1B18" w:rsidRDefault="008E1B18" w:rsidP="004F297E">
      <w:pPr>
        <w:spacing w:after="0" w:line="240" w:lineRule="auto"/>
      </w:pPr>
      <w:r>
        <w:continuationSeparator/>
      </w:r>
    </w:p>
  </w:footnote>
  <w:footnote w:id="1">
    <w:p w:rsidR="004F297E" w:rsidRPr="00985C7B" w:rsidRDefault="004F297E" w:rsidP="004F297E">
      <w:pPr>
        <w:pStyle w:val="FootnoteText"/>
        <w:rPr>
          <w:lang w:val="en-US"/>
        </w:rPr>
      </w:pPr>
      <w:r w:rsidRPr="008A71F7">
        <w:rPr>
          <w:rStyle w:val="FootnoteReference"/>
        </w:rPr>
        <w:footnoteRef/>
      </w:r>
      <w:r>
        <w:rPr>
          <w:rStyle w:val="Strong"/>
        </w:rPr>
        <w:t xml:space="preserve"> Department</w:t>
      </w:r>
      <w:r w:rsidRPr="00985C7B">
        <w:rPr>
          <w:rStyle w:val="Strong"/>
        </w:rPr>
        <w:t xml:space="preserve"> of Religion</w:t>
      </w:r>
      <w:r>
        <w:rPr>
          <w:rStyle w:val="Strong"/>
        </w:rPr>
        <w:t>s</w:t>
      </w:r>
      <w:r w:rsidRPr="00985C7B">
        <w:rPr>
          <w:lang w:val="en-US"/>
        </w:rPr>
        <w:t>,</w:t>
      </w:r>
      <w:r>
        <w:rPr>
          <w:lang w:val="en-US"/>
        </w:rPr>
        <w:t xml:space="preserve"> </w:t>
      </w:r>
      <w:r w:rsidRPr="00985C7B">
        <w:rPr>
          <w:rStyle w:val="Strong"/>
        </w:rPr>
        <w:t>Faculty of Arts, University of Ilorin</w:t>
      </w:r>
      <w:r>
        <w:rPr>
          <w:rStyle w:val="Strong"/>
        </w:rPr>
        <w:t>, Ilorin</w:t>
      </w:r>
      <w:r w:rsidRPr="00985C7B">
        <w:rPr>
          <w:rStyle w:val="Strong"/>
        </w:rPr>
        <w:t>.</w:t>
      </w:r>
    </w:p>
  </w:footnote>
  <w:footnote w:id="2">
    <w:p w:rsidR="004F297E" w:rsidRPr="00985C7B" w:rsidRDefault="004F297E" w:rsidP="004F297E">
      <w:pPr>
        <w:pStyle w:val="FootnoteText"/>
        <w:rPr>
          <w:lang w:val="en-US"/>
        </w:rPr>
      </w:pPr>
      <w:r w:rsidRPr="00985C7B">
        <w:rPr>
          <w:rStyle w:val="FootnoteReference"/>
        </w:rPr>
        <w:footnoteRef/>
      </w:r>
      <w:r w:rsidRPr="00985C7B">
        <w:rPr>
          <w:rStyle w:val="Strong"/>
        </w:rPr>
        <w:t xml:space="preserve"> Department of Religions, Faculty of Arts, University of Ilorin</w:t>
      </w:r>
      <w:r>
        <w:rPr>
          <w:rStyle w:val="Strong"/>
        </w:rPr>
        <w:t>, Ilorin</w:t>
      </w:r>
      <w:r w:rsidRPr="00985C7B">
        <w:rPr>
          <w:rStyle w:val="Strong"/>
        </w:rPr>
        <w:t>.</w:t>
      </w:r>
    </w:p>
  </w:footnote>
  <w:footnote w:id="3">
    <w:p w:rsidR="004F297E" w:rsidRPr="00985C7B" w:rsidRDefault="004F297E" w:rsidP="004F297E">
      <w:pPr>
        <w:pStyle w:val="FootnoteText"/>
        <w:rPr>
          <w:lang w:val="en-US"/>
        </w:rPr>
      </w:pPr>
      <w:r w:rsidRPr="00985C7B">
        <w:rPr>
          <w:rStyle w:val="FootnoteReference"/>
        </w:rPr>
        <w:footnoteRef/>
      </w:r>
      <w:r w:rsidRPr="00985C7B">
        <w:rPr>
          <w:lang w:val="en-US"/>
        </w:rPr>
        <w:t xml:space="preserve"> Department of The Performing Arts,</w:t>
      </w:r>
      <w:r>
        <w:rPr>
          <w:lang w:val="en-US"/>
        </w:rPr>
        <w:t xml:space="preserve"> </w:t>
      </w:r>
      <w:r w:rsidRPr="00985C7B">
        <w:rPr>
          <w:rStyle w:val="Strong"/>
        </w:rPr>
        <w:t>Faculty of Arts, University of Ilorin</w:t>
      </w:r>
      <w:r>
        <w:rPr>
          <w:rStyle w:val="Strong"/>
        </w:rPr>
        <w:t>, Ilorin</w:t>
      </w:r>
      <w:r w:rsidRPr="00985C7B">
        <w:rPr>
          <w:rStyle w:val="Strong"/>
        </w:rPr>
        <w:t>.</w:t>
      </w:r>
    </w:p>
  </w:footnote>
  <w:footnote w:id="4">
    <w:p w:rsidR="004F297E" w:rsidRPr="00985C7B" w:rsidRDefault="004F297E" w:rsidP="004F297E">
      <w:pPr>
        <w:pStyle w:val="FootnoteText"/>
        <w:rPr>
          <w:lang w:val="en-US"/>
        </w:rPr>
      </w:pPr>
      <w:r w:rsidRPr="00985C7B">
        <w:rPr>
          <w:rStyle w:val="FootnoteReference"/>
        </w:rPr>
        <w:footnoteRef/>
      </w:r>
      <w:r w:rsidRPr="00985C7B">
        <w:rPr>
          <w:rStyle w:val="Strong"/>
        </w:rPr>
        <w:t xml:space="preserve"> Department of Arabic</w:t>
      </w:r>
      <w:r w:rsidRPr="00985C7B">
        <w:rPr>
          <w:lang w:val="en-US"/>
        </w:rPr>
        <w:t>,</w:t>
      </w:r>
      <w:r>
        <w:rPr>
          <w:lang w:val="en-US"/>
        </w:rPr>
        <w:t xml:space="preserve"> </w:t>
      </w:r>
      <w:r w:rsidRPr="00985C7B">
        <w:rPr>
          <w:rStyle w:val="Strong"/>
        </w:rPr>
        <w:t>Faculty of Arts, University of Ilorin</w:t>
      </w:r>
      <w:r>
        <w:rPr>
          <w:rStyle w:val="Strong"/>
        </w:rPr>
        <w:t>, Ilorin</w:t>
      </w:r>
      <w:r w:rsidRPr="00985C7B">
        <w:rPr>
          <w:rStyle w:val="Strong"/>
        </w:rPr>
        <w:t>.</w:t>
      </w:r>
    </w:p>
  </w:footnote>
  <w:footnote w:id="5">
    <w:p w:rsidR="004F297E" w:rsidRPr="00985C7B" w:rsidRDefault="004F297E" w:rsidP="004F297E">
      <w:pPr>
        <w:pStyle w:val="FootnoteText"/>
        <w:rPr>
          <w:lang w:val="en-US"/>
        </w:rPr>
      </w:pPr>
      <w:r w:rsidRPr="00985C7B">
        <w:rPr>
          <w:rStyle w:val="FootnoteReference"/>
        </w:rPr>
        <w:footnoteRef/>
      </w:r>
      <w:r w:rsidRPr="00985C7B">
        <w:rPr>
          <w:lang w:val="en-US"/>
        </w:rPr>
        <w:t xml:space="preserve"> Department of French,</w:t>
      </w:r>
      <w:r>
        <w:rPr>
          <w:lang w:val="en-US"/>
        </w:rPr>
        <w:t xml:space="preserve"> </w:t>
      </w:r>
      <w:r w:rsidRPr="00985C7B">
        <w:rPr>
          <w:rStyle w:val="Strong"/>
        </w:rPr>
        <w:t>Faculty of Arts, University of Ilorin</w:t>
      </w:r>
      <w:r>
        <w:rPr>
          <w:rStyle w:val="Strong"/>
        </w:rPr>
        <w:t>, Ilorin</w:t>
      </w:r>
      <w:r w:rsidRPr="00985C7B">
        <w:rPr>
          <w:rStyle w:val="Strong"/>
        </w:rPr>
        <w:t>.</w:t>
      </w:r>
    </w:p>
  </w:footnote>
  <w:footnote w:id="6">
    <w:p w:rsidR="004F297E" w:rsidRPr="00985C7B" w:rsidRDefault="004F297E" w:rsidP="004F297E">
      <w:pPr>
        <w:pStyle w:val="FootnoteText"/>
        <w:rPr>
          <w:lang w:val="en-US"/>
        </w:rPr>
      </w:pPr>
      <w:r w:rsidRPr="00985C7B">
        <w:rPr>
          <w:rStyle w:val="FootnoteReference"/>
        </w:rPr>
        <w:footnoteRef/>
      </w:r>
      <w:r w:rsidRPr="00985C7B">
        <w:rPr>
          <w:lang w:val="en-US"/>
        </w:rPr>
        <w:t xml:space="preserve"> Department of Linguistics and Nigerian Languages,</w:t>
      </w:r>
      <w:r>
        <w:rPr>
          <w:lang w:val="en-US"/>
        </w:rPr>
        <w:t xml:space="preserve"> </w:t>
      </w:r>
      <w:r w:rsidRPr="00985C7B">
        <w:rPr>
          <w:rStyle w:val="Strong"/>
        </w:rPr>
        <w:t>Faculty of Arts, University of Ilorin</w:t>
      </w:r>
      <w:r>
        <w:rPr>
          <w:rStyle w:val="Strong"/>
        </w:rPr>
        <w:t>, Ilorin</w:t>
      </w:r>
      <w:r w:rsidRPr="00985C7B">
        <w:rPr>
          <w:rStyle w:val="Strong"/>
        </w:rPr>
        <w:t>.</w:t>
      </w:r>
    </w:p>
  </w:footnote>
  <w:footnote w:id="7">
    <w:p w:rsidR="004F297E" w:rsidRPr="00985C7B" w:rsidRDefault="004F297E" w:rsidP="004F297E">
      <w:pPr>
        <w:pStyle w:val="FootnoteText"/>
        <w:rPr>
          <w:lang w:val="en-US"/>
        </w:rPr>
      </w:pPr>
      <w:r w:rsidRPr="00985C7B">
        <w:rPr>
          <w:rStyle w:val="FootnoteReference"/>
        </w:rPr>
        <w:footnoteRef/>
      </w:r>
      <w:r w:rsidRPr="00985C7B">
        <w:rPr>
          <w:lang w:val="en-US"/>
        </w:rPr>
        <w:t xml:space="preserve"> Department of Arabic,</w:t>
      </w:r>
      <w:r>
        <w:rPr>
          <w:lang w:val="en-US"/>
        </w:rPr>
        <w:t xml:space="preserve"> </w:t>
      </w:r>
      <w:r w:rsidRPr="00985C7B">
        <w:rPr>
          <w:rStyle w:val="Strong"/>
        </w:rPr>
        <w:t>Faculty of Arts, University of Ilorin</w:t>
      </w:r>
      <w:r>
        <w:rPr>
          <w:rStyle w:val="Strong"/>
        </w:rPr>
        <w:t>, Ilorin</w:t>
      </w:r>
      <w:r w:rsidRPr="00985C7B">
        <w:rPr>
          <w:lang w:val="en-US"/>
        </w:rPr>
        <w:t>.</w:t>
      </w:r>
    </w:p>
  </w:footnote>
  <w:footnote w:id="8">
    <w:p w:rsidR="004F297E" w:rsidRPr="00985C7B" w:rsidRDefault="004F297E" w:rsidP="004F297E">
      <w:pPr>
        <w:pStyle w:val="FootnoteText"/>
        <w:rPr>
          <w:lang w:val="en-US"/>
        </w:rPr>
      </w:pPr>
      <w:r w:rsidRPr="00985C7B">
        <w:rPr>
          <w:rStyle w:val="FootnoteReference"/>
        </w:rPr>
        <w:footnoteRef/>
      </w:r>
      <w:r w:rsidRPr="00985C7B">
        <w:rPr>
          <w:lang w:val="en-US"/>
        </w:rPr>
        <w:t xml:space="preserve"> Department of History and International Studies,</w:t>
      </w:r>
      <w:r>
        <w:rPr>
          <w:lang w:val="en-US"/>
        </w:rPr>
        <w:t xml:space="preserve"> </w:t>
      </w:r>
      <w:r w:rsidRPr="00985C7B">
        <w:rPr>
          <w:rStyle w:val="Strong"/>
        </w:rPr>
        <w:t>Faculty of Arts, University of Ilorin</w:t>
      </w:r>
      <w:r>
        <w:rPr>
          <w:rStyle w:val="Strong"/>
        </w:rPr>
        <w:t>, Ilorin</w:t>
      </w:r>
      <w:r w:rsidRPr="00985C7B">
        <w:rPr>
          <w:lang w:val="en-US"/>
        </w:rPr>
        <w:t>.</w:t>
      </w:r>
    </w:p>
  </w:footnote>
  <w:footnote w:id="9">
    <w:p w:rsidR="004F297E" w:rsidRPr="00985C7B" w:rsidRDefault="004F297E" w:rsidP="004F297E">
      <w:pPr>
        <w:pStyle w:val="FootnoteText"/>
        <w:rPr>
          <w:lang w:val="en-US"/>
        </w:rPr>
      </w:pPr>
      <w:r w:rsidRPr="00985C7B">
        <w:rPr>
          <w:rStyle w:val="FootnoteReference"/>
        </w:rPr>
        <w:footnoteRef/>
      </w:r>
      <w:r w:rsidRPr="00985C7B">
        <w:rPr>
          <w:lang w:val="en-US"/>
        </w:rPr>
        <w:t xml:space="preserve"> Department of Religions,</w:t>
      </w:r>
      <w:r>
        <w:rPr>
          <w:lang w:val="en-US"/>
        </w:rPr>
        <w:t xml:space="preserve"> </w:t>
      </w:r>
      <w:r w:rsidRPr="00985C7B">
        <w:rPr>
          <w:rStyle w:val="Strong"/>
        </w:rPr>
        <w:t>Faculty of Arts, University of Ilorin</w:t>
      </w:r>
      <w:r>
        <w:rPr>
          <w:rStyle w:val="Strong"/>
        </w:rPr>
        <w:t>, Ilorin</w:t>
      </w:r>
      <w:r w:rsidRPr="00985C7B">
        <w:rPr>
          <w:lang w:val="en-US"/>
        </w:rPr>
        <w:t>.</w:t>
      </w:r>
    </w:p>
  </w:footnote>
  <w:footnote w:id="10">
    <w:p w:rsidR="004F297E" w:rsidRPr="00985C7B" w:rsidRDefault="004F297E" w:rsidP="004F297E">
      <w:pPr>
        <w:pStyle w:val="FootnoteText"/>
      </w:pPr>
      <w:r w:rsidRPr="00985C7B">
        <w:rPr>
          <w:rStyle w:val="FootnoteReference"/>
        </w:rPr>
        <w:footnoteRef/>
      </w:r>
      <w:r w:rsidRPr="00985C7B">
        <w:rPr>
          <w:lang w:val="en-US"/>
        </w:rPr>
        <w:t xml:space="preserve"> Centre for Peace and Strategic Studies,</w:t>
      </w:r>
      <w:r>
        <w:rPr>
          <w:lang w:val="en-US"/>
        </w:rPr>
        <w:t xml:space="preserve"> </w:t>
      </w:r>
      <w:r w:rsidRPr="00985C7B">
        <w:rPr>
          <w:rStyle w:val="Strong"/>
        </w:rPr>
        <w:t>University of Ilorin</w:t>
      </w:r>
      <w:r>
        <w:rPr>
          <w:rStyle w:val="Strong"/>
        </w:rPr>
        <w:t>, Ilorin</w:t>
      </w:r>
      <w:r w:rsidRPr="00985C7B">
        <w:rPr>
          <w:rStyle w:val="Strong"/>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D85809"/>
    <w:multiLevelType w:val="hybridMultilevel"/>
    <w:tmpl w:val="33B03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97E"/>
    <w:rsid w:val="004F297E"/>
    <w:rsid w:val="00520368"/>
    <w:rsid w:val="007C21A7"/>
    <w:rsid w:val="008E1B18"/>
    <w:rsid w:val="00EF2EB7"/>
    <w:rsid w:val="00F54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10360-0C7D-4D4C-BCD6-2E747E1D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97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97E"/>
    <w:pPr>
      <w:ind w:left="720"/>
      <w:contextualSpacing/>
    </w:pPr>
  </w:style>
  <w:style w:type="paragraph" w:styleId="Footer">
    <w:name w:val="footer"/>
    <w:basedOn w:val="Normal"/>
    <w:link w:val="FooterChar"/>
    <w:uiPriority w:val="99"/>
    <w:unhideWhenUsed/>
    <w:rsid w:val="004F29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97E"/>
    <w:rPr>
      <w:lang w:val="en-GB"/>
    </w:rPr>
  </w:style>
  <w:style w:type="paragraph" w:styleId="FootnoteText">
    <w:name w:val="footnote text"/>
    <w:basedOn w:val="Normal"/>
    <w:link w:val="FootnoteTextChar"/>
    <w:uiPriority w:val="99"/>
    <w:unhideWhenUsed/>
    <w:rsid w:val="004F297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4F297E"/>
    <w:rPr>
      <w:rFonts w:ascii="Times New Roman" w:eastAsia="Times New Roman" w:hAnsi="Times New Roman" w:cs="Times New Roman"/>
      <w:sz w:val="20"/>
      <w:szCs w:val="20"/>
      <w:lang w:val="en-GB"/>
    </w:rPr>
  </w:style>
  <w:style w:type="character" w:styleId="Strong">
    <w:name w:val="Strong"/>
    <w:basedOn w:val="DefaultParagraphFont"/>
    <w:uiPriority w:val="22"/>
    <w:qFormat/>
    <w:rsid w:val="004F297E"/>
    <w:rPr>
      <w:b/>
      <w:bCs/>
    </w:rPr>
  </w:style>
  <w:style w:type="character" w:styleId="FootnoteReference">
    <w:name w:val="footnote reference"/>
    <w:basedOn w:val="DefaultParagraphFont"/>
    <w:uiPriority w:val="99"/>
    <w:semiHidden/>
    <w:unhideWhenUsed/>
    <w:rsid w:val="004F29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6840</Words>
  <Characters>38988</Characters>
  <Application>Microsoft Office Word</Application>
  <DocSecurity>0</DocSecurity>
  <Lines>324</Lines>
  <Paragraphs>91</Paragraphs>
  <ScaleCrop>false</ScaleCrop>
  <Company/>
  <LinksUpToDate>false</LinksUpToDate>
  <CharactersWithSpaces>45737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2020-09-25T20:45:00Z</dcterms:created>
  <dcterms:modified xsi:type="dcterms:W3CDTF">2020-09-25T20:46:00Z</dcterms:modified>
</cp:coreProperties>
</file>