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0BE" w:rsidRDefault="004E30BE" w:rsidP="004E30BE">
      <w:pPr>
        <w:jc w:val="both"/>
        <w:rPr>
          <w:rFonts w:ascii="Times New Roman" w:hAnsi="Times New Roman" w:cs="Times New Roman"/>
          <w:sz w:val="24"/>
          <w:szCs w:val="24"/>
        </w:rPr>
      </w:pPr>
      <w:r w:rsidRPr="004E30BE">
        <w:rPr>
          <w:rFonts w:ascii="Times New Roman" w:hAnsi="Times New Roman" w:cs="Times New Roman"/>
          <w:sz w:val="24"/>
          <w:szCs w:val="24"/>
        </w:rPr>
        <w:t xml:space="preserve">POST-OGUNIST TEMPER AND INTERVENTIONS IN WOLE SOYINKA’S ALAPATA APATA (2011) </w:t>
      </w:r>
    </w:p>
    <w:p w:rsidR="004E30BE" w:rsidRDefault="004E30BE" w:rsidP="004E30BE">
      <w:pPr>
        <w:jc w:val="both"/>
        <w:rPr>
          <w:rFonts w:ascii="Times New Roman" w:hAnsi="Times New Roman" w:cs="Times New Roman"/>
          <w:sz w:val="24"/>
          <w:szCs w:val="24"/>
        </w:rPr>
      </w:pPr>
      <w:r w:rsidRPr="004E30BE">
        <w:rPr>
          <w:rFonts w:ascii="Times New Roman" w:hAnsi="Times New Roman" w:cs="Times New Roman"/>
          <w:sz w:val="24"/>
          <w:szCs w:val="24"/>
        </w:rPr>
        <w:t xml:space="preserve">This article engages with </w:t>
      </w:r>
      <w:proofErr w:type="spellStart"/>
      <w:r w:rsidRPr="004E30BE">
        <w:rPr>
          <w:rFonts w:ascii="Times New Roman" w:hAnsi="Times New Roman" w:cs="Times New Roman"/>
          <w:sz w:val="24"/>
          <w:szCs w:val="24"/>
        </w:rPr>
        <w:t>Wole</w:t>
      </w:r>
      <w:proofErr w:type="spellEnd"/>
      <w:r w:rsidRPr="004E30BE">
        <w:rPr>
          <w:rFonts w:ascii="Times New Roman" w:hAnsi="Times New Roman" w:cs="Times New Roman"/>
          <w:sz w:val="24"/>
          <w:szCs w:val="24"/>
        </w:rPr>
        <w:t xml:space="preserve"> Soyinka’s parody on the current postcolonial realities in </w:t>
      </w:r>
      <w:proofErr w:type="spellStart"/>
      <w:r w:rsidRPr="004E30BE">
        <w:rPr>
          <w:rFonts w:ascii="Times New Roman" w:hAnsi="Times New Roman" w:cs="Times New Roman"/>
          <w:sz w:val="24"/>
          <w:szCs w:val="24"/>
        </w:rPr>
        <w:t>Alapata</w:t>
      </w:r>
      <w:proofErr w:type="spellEnd"/>
      <w:r w:rsidRPr="004E30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0BE">
        <w:rPr>
          <w:rFonts w:ascii="Times New Roman" w:hAnsi="Times New Roman" w:cs="Times New Roman"/>
          <w:sz w:val="24"/>
          <w:szCs w:val="24"/>
        </w:rPr>
        <w:t>Apata</w:t>
      </w:r>
      <w:proofErr w:type="spellEnd"/>
      <w:r w:rsidRPr="004E30BE">
        <w:rPr>
          <w:rFonts w:ascii="Times New Roman" w:hAnsi="Times New Roman" w:cs="Times New Roman"/>
          <w:sz w:val="24"/>
          <w:szCs w:val="24"/>
        </w:rPr>
        <w:t xml:space="preserve"> (2011). The article begins by isolating, at least, two major dimensions discernible in Soyinka’s dramaturgy- in the nodes of cultural revalidation and social interventions- and their links with </w:t>
      </w:r>
      <w:proofErr w:type="spellStart"/>
      <w:r w:rsidRPr="004E30BE">
        <w:rPr>
          <w:rFonts w:ascii="Times New Roman" w:hAnsi="Times New Roman" w:cs="Times New Roman"/>
          <w:sz w:val="24"/>
          <w:szCs w:val="24"/>
        </w:rPr>
        <w:t>Ogun</w:t>
      </w:r>
      <w:proofErr w:type="spellEnd"/>
      <w:r w:rsidRPr="004E30BE">
        <w:rPr>
          <w:rFonts w:ascii="Times New Roman" w:hAnsi="Times New Roman" w:cs="Times New Roman"/>
          <w:sz w:val="24"/>
          <w:szCs w:val="24"/>
        </w:rPr>
        <w:t xml:space="preserve"> in Soyinka’s plays. The paper brings these into relation with the diverse social phases and crises mirrored in Soyinka’s plays and narrows down to the current post-dictatorship phase where, like other interventions, Soyinka presented an avatar of </w:t>
      </w:r>
      <w:proofErr w:type="spellStart"/>
      <w:r w:rsidRPr="004E30BE">
        <w:rPr>
          <w:rFonts w:ascii="Times New Roman" w:hAnsi="Times New Roman" w:cs="Times New Roman"/>
          <w:sz w:val="24"/>
          <w:szCs w:val="24"/>
        </w:rPr>
        <w:t>Ogun</w:t>
      </w:r>
      <w:proofErr w:type="spellEnd"/>
      <w:r w:rsidRPr="004E30BE">
        <w:rPr>
          <w:rFonts w:ascii="Times New Roman" w:hAnsi="Times New Roman" w:cs="Times New Roman"/>
          <w:sz w:val="24"/>
          <w:szCs w:val="24"/>
        </w:rPr>
        <w:t xml:space="preserve"> in his interrogation of leadership failure and other social malaises. The paper argues that the playwright’s re-invention of </w:t>
      </w:r>
      <w:proofErr w:type="spellStart"/>
      <w:r w:rsidRPr="004E30BE">
        <w:rPr>
          <w:rFonts w:ascii="Times New Roman" w:hAnsi="Times New Roman" w:cs="Times New Roman"/>
          <w:sz w:val="24"/>
          <w:szCs w:val="24"/>
        </w:rPr>
        <w:t>Ogun</w:t>
      </w:r>
      <w:proofErr w:type="spellEnd"/>
      <w:r w:rsidRPr="004E30BE">
        <w:rPr>
          <w:rFonts w:ascii="Times New Roman" w:hAnsi="Times New Roman" w:cs="Times New Roman"/>
          <w:sz w:val="24"/>
          <w:szCs w:val="24"/>
        </w:rPr>
        <w:t xml:space="preserve"> is a radical departure from the avant-gardist disposition of all other </w:t>
      </w:r>
      <w:proofErr w:type="spellStart"/>
      <w:r w:rsidRPr="004E30BE">
        <w:rPr>
          <w:rFonts w:ascii="Times New Roman" w:hAnsi="Times New Roman" w:cs="Times New Roman"/>
          <w:sz w:val="24"/>
          <w:szCs w:val="24"/>
        </w:rPr>
        <w:t>Ogun</w:t>
      </w:r>
      <w:proofErr w:type="spellEnd"/>
      <w:r w:rsidRPr="004E30BE">
        <w:rPr>
          <w:rFonts w:ascii="Times New Roman" w:hAnsi="Times New Roman" w:cs="Times New Roman"/>
          <w:sz w:val="24"/>
          <w:szCs w:val="24"/>
        </w:rPr>
        <w:t xml:space="preserve"> avatars that preceded </w:t>
      </w:r>
      <w:proofErr w:type="spellStart"/>
      <w:r w:rsidRPr="004E30BE">
        <w:rPr>
          <w:rFonts w:ascii="Times New Roman" w:hAnsi="Times New Roman" w:cs="Times New Roman"/>
          <w:sz w:val="24"/>
          <w:szCs w:val="24"/>
        </w:rPr>
        <w:t>Alaba</w:t>
      </w:r>
      <w:proofErr w:type="spellEnd"/>
      <w:r w:rsidRPr="004E30BE">
        <w:rPr>
          <w:rFonts w:ascii="Times New Roman" w:hAnsi="Times New Roman" w:cs="Times New Roman"/>
          <w:sz w:val="24"/>
          <w:szCs w:val="24"/>
        </w:rPr>
        <w:t xml:space="preserve">. The conclusion of the paper, on account of </w:t>
      </w:r>
      <w:proofErr w:type="spellStart"/>
      <w:r w:rsidRPr="004E30BE">
        <w:rPr>
          <w:rFonts w:ascii="Times New Roman" w:hAnsi="Times New Roman" w:cs="Times New Roman"/>
          <w:sz w:val="24"/>
          <w:szCs w:val="24"/>
        </w:rPr>
        <w:t>Alaba’s</w:t>
      </w:r>
      <w:proofErr w:type="spellEnd"/>
      <w:r w:rsidRPr="004E30BE">
        <w:rPr>
          <w:rFonts w:ascii="Times New Roman" w:hAnsi="Times New Roman" w:cs="Times New Roman"/>
          <w:sz w:val="24"/>
          <w:szCs w:val="24"/>
        </w:rPr>
        <w:t xml:space="preserve"> accidental canonization, is interpreted as Soyinka’s veiled chastisement of political leaders whose failures have perpetuated diverse crises in the space mirrored in the play. </w:t>
      </w:r>
    </w:p>
    <w:p w:rsidR="00B9668E" w:rsidRPr="004E30BE" w:rsidRDefault="004E30BE" w:rsidP="004E30BE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E30BE">
        <w:rPr>
          <w:rFonts w:ascii="Times New Roman" w:hAnsi="Times New Roman" w:cs="Times New Roman"/>
          <w:sz w:val="24"/>
          <w:szCs w:val="24"/>
        </w:rPr>
        <w:t xml:space="preserve">Keywords: </w:t>
      </w:r>
      <w:proofErr w:type="spellStart"/>
      <w:r w:rsidRPr="004E30BE">
        <w:rPr>
          <w:rFonts w:ascii="Times New Roman" w:hAnsi="Times New Roman" w:cs="Times New Roman"/>
          <w:sz w:val="24"/>
          <w:szCs w:val="24"/>
        </w:rPr>
        <w:t>Wole</w:t>
      </w:r>
      <w:proofErr w:type="spellEnd"/>
      <w:r w:rsidRPr="004E30BE">
        <w:rPr>
          <w:rFonts w:ascii="Times New Roman" w:hAnsi="Times New Roman" w:cs="Times New Roman"/>
          <w:sz w:val="24"/>
          <w:szCs w:val="24"/>
        </w:rPr>
        <w:t xml:space="preserve"> Soyinka, post-Ogunist, myth, social intervention</w:t>
      </w:r>
    </w:p>
    <w:sectPr w:rsidR="00B9668E" w:rsidRPr="004E30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68E"/>
    <w:rsid w:val="00180353"/>
    <w:rsid w:val="004D0A4E"/>
    <w:rsid w:val="004E30BE"/>
    <w:rsid w:val="00957505"/>
    <w:rsid w:val="00B9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CA58DC-5E60-449A-AC0F-C8F10FE39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66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9668E"/>
    <w:rPr>
      <w:color w:val="0563C1" w:themeColor="hyperlink"/>
      <w:u w:val="single"/>
    </w:rPr>
  </w:style>
  <w:style w:type="paragraph" w:customStyle="1" w:styleId="Default">
    <w:name w:val="Default"/>
    <w:rsid w:val="00B966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YINKA AFOLAYAN</dc:creator>
  <cp:keywords/>
  <dc:description/>
  <cp:lastModifiedBy>DR YINKA AFOLAYAN</cp:lastModifiedBy>
  <cp:revision>2</cp:revision>
  <dcterms:created xsi:type="dcterms:W3CDTF">2026-02-25T13:19:00Z</dcterms:created>
  <dcterms:modified xsi:type="dcterms:W3CDTF">2026-02-25T13:19:00Z</dcterms:modified>
</cp:coreProperties>
</file>