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222E" w:rsidRDefault="0083222E" w:rsidP="007D3520">
      <w:pPr>
        <w:spacing w:line="480" w:lineRule="auto"/>
        <w:jc w:val="center"/>
        <w:rPr>
          <w:b/>
        </w:rPr>
      </w:pPr>
    </w:p>
    <w:p w:rsidR="0083222E" w:rsidRPr="0083222E" w:rsidRDefault="0083222E" w:rsidP="0083222E">
      <w:pPr>
        <w:jc w:val="both"/>
        <w:rPr>
          <w:b/>
          <w:sz w:val="20"/>
          <w:szCs w:val="20"/>
        </w:rPr>
      </w:pPr>
      <w:r w:rsidRPr="0083222E">
        <w:rPr>
          <w:b/>
          <w:bCs/>
          <w:sz w:val="20"/>
          <w:szCs w:val="20"/>
        </w:rPr>
        <w:t xml:space="preserve">Onuora-Oguno A.C &amp; </w:t>
      </w:r>
      <w:r w:rsidRPr="0083222E">
        <w:rPr>
          <w:bCs/>
          <w:sz w:val="20"/>
          <w:szCs w:val="20"/>
        </w:rPr>
        <w:t>Ushie N</w:t>
      </w:r>
      <w:r w:rsidRPr="0083222E">
        <w:rPr>
          <w:sz w:val="20"/>
          <w:szCs w:val="20"/>
        </w:rPr>
        <w:tab/>
      </w:r>
      <w:r w:rsidRPr="0083222E">
        <w:rPr>
          <w:b/>
          <w:bCs/>
          <w:iCs/>
          <w:sz w:val="20"/>
          <w:szCs w:val="20"/>
        </w:rPr>
        <w:t>(2013)</w:t>
      </w:r>
      <w:r w:rsidRPr="0083222E">
        <w:rPr>
          <w:b/>
          <w:bCs/>
          <w:i/>
          <w:iCs/>
          <w:sz w:val="20"/>
          <w:szCs w:val="20"/>
        </w:rPr>
        <w:t xml:space="preserve"> </w:t>
      </w:r>
      <w:bookmarkStart w:id="0" w:name="_GoBack"/>
      <w:r w:rsidRPr="0083222E">
        <w:rPr>
          <w:b/>
          <w:bCs/>
          <w:i/>
          <w:iCs/>
          <w:sz w:val="20"/>
          <w:szCs w:val="20"/>
        </w:rPr>
        <w:t>“</w:t>
      </w:r>
      <w:r w:rsidRPr="0083222E">
        <w:rPr>
          <w:bCs/>
          <w:i/>
          <w:iCs/>
          <w:sz w:val="20"/>
          <w:szCs w:val="20"/>
        </w:rPr>
        <w:t>Death</w:t>
      </w:r>
      <w:r w:rsidRPr="0083222E">
        <w:rPr>
          <w:sz w:val="20"/>
          <w:szCs w:val="20"/>
        </w:rPr>
        <w:t xml:space="preserve"> Penalty: a Violation of the Fundamental Right to Life in Nigeria?” </w:t>
      </w:r>
      <w:bookmarkEnd w:id="0"/>
      <w:r w:rsidRPr="0083222E">
        <w:rPr>
          <w:b/>
          <w:bCs/>
          <w:i/>
          <w:iCs/>
          <w:sz w:val="20"/>
          <w:szCs w:val="20"/>
        </w:rPr>
        <w:t>Journal of International and Comparative</w:t>
      </w:r>
      <w:r w:rsidRPr="0083222E">
        <w:rPr>
          <w:b/>
          <w:bCs/>
          <w:i/>
          <w:sz w:val="20"/>
          <w:szCs w:val="20"/>
        </w:rPr>
        <w:t xml:space="preserve"> </w:t>
      </w:r>
      <w:r w:rsidRPr="0083222E">
        <w:rPr>
          <w:b/>
          <w:bCs/>
          <w:i/>
          <w:iCs/>
          <w:sz w:val="20"/>
          <w:szCs w:val="20"/>
        </w:rPr>
        <w:t xml:space="preserve">Law; </w:t>
      </w:r>
      <w:r w:rsidRPr="0083222E">
        <w:rPr>
          <w:b/>
          <w:bCs/>
          <w:iCs/>
          <w:sz w:val="20"/>
          <w:szCs w:val="20"/>
        </w:rPr>
        <w:t xml:space="preserve">7, </w:t>
      </w:r>
      <w:r w:rsidRPr="0083222E">
        <w:rPr>
          <w:bCs/>
          <w:iCs/>
          <w:sz w:val="20"/>
          <w:szCs w:val="20"/>
        </w:rPr>
        <w:t>262-278, Published by Jurisprudence and International Law Department, University of Ilorin.</w:t>
      </w:r>
    </w:p>
    <w:p w:rsidR="0083222E" w:rsidRDefault="0083222E" w:rsidP="007D3520">
      <w:pPr>
        <w:spacing w:line="480" w:lineRule="auto"/>
        <w:jc w:val="center"/>
        <w:rPr>
          <w:b/>
        </w:rPr>
      </w:pPr>
    </w:p>
    <w:p w:rsidR="007D3520" w:rsidRPr="008B3F33" w:rsidRDefault="007D3520" w:rsidP="007D3520">
      <w:pPr>
        <w:spacing w:line="480" w:lineRule="auto"/>
        <w:jc w:val="center"/>
        <w:rPr>
          <w:b/>
        </w:rPr>
      </w:pPr>
      <w:r w:rsidRPr="008B3F33">
        <w:rPr>
          <w:b/>
        </w:rPr>
        <w:t>O</w:t>
      </w:r>
      <w:r w:rsidR="004452B1" w:rsidRPr="008B3F33">
        <w:rPr>
          <w:b/>
        </w:rPr>
        <w:t>VER FLOGGED OR UNDER EMPHASIZED:</w:t>
      </w:r>
      <w:r w:rsidRPr="008B3F33">
        <w:rPr>
          <w:b/>
        </w:rPr>
        <w:t xml:space="preserve"> DEATH PENALTY A VIOLATION OF THE FUNDAMENTAL RIGHT TO LIFE</w:t>
      </w:r>
      <w:r w:rsidR="00B379E8">
        <w:rPr>
          <w:b/>
        </w:rPr>
        <w:t xml:space="preserve"> IN NIGERIA?</w:t>
      </w:r>
    </w:p>
    <w:p w:rsidR="007D3520" w:rsidRPr="008B3F33" w:rsidRDefault="007D3520" w:rsidP="007D3520">
      <w:pPr>
        <w:spacing w:line="480" w:lineRule="auto"/>
        <w:jc w:val="center"/>
        <w:rPr>
          <w:b/>
        </w:rPr>
      </w:pPr>
      <w:r w:rsidRPr="008B3F33">
        <w:rPr>
          <w:b/>
        </w:rPr>
        <w:t>BY</w:t>
      </w:r>
    </w:p>
    <w:p w:rsidR="00267556" w:rsidRDefault="00267556" w:rsidP="00267556">
      <w:pPr>
        <w:spacing w:line="480" w:lineRule="auto"/>
        <w:jc w:val="center"/>
        <w:rPr>
          <w:b/>
        </w:rPr>
      </w:pPr>
      <w:r w:rsidRPr="008B3F33">
        <w:rPr>
          <w:b/>
        </w:rPr>
        <w:t>Onuora-Oguno Azubike</w:t>
      </w:r>
      <w:r w:rsidRPr="008A47D5">
        <w:rPr>
          <w:rStyle w:val="FootnoteReference"/>
          <w:b/>
        </w:rPr>
        <w:footnoteReference w:customMarkFollows="1" w:id="1"/>
        <w:sym w:font="Symbol" w:char="F0A8"/>
      </w:r>
      <w:r w:rsidR="0083222E" w:rsidRPr="0083222E">
        <w:rPr>
          <w:b/>
        </w:rPr>
        <w:t xml:space="preserve"> </w:t>
      </w:r>
      <w:r w:rsidR="0083222E" w:rsidRPr="008B3F33">
        <w:rPr>
          <w:b/>
        </w:rPr>
        <w:t>and</w:t>
      </w:r>
      <w:r w:rsidR="0083222E" w:rsidRPr="008B3F33">
        <w:rPr>
          <w:b/>
        </w:rPr>
        <w:t xml:space="preserve"> </w:t>
      </w:r>
      <w:r w:rsidR="0083222E" w:rsidRPr="008B3F33">
        <w:rPr>
          <w:b/>
        </w:rPr>
        <w:t>Ushie Nneka</w:t>
      </w:r>
      <w:r w:rsidR="0083222E" w:rsidRPr="008A47D5">
        <w:rPr>
          <w:rStyle w:val="FootnoteReference"/>
          <w:b/>
        </w:rPr>
        <w:footnoteReference w:customMarkFollows="1" w:id="2"/>
        <w:sym w:font="Symbol" w:char="F0A8"/>
      </w:r>
      <w:r w:rsidR="0083222E">
        <w:rPr>
          <w:b/>
        </w:rPr>
        <w:t xml:space="preserve"> </w:t>
      </w:r>
    </w:p>
    <w:p w:rsidR="00B379E8" w:rsidRPr="0012441C" w:rsidRDefault="00B379E8" w:rsidP="00B379E8">
      <w:pPr>
        <w:pStyle w:val="ListParagraph"/>
        <w:spacing w:line="360" w:lineRule="auto"/>
        <w:ind w:left="1440"/>
        <w:jc w:val="both"/>
        <w:rPr>
          <w:rFonts w:ascii="Arial" w:hAnsi="Arial" w:cs="Arial"/>
          <w:i/>
          <w:sz w:val="20"/>
        </w:rPr>
      </w:pPr>
      <w:r w:rsidRPr="0012441C">
        <w:rPr>
          <w:rFonts w:ascii="Arial" w:hAnsi="Arial" w:cs="Arial"/>
          <w:i/>
          <w:sz w:val="20"/>
        </w:rPr>
        <w:t xml:space="preserve">All human rights are of no significance without the right to life as ‘life’ is a prerequisite for the enjoyment of all rights; </w:t>
      </w:r>
      <w:r>
        <w:rPr>
          <w:rFonts w:ascii="Arial" w:hAnsi="Arial" w:cs="Arial"/>
          <w:i/>
          <w:sz w:val="20"/>
        </w:rPr>
        <w:t>t</w:t>
      </w:r>
      <w:r w:rsidRPr="0012441C">
        <w:rPr>
          <w:rFonts w:ascii="Arial" w:hAnsi="Arial" w:cs="Arial"/>
          <w:i/>
          <w:sz w:val="20"/>
        </w:rPr>
        <w:t>his is in light of the fact that any punishment that stripes a human of his dignity or of his humanity is everything but cruel and degrading.</w:t>
      </w:r>
      <w:r w:rsidRPr="0012441C">
        <w:rPr>
          <w:rStyle w:val="FootnoteReference"/>
          <w:rFonts w:ascii="Arial" w:hAnsi="Arial" w:cs="Arial"/>
          <w:i/>
        </w:rPr>
        <w:footnoteReference w:id="3"/>
      </w:r>
    </w:p>
    <w:p w:rsidR="00765A67" w:rsidRDefault="00765A67" w:rsidP="007D3520">
      <w:pPr>
        <w:spacing w:line="480" w:lineRule="auto"/>
        <w:rPr>
          <w:b/>
        </w:rPr>
      </w:pPr>
    </w:p>
    <w:p w:rsidR="004F2B6B" w:rsidRPr="008B3F33" w:rsidRDefault="0029686F" w:rsidP="007D3520">
      <w:pPr>
        <w:spacing w:line="480" w:lineRule="auto"/>
        <w:rPr>
          <w:b/>
        </w:rPr>
      </w:pPr>
      <w:r w:rsidRPr="008B3F33">
        <w:rPr>
          <w:b/>
        </w:rPr>
        <w:t>1.1</w:t>
      </w:r>
      <w:r w:rsidRPr="008B3F33">
        <w:rPr>
          <w:b/>
        </w:rPr>
        <w:tab/>
      </w:r>
      <w:r w:rsidR="004F2B6B" w:rsidRPr="008B3F33">
        <w:rPr>
          <w:b/>
        </w:rPr>
        <w:t>INTRODUCTION</w:t>
      </w:r>
    </w:p>
    <w:p w:rsidR="007D3520" w:rsidRPr="008B3F33" w:rsidRDefault="007D3520" w:rsidP="007D3520">
      <w:pPr>
        <w:spacing w:line="480" w:lineRule="auto"/>
        <w:jc w:val="both"/>
      </w:pPr>
      <w:r w:rsidRPr="008B3F33">
        <w:t xml:space="preserve">The death penalty has been with mankind since antiquity. Globally, it dates back as far as the fifth century B.C in the Roman law of the twelve tablets, the Draconian code of Anthems of the seventh century BC, and </w:t>
      </w:r>
      <w:r w:rsidR="000A27C9">
        <w:t>the</w:t>
      </w:r>
      <w:r w:rsidRPr="008B3F33">
        <w:t xml:space="preserve"> code of the Fourteenth century B.C. </w:t>
      </w:r>
      <w:r w:rsidR="000A27C9" w:rsidRPr="008B3F33">
        <w:t xml:space="preserve">The </w:t>
      </w:r>
      <w:r w:rsidRPr="008B3F33">
        <w:t xml:space="preserve">death penalty is mandatory or discretionary, depending on the crime. Also, the range of crimes for which the death penalty is or might be imposed varies from country to country. In some, it is extremely wide while in others, it has </w:t>
      </w:r>
      <w:r w:rsidR="000A27C9">
        <w:t xml:space="preserve">either </w:t>
      </w:r>
      <w:r w:rsidRPr="008B3F33">
        <w:t>contracted or expanded.</w:t>
      </w:r>
    </w:p>
    <w:p w:rsidR="007D3520" w:rsidRPr="008B3F33" w:rsidRDefault="007D3520" w:rsidP="009C04D8">
      <w:pPr>
        <w:pStyle w:val="ListParagraph"/>
        <w:ind w:left="360"/>
        <w:jc w:val="both"/>
      </w:pPr>
    </w:p>
    <w:p w:rsidR="007D3520" w:rsidRPr="008B3F33" w:rsidRDefault="007D3520" w:rsidP="007D3520">
      <w:pPr>
        <w:spacing w:line="480" w:lineRule="auto"/>
        <w:jc w:val="both"/>
      </w:pPr>
      <w:r w:rsidRPr="008B3F33">
        <w:t>The earliest method of execution were crucifixion, drowning, beating to death, burning to death and later in the 10</w:t>
      </w:r>
      <w:r w:rsidRPr="008B3F33">
        <w:rPr>
          <w:vertAlign w:val="superscript"/>
        </w:rPr>
        <w:t>th</w:t>
      </w:r>
      <w:r w:rsidRPr="008B3F33">
        <w:t xml:space="preserve"> century AD, hanging became the usual method of execution in Britain. In the </w:t>
      </w:r>
      <w:r w:rsidR="009C04D8" w:rsidRPr="008B3F33">
        <w:t>1</w:t>
      </w:r>
      <w:r w:rsidRPr="008B3F33">
        <w:t>0</w:t>
      </w:r>
      <w:r w:rsidRPr="008B3F33">
        <w:rPr>
          <w:vertAlign w:val="superscript"/>
        </w:rPr>
        <w:t>th</w:t>
      </w:r>
      <w:r w:rsidR="009C04D8" w:rsidRPr="008B3F33">
        <w:t xml:space="preserve"> c</w:t>
      </w:r>
      <w:r w:rsidRPr="008B3F33">
        <w:t>entury methods of execution were boiling, burning at the stake, hanging beheading and drawing and quartering. During the 18</w:t>
      </w:r>
      <w:r w:rsidRPr="008B3F33">
        <w:rPr>
          <w:vertAlign w:val="superscript"/>
        </w:rPr>
        <w:t>th</w:t>
      </w:r>
      <w:r w:rsidRPr="008B3F33">
        <w:t xml:space="preserve"> century, methods of execution included burning at the stake, the wheel, and the garrote- head mans axe and later electrocution, gas chamber, tiring squad, handing </w:t>
      </w:r>
      <w:r w:rsidRPr="008B3F33">
        <w:lastRenderedPageBreak/>
        <w:t>and lethal injection. Life imprisonment was also starting to be used as a feasible alternative to the death penalty.</w:t>
      </w:r>
    </w:p>
    <w:p w:rsidR="004D38BE" w:rsidRDefault="004D38BE" w:rsidP="004F2B6B">
      <w:pPr>
        <w:spacing w:line="480" w:lineRule="auto"/>
        <w:jc w:val="both"/>
      </w:pPr>
    </w:p>
    <w:p w:rsidR="007D3520" w:rsidRPr="008B3F33" w:rsidRDefault="009C04D8" w:rsidP="004F2B6B">
      <w:pPr>
        <w:spacing w:line="480" w:lineRule="auto"/>
        <w:jc w:val="both"/>
      </w:pPr>
      <w:r w:rsidRPr="008B3F33">
        <w:t xml:space="preserve">As the concept of human rights increased across the globe, issues of human rights started finding place among the nation’s leading to the entering into force of the Universal </w:t>
      </w:r>
      <w:r w:rsidR="000A27C9" w:rsidRPr="008B3F33">
        <w:t xml:space="preserve">Declaration </w:t>
      </w:r>
      <w:r w:rsidRPr="008B3F33">
        <w:t xml:space="preserve">of </w:t>
      </w:r>
      <w:r w:rsidR="000A27C9" w:rsidRPr="008B3F33">
        <w:t xml:space="preserve">Human Rights </w:t>
      </w:r>
      <w:r w:rsidRPr="008B3F33">
        <w:t>(UDHR) on December 10, 1948. Several other treaties were put in place to promo</w:t>
      </w:r>
      <w:r w:rsidR="008F544C" w:rsidRPr="008B3F33">
        <w:t>te and protect the rights of humans. With the end of colonialism in most of the developing nations today, the quest to advance from human wrongs to human rights have either been frustrated or slowly enhanced.</w:t>
      </w:r>
    </w:p>
    <w:p w:rsidR="008F544C" w:rsidRPr="008B3F33" w:rsidRDefault="008F544C" w:rsidP="008F544C">
      <w:pPr>
        <w:jc w:val="both"/>
      </w:pPr>
    </w:p>
    <w:p w:rsidR="004F2B6B" w:rsidRPr="008B3F33" w:rsidRDefault="004F2B6B" w:rsidP="004F2B6B">
      <w:pPr>
        <w:spacing w:line="480" w:lineRule="auto"/>
        <w:jc w:val="both"/>
      </w:pPr>
      <w:r w:rsidRPr="008B3F33">
        <w:t>The development and entrenchment of fundamental rights in Nigeria is a Paradox of sorts while colonialism and colonial administration lasted in the Country, regard to the rights of the citizenry was limited. Colonialism is t</w:t>
      </w:r>
      <w:r w:rsidR="00EF2F7D">
        <w:t>he denial of the rights of the colonized p</w:t>
      </w:r>
      <w:r w:rsidRPr="008B3F33">
        <w:t xml:space="preserve">eople. Having just emerged from the traumatic experience of military rule, </w:t>
      </w:r>
      <w:r w:rsidR="002B6522">
        <w:t>it is important</w:t>
      </w:r>
      <w:r w:rsidRPr="008B3F33">
        <w:t xml:space="preserve"> to appropriately locate th</w:t>
      </w:r>
      <w:r w:rsidR="000A27C9">
        <w:t xml:space="preserve">e death penalty </w:t>
      </w:r>
      <w:r w:rsidRPr="008B3F33">
        <w:t>debate within the context of the emergence of the current democratic space as well as the constitutional regime.</w:t>
      </w:r>
    </w:p>
    <w:p w:rsidR="004F2B6B" w:rsidRPr="008B3F33" w:rsidRDefault="004F2B6B" w:rsidP="004F2B6B">
      <w:pPr>
        <w:spacing w:line="480" w:lineRule="auto"/>
        <w:jc w:val="both"/>
      </w:pPr>
      <w:r w:rsidRPr="008B3F33">
        <w:t xml:space="preserve">In Ransome-Kuti v A.G. of the </w:t>
      </w:r>
      <w:r w:rsidR="002B6522" w:rsidRPr="008B3F33">
        <w:t>Federation</w:t>
      </w:r>
      <w:r w:rsidRPr="008B3F33">
        <w:rPr>
          <w:rStyle w:val="FootnoteReference"/>
        </w:rPr>
        <w:footnoteReference w:id="4"/>
      </w:r>
      <w:r w:rsidRPr="008B3F33">
        <w:t xml:space="preserve"> Eso J.S.C described a fundamental right thus:-</w:t>
      </w:r>
    </w:p>
    <w:p w:rsidR="004F2B6B" w:rsidRPr="008B3F33" w:rsidRDefault="004F2B6B" w:rsidP="00C376D1">
      <w:pPr>
        <w:ind w:left="720"/>
        <w:jc w:val="both"/>
      </w:pPr>
      <w:r w:rsidRPr="008B3F33">
        <w:rPr>
          <w:i/>
        </w:rPr>
        <w:t xml:space="preserve">It is a right which stands above the ordinary laws of the land and which in fact, is antecedent to the political society itself. It is primary condition to a civilized existence and what has been done by our constitution since independence… is to have rights enshrined in the Constitution so that the rights could be “Immutable to the extent of the “non-Immutability” of the Constitution itself. </w:t>
      </w:r>
      <w:r w:rsidRPr="008B3F33">
        <w:t xml:space="preserve"> </w:t>
      </w:r>
    </w:p>
    <w:p w:rsidR="008F544C" w:rsidRPr="008B3F33" w:rsidRDefault="008F544C" w:rsidP="004A5AC8">
      <w:pPr>
        <w:spacing w:line="480" w:lineRule="auto"/>
        <w:jc w:val="both"/>
      </w:pPr>
    </w:p>
    <w:p w:rsidR="00122745" w:rsidRPr="008B3F33" w:rsidRDefault="00122745" w:rsidP="007A4F71">
      <w:pPr>
        <w:spacing w:line="480" w:lineRule="auto"/>
        <w:jc w:val="both"/>
      </w:pPr>
      <w:r w:rsidRPr="008B3F33">
        <w:t>Under the p</w:t>
      </w:r>
      <w:r w:rsidR="004F2B6B" w:rsidRPr="008B3F33">
        <w:t>resent dispensation in Nigeria, these rights are guaranteed under chapter IV of the CFRN 1999</w:t>
      </w:r>
      <w:r w:rsidR="004A5AC8" w:rsidRPr="008B3F33">
        <w:t>.</w:t>
      </w:r>
      <w:r w:rsidR="004A5AC8" w:rsidRPr="008B3F33">
        <w:rPr>
          <w:rStyle w:val="FootnoteReference"/>
        </w:rPr>
        <w:footnoteReference w:id="5"/>
      </w:r>
      <w:r w:rsidR="004A5AC8" w:rsidRPr="008B3F33">
        <w:t xml:space="preserve"> The CFRN</w:t>
      </w:r>
      <w:r w:rsidR="004F2B6B" w:rsidRPr="008B3F33">
        <w:t xml:space="preserve"> provides that the ‘</w:t>
      </w:r>
      <w:r w:rsidRPr="008B3F33">
        <w:t xml:space="preserve">Constitution </w:t>
      </w:r>
      <w:r w:rsidR="004F2B6B" w:rsidRPr="008B3F33">
        <w:t xml:space="preserve">is </w:t>
      </w:r>
      <w:r w:rsidRPr="008B3F33">
        <w:t xml:space="preserve">Supreme </w:t>
      </w:r>
      <w:r w:rsidR="004F2B6B" w:rsidRPr="008B3F33">
        <w:t xml:space="preserve">and its provisions shall have binding force on all authorities and persons throughout the </w:t>
      </w:r>
      <w:r w:rsidRPr="008B3F33">
        <w:t xml:space="preserve">Federal </w:t>
      </w:r>
      <w:r w:rsidR="004F2B6B" w:rsidRPr="008B3F33">
        <w:t>Republic of Nigeria’.</w:t>
      </w:r>
      <w:r w:rsidR="004A5AC8" w:rsidRPr="008B3F33">
        <w:rPr>
          <w:rStyle w:val="FootnoteReference"/>
        </w:rPr>
        <w:footnoteReference w:id="6"/>
      </w:r>
      <w:r w:rsidR="004F2B6B" w:rsidRPr="008B3F33">
        <w:t xml:space="preserve"> In </w:t>
      </w:r>
      <w:r w:rsidR="004F2B6B" w:rsidRPr="008B3F33">
        <w:rPr>
          <w:i/>
        </w:rPr>
        <w:t>Badejo V. Minister of Education</w:t>
      </w:r>
      <w:r w:rsidR="004F2B6B" w:rsidRPr="008B3F33">
        <w:t>,</w:t>
      </w:r>
      <w:r w:rsidR="004F2B6B" w:rsidRPr="008B3F33">
        <w:rPr>
          <w:rStyle w:val="FootnoteReference"/>
        </w:rPr>
        <w:footnoteReference w:id="7"/>
      </w:r>
      <w:r w:rsidR="004F2B6B" w:rsidRPr="008B3F33">
        <w:t xml:space="preserve">  </w:t>
      </w:r>
      <w:r w:rsidR="007A4F71" w:rsidRPr="008B3F33">
        <w:t xml:space="preserve">it was stated that </w:t>
      </w:r>
      <w:r w:rsidR="00AB7207">
        <w:t>‘</w:t>
      </w:r>
      <w:r w:rsidR="007A4F71" w:rsidRPr="008B3F33">
        <w:t>a</w:t>
      </w:r>
      <w:r w:rsidR="004F2B6B" w:rsidRPr="008B3F33">
        <w:t xml:space="preserve"> fundamental right is certainly a right which stands </w:t>
      </w:r>
      <w:r w:rsidR="004F2B6B" w:rsidRPr="008B3F33">
        <w:lastRenderedPageBreak/>
        <w:t>a</w:t>
      </w:r>
      <w:r w:rsidRPr="008B3F33">
        <w:t>bove the ordinary right of the l</w:t>
      </w:r>
      <w:r w:rsidR="004F2B6B" w:rsidRPr="008B3F33">
        <w:t>and but I venture to say that no fundamental right shall stand above the country state or the people</w:t>
      </w:r>
      <w:r w:rsidR="00AB7207">
        <w:t>’</w:t>
      </w:r>
      <w:r w:rsidR="004F2B6B" w:rsidRPr="008B3F33">
        <w:t>.</w:t>
      </w:r>
      <w:r w:rsidR="007A4F71" w:rsidRPr="008B3F33">
        <w:rPr>
          <w:rStyle w:val="FootnoteReference"/>
        </w:rPr>
        <w:footnoteReference w:id="8"/>
      </w:r>
      <w:r w:rsidR="004F2B6B" w:rsidRPr="008B3F33">
        <w:t xml:space="preserve"> </w:t>
      </w:r>
    </w:p>
    <w:p w:rsidR="00122745" w:rsidRPr="008B3F33" w:rsidRDefault="00122745" w:rsidP="00D60E05">
      <w:pPr>
        <w:jc w:val="both"/>
      </w:pPr>
    </w:p>
    <w:p w:rsidR="00DA7CC4" w:rsidRPr="008B3F33" w:rsidRDefault="004F2B6B" w:rsidP="00C5105D">
      <w:pPr>
        <w:spacing w:line="480" w:lineRule="auto"/>
        <w:jc w:val="both"/>
      </w:pPr>
      <w:r w:rsidRPr="008B3F33">
        <w:t>The right to life and dignity of human person is the most basic, the most fundamental, the most primordial and supreme right which human beings are entitled to have and without which the protection of all other human rights becomes either meaningless, or less effective. The right to life is therefore central to all other rights.</w:t>
      </w:r>
      <w:r w:rsidR="007A4F71" w:rsidRPr="008B3F33">
        <w:t xml:space="preserve"> </w:t>
      </w:r>
      <w:r w:rsidR="00C5105D" w:rsidRPr="008B3F33">
        <w:t xml:space="preserve">Aside, the legal deprivation of life as recognized under the laws of Nigeria, activities of several non conventional security outfits also lead to deprivation of the right to life. </w:t>
      </w:r>
      <w:r w:rsidR="00DA7CC4" w:rsidRPr="008B3F33">
        <w:t>Extra-judicial killings violate</w:t>
      </w:r>
      <w:r w:rsidR="00C5105D" w:rsidRPr="008B3F33">
        <w:t xml:space="preserve"> the rights to life. The death penalty and extra judicial killing is an issue that one should be particularly concerned about because generally they are a major threat to fundamental human right.</w:t>
      </w:r>
    </w:p>
    <w:p w:rsidR="00DA7CC4" w:rsidRPr="008B3F33" w:rsidRDefault="00DA7CC4" w:rsidP="008F544C">
      <w:pPr>
        <w:jc w:val="both"/>
      </w:pPr>
    </w:p>
    <w:p w:rsidR="00DA7CC4" w:rsidRPr="008B3F33" w:rsidRDefault="00DA7CC4" w:rsidP="00DA7CC4">
      <w:pPr>
        <w:spacing w:line="480" w:lineRule="auto"/>
        <w:jc w:val="both"/>
      </w:pPr>
      <w:r w:rsidRPr="008B3F33">
        <w:t>The Government of every country has it as a duty to secure the lives of the citizens and to promote security as well as prevent murder, extrajudicial killings and other crimes threatening life. With the advent of democracy in 1999, it was believed that the Fundamental human rights situation would improve significantly. Contrarily the case is no better that it was before now. The democratic dispensation seems to have unleashed the worst kind of religious and ethnic intolerance. Major factors that seem to militate against the right to life and the dignity of human persons includes but are not limited to the high rate of extra judiciary killings by the police and other vigilant groups or organization, the methods of execution constituting cruel and in</w:t>
      </w:r>
      <w:r w:rsidR="00472B0E">
        <w:t>human treatment as well as the d</w:t>
      </w:r>
      <w:r w:rsidRPr="008B3F33">
        <w:t>eath row phenomenon and the methods of execution constituting cruel and inhuman treatment</w:t>
      </w:r>
      <w:r w:rsidR="00472B0E">
        <w:t>.</w:t>
      </w:r>
    </w:p>
    <w:p w:rsidR="00DA7CC4" w:rsidRPr="008B3F33" w:rsidRDefault="00DA7CC4" w:rsidP="00DC151E">
      <w:pPr>
        <w:jc w:val="both"/>
      </w:pPr>
    </w:p>
    <w:p w:rsidR="00D60E05" w:rsidRDefault="00C5105D" w:rsidP="00C5105D">
      <w:pPr>
        <w:spacing w:line="480" w:lineRule="auto"/>
        <w:jc w:val="both"/>
      </w:pPr>
      <w:r w:rsidRPr="008B3F33">
        <w:t xml:space="preserve"> Based on the above, this paper examines the situation of the right to life i</w:t>
      </w:r>
      <w:r w:rsidR="00B96D3F">
        <w:t>n</w:t>
      </w:r>
      <w:r w:rsidRPr="008B3F33">
        <w:t xml:space="preserve"> Nigeria with an aim of proving that the non abolition of the right to life either as sanctioned by the courts or extra judicially violates the respect for the right to life.</w:t>
      </w:r>
    </w:p>
    <w:p w:rsidR="00D60E05" w:rsidRDefault="00D60E05">
      <w:pPr>
        <w:spacing w:after="200" w:line="276" w:lineRule="auto"/>
      </w:pPr>
      <w:r>
        <w:br w:type="page"/>
      </w:r>
    </w:p>
    <w:p w:rsidR="00C5105D" w:rsidRPr="008B3F33" w:rsidRDefault="00C5105D" w:rsidP="00D60E05">
      <w:pPr>
        <w:jc w:val="both"/>
      </w:pPr>
    </w:p>
    <w:p w:rsidR="00551E6B" w:rsidRPr="008B3F33" w:rsidRDefault="00551E6B" w:rsidP="0029686F">
      <w:pPr>
        <w:jc w:val="both"/>
      </w:pPr>
    </w:p>
    <w:p w:rsidR="00122745" w:rsidRPr="008B3F33" w:rsidRDefault="00122745" w:rsidP="00551E6B">
      <w:pPr>
        <w:spacing w:line="480" w:lineRule="auto"/>
        <w:jc w:val="both"/>
        <w:rPr>
          <w:b/>
        </w:rPr>
      </w:pPr>
      <w:r w:rsidRPr="008B3F33">
        <w:rPr>
          <w:b/>
        </w:rPr>
        <w:t>1.2</w:t>
      </w:r>
      <w:r w:rsidRPr="008B3F33">
        <w:rPr>
          <w:b/>
        </w:rPr>
        <w:tab/>
        <w:t xml:space="preserve">THE RIGHT TO LIFE CONCEPTUALIZED </w:t>
      </w:r>
    </w:p>
    <w:p w:rsidR="0069435E" w:rsidRPr="008B3F33" w:rsidRDefault="002D23C0" w:rsidP="0069435E">
      <w:pPr>
        <w:spacing w:line="480" w:lineRule="auto"/>
        <w:jc w:val="both"/>
      </w:pPr>
      <w:r w:rsidRPr="008B3F33">
        <w:t>The protection of the right to l</w:t>
      </w:r>
      <w:r w:rsidR="006720C5" w:rsidRPr="008B3F33">
        <w:t>ife is</w:t>
      </w:r>
      <w:r w:rsidR="00122745" w:rsidRPr="008B3F33">
        <w:t xml:space="preserve"> expounded </w:t>
      </w:r>
      <w:r w:rsidR="006720C5" w:rsidRPr="008B3F33">
        <w:t xml:space="preserve">in several </w:t>
      </w:r>
      <w:r w:rsidRPr="008B3F33">
        <w:t>jurisprudence</w:t>
      </w:r>
      <w:r w:rsidR="006720C5" w:rsidRPr="008B3F33">
        <w:t>s</w:t>
      </w:r>
      <w:r w:rsidRPr="008B3F33">
        <w:t xml:space="preserve"> across the world. </w:t>
      </w:r>
      <w:r w:rsidR="005460E8" w:rsidRPr="008B3F33">
        <w:t>The Nigerian Constitution provides that ‘Every person has a right to life and no one shall be deprived intentionally of his rights save in execution of the sentence of a Court in respect of a criminal offence of which he has been found guilty</w:t>
      </w:r>
      <w:r w:rsidR="006720C5" w:rsidRPr="008B3F33">
        <w:t>.</w:t>
      </w:r>
      <w:r w:rsidR="005460E8" w:rsidRPr="008B3F33">
        <w:t>’</w:t>
      </w:r>
      <w:r w:rsidR="005460E8" w:rsidRPr="008B3F33">
        <w:rPr>
          <w:rStyle w:val="FootnoteReference"/>
        </w:rPr>
        <w:footnoteReference w:id="9"/>
      </w:r>
      <w:r w:rsidR="006720C5" w:rsidRPr="008B3F33">
        <w:t xml:space="preserve"> However, section 33 of the Constitution,</w:t>
      </w:r>
      <w:r w:rsidR="006720C5" w:rsidRPr="008B3F33">
        <w:rPr>
          <w:rStyle w:val="FootnoteReference"/>
        </w:rPr>
        <w:footnoteReference w:id="10"/>
      </w:r>
      <w:r w:rsidR="006720C5" w:rsidRPr="008B3F33">
        <w:t xml:space="preserve"> recognizes the imposition of the death sentences as an exception to the right to life. The offences for which death sentence can be imposed in Nigeria range from murder to civil disturbances and fraudulent dealing in petroleum products, tampering with electricity, telephone or telegraphic cable or wire. </w:t>
      </w:r>
      <w:r w:rsidR="0069435E" w:rsidRPr="008B3F33">
        <w:t>There are five offences in Nigeria at present punishable by death. They are murder or culpable homicide, treason, treachery, directing and controlling or presiding at an Unlawful trial by ordeal from which death penalty occurs.</w:t>
      </w:r>
      <w:r w:rsidR="0069435E" w:rsidRPr="008B3F33">
        <w:rPr>
          <w:rStyle w:val="FootnoteReference"/>
        </w:rPr>
        <w:footnoteReference w:id="11"/>
      </w:r>
      <w:r w:rsidR="0069435E" w:rsidRPr="008B3F33">
        <w:t xml:space="preserve"> In all this case, the death penalty can be applied as an exception to the right to life. </w:t>
      </w:r>
      <w:r w:rsidR="00B96D3F">
        <w:t xml:space="preserve"> </w:t>
      </w:r>
    </w:p>
    <w:p w:rsidR="006720C5" w:rsidRPr="008B3F33" w:rsidRDefault="006720C5" w:rsidP="00902B52">
      <w:pPr>
        <w:jc w:val="both"/>
      </w:pPr>
    </w:p>
    <w:p w:rsidR="004F2B6B" w:rsidRPr="008B3F33" w:rsidRDefault="004F2B6B" w:rsidP="002D23C0">
      <w:pPr>
        <w:spacing w:line="480" w:lineRule="auto"/>
        <w:jc w:val="both"/>
      </w:pPr>
      <w:r w:rsidRPr="008B3F33">
        <w:t xml:space="preserve">In </w:t>
      </w:r>
      <w:r w:rsidRPr="008B3F33">
        <w:rPr>
          <w:i/>
        </w:rPr>
        <w:t>Union Pacific Railway co. V. Botsford</w:t>
      </w:r>
      <w:r w:rsidRPr="008B3F33">
        <w:t>,</w:t>
      </w:r>
      <w:r w:rsidRPr="008B3F33">
        <w:rPr>
          <w:rStyle w:val="FootnoteReference"/>
        </w:rPr>
        <w:footnoteReference w:id="12"/>
      </w:r>
      <w:r w:rsidRPr="008B3F33">
        <w:t xml:space="preserve"> the American Supreme Court stated that no right is held more sacred or is more carefully guarded by the common law than the right to every individual to the Possession and control of his own body and his own life. It is therefore not surprising that the Right to Life is giving prominence by all human rights Instruments internationally, regionally, and in the domestic laws of various countries. </w:t>
      </w:r>
    </w:p>
    <w:p w:rsidR="00931EA3" w:rsidRPr="008B3F33" w:rsidRDefault="002B41F9" w:rsidP="005460E8">
      <w:pPr>
        <w:spacing w:line="480" w:lineRule="auto"/>
        <w:jc w:val="both"/>
      </w:pPr>
      <w:r w:rsidRPr="008B3F33">
        <w:t xml:space="preserve">In </w:t>
      </w:r>
      <w:r w:rsidRPr="008B3F33">
        <w:rPr>
          <w:i/>
        </w:rPr>
        <w:t>People</w:t>
      </w:r>
      <w:r w:rsidRPr="008B3F33">
        <w:t xml:space="preserve"> V </w:t>
      </w:r>
      <w:r w:rsidRPr="008B3F33">
        <w:rPr>
          <w:i/>
        </w:rPr>
        <w:t>Anderson,</w:t>
      </w:r>
      <w:r w:rsidRPr="008B3F33">
        <w:rPr>
          <w:rStyle w:val="FootnoteReference"/>
        </w:rPr>
        <w:footnoteReference w:id="13"/>
      </w:r>
      <w:r w:rsidRPr="008B3F33">
        <w:t xml:space="preserve"> The California Supreme Court in finding the death penalty unconstitutional noted that the cruelty of capital punishment lies not only in the execution itself and the pain incidental thereto, but also in the dehumanizing effects of the lengthy imprisonment prior to execution during which judicial and administrative procedures essential to due process of law are carried out. Penologist and medical experts agree that the process of carrying out a verdict of death </w:t>
      </w:r>
      <w:r w:rsidRPr="008B3F33">
        <w:lastRenderedPageBreak/>
        <w:t xml:space="preserve">is often so degrading and brutalizing to human spirit as to constitute psychological torture.  In </w:t>
      </w:r>
      <w:r w:rsidRPr="008B3F33">
        <w:rPr>
          <w:i/>
        </w:rPr>
        <w:t>Shir Mohan Signh V State</w:t>
      </w:r>
      <w:r w:rsidRPr="008B3F33">
        <w:rPr>
          <w:rStyle w:val="FootnoteReference"/>
        </w:rPr>
        <w:footnoteReference w:id="14"/>
      </w:r>
      <w:r w:rsidRPr="008B3F33">
        <w:t xml:space="preserve"> the Supreme Court held that the condemned man longing for his dear life and clutching at legal straws postpones, for as long as possible his execution.</w:t>
      </w:r>
    </w:p>
    <w:p w:rsidR="008844AF" w:rsidRPr="008B3F33" w:rsidRDefault="008844AF" w:rsidP="00902B52">
      <w:pPr>
        <w:jc w:val="both"/>
      </w:pPr>
    </w:p>
    <w:p w:rsidR="004F2B6B" w:rsidRPr="008B3F33" w:rsidRDefault="002D23C0" w:rsidP="005460E8">
      <w:pPr>
        <w:spacing w:line="480" w:lineRule="auto"/>
        <w:jc w:val="both"/>
      </w:pPr>
      <w:r w:rsidRPr="008B3F33">
        <w:t xml:space="preserve">In addition, various international law treaties enshrine the right to life. The </w:t>
      </w:r>
      <w:r w:rsidR="004F2B6B" w:rsidRPr="008B3F33">
        <w:t>Universal Declaration of Human Rights (UDHR) provides that</w:t>
      </w:r>
      <w:r w:rsidR="004F2B6B" w:rsidRPr="008B3F33">
        <w:rPr>
          <w:i/>
        </w:rPr>
        <w:t xml:space="preserve"> </w:t>
      </w:r>
      <w:r w:rsidR="004F2B6B" w:rsidRPr="008B3F33">
        <w:t>“Everyone has the right to life, liberty and security of persons.</w:t>
      </w:r>
      <w:r w:rsidR="004F2B6B" w:rsidRPr="008B3F33">
        <w:rPr>
          <w:i/>
        </w:rPr>
        <w:t>”</w:t>
      </w:r>
      <w:r w:rsidRPr="008B3F33">
        <w:rPr>
          <w:rStyle w:val="FootnoteReference"/>
          <w:i/>
        </w:rPr>
        <w:footnoteReference w:id="15"/>
      </w:r>
      <w:r w:rsidR="00C40200" w:rsidRPr="008B3F33">
        <w:t xml:space="preserve"> The European Convention </w:t>
      </w:r>
      <w:r w:rsidR="004F2B6B" w:rsidRPr="008B3F33">
        <w:t xml:space="preserve">on </w:t>
      </w:r>
      <w:r w:rsidR="00C40200" w:rsidRPr="008B3F33">
        <w:t xml:space="preserve">Human </w:t>
      </w:r>
      <w:r w:rsidR="004F2B6B" w:rsidRPr="008B3F33">
        <w:t xml:space="preserve">Rights (ECHR) provides </w:t>
      </w:r>
      <w:r w:rsidR="00C40200" w:rsidRPr="008B3F33">
        <w:t>that e</w:t>
      </w:r>
      <w:r w:rsidR="004F2B6B" w:rsidRPr="008B3F33">
        <w:t xml:space="preserve">veryone has a right to </w:t>
      </w:r>
      <w:r w:rsidR="00974FDB" w:rsidRPr="008B3F33">
        <w:t>life;</w:t>
      </w:r>
      <w:r w:rsidR="00C40200" w:rsidRPr="008B3F33">
        <w:t xml:space="preserve"> n</w:t>
      </w:r>
      <w:r w:rsidR="004F2B6B" w:rsidRPr="008B3F33">
        <w:t>o one shall be condemned to death penalty or executed.</w:t>
      </w:r>
      <w:r w:rsidR="00C40200" w:rsidRPr="008B3F33">
        <w:rPr>
          <w:rStyle w:val="FootnoteReference"/>
        </w:rPr>
        <w:footnoteReference w:id="16"/>
      </w:r>
      <w:r w:rsidR="004F2B6B" w:rsidRPr="008B3F33">
        <w:t xml:space="preserve"> </w:t>
      </w:r>
      <w:r w:rsidR="00974FDB" w:rsidRPr="008B3F33">
        <w:t xml:space="preserve">The </w:t>
      </w:r>
      <w:r w:rsidR="004F2B6B" w:rsidRPr="008B3F33">
        <w:t>International Convention for Civil and Political Right (ICCPR) aim</w:t>
      </w:r>
      <w:r w:rsidR="00974FDB" w:rsidRPr="008B3F33">
        <w:t>s</w:t>
      </w:r>
      <w:r w:rsidR="004F2B6B" w:rsidRPr="008B3F33">
        <w:t xml:space="preserve"> at the abolition of death penalty.</w:t>
      </w:r>
      <w:r w:rsidR="00974FDB" w:rsidRPr="008B3F33">
        <w:rPr>
          <w:rStyle w:val="FootnoteReference"/>
        </w:rPr>
        <w:footnoteReference w:id="17"/>
      </w:r>
      <w:r w:rsidR="005460E8" w:rsidRPr="008B3F33">
        <w:t xml:space="preserve"> </w:t>
      </w:r>
      <w:r w:rsidR="004F2B6B" w:rsidRPr="008B3F33">
        <w:t>In addition, the African Charter on human and people’s rights (ACHPR) provides that “Human beings are inviolable. Every human being shall be entitled to respect for his life and the integrity of her person. No one may be arbitrarily deprived of his rights.”</w:t>
      </w:r>
      <w:r w:rsidR="005460E8" w:rsidRPr="008B3F33">
        <w:rPr>
          <w:rStyle w:val="FootnoteReference"/>
        </w:rPr>
        <w:footnoteReference w:id="18"/>
      </w:r>
      <w:r w:rsidR="004F2B6B" w:rsidRPr="008B3F33">
        <w:rPr>
          <w:b/>
          <w:i/>
        </w:rPr>
        <w:t xml:space="preserve"> </w:t>
      </w:r>
    </w:p>
    <w:p w:rsidR="008933BD" w:rsidRPr="008B3F33" w:rsidRDefault="008933BD" w:rsidP="00902B52">
      <w:pPr>
        <w:jc w:val="both"/>
      </w:pPr>
    </w:p>
    <w:p w:rsidR="00AE2FA8" w:rsidRPr="008B3F33" w:rsidRDefault="00AE2FA8" w:rsidP="00902B52">
      <w:pPr>
        <w:jc w:val="both"/>
      </w:pPr>
    </w:p>
    <w:p w:rsidR="008933BD" w:rsidRPr="008B3F33" w:rsidRDefault="0029686F" w:rsidP="008933BD">
      <w:pPr>
        <w:spacing w:line="480" w:lineRule="auto"/>
        <w:jc w:val="both"/>
        <w:rPr>
          <w:b/>
        </w:rPr>
      </w:pPr>
      <w:r w:rsidRPr="008B3F33">
        <w:rPr>
          <w:b/>
        </w:rPr>
        <w:t>2.1</w:t>
      </w:r>
      <w:r w:rsidR="008933BD" w:rsidRPr="008B3F33">
        <w:rPr>
          <w:b/>
        </w:rPr>
        <w:tab/>
        <w:t>THE RIGHT TO LIFE AND DEATH PENALTY IN NIGERIA</w:t>
      </w:r>
    </w:p>
    <w:p w:rsidR="004F2B6B" w:rsidRPr="008B3F33" w:rsidRDefault="009675A7" w:rsidP="00314BB8">
      <w:pPr>
        <w:spacing w:line="480" w:lineRule="auto"/>
        <w:jc w:val="both"/>
      </w:pPr>
      <w:r w:rsidRPr="008B3F33">
        <w:t>In a</w:t>
      </w:r>
      <w:r w:rsidR="008933BD" w:rsidRPr="008B3F33">
        <w:t xml:space="preserve"> d</w:t>
      </w:r>
      <w:r w:rsidR="004F2B6B" w:rsidRPr="008B3F33">
        <w:t>emocratic society</w:t>
      </w:r>
      <w:r w:rsidR="008933BD" w:rsidRPr="008B3F33">
        <w:t xml:space="preserve"> like Nigeria</w:t>
      </w:r>
      <w:r w:rsidR="00902B52" w:rsidRPr="008B3F33">
        <w:t>, the p</w:t>
      </w:r>
      <w:r w:rsidR="004F2B6B" w:rsidRPr="008B3F33">
        <w:t xml:space="preserve">eople </w:t>
      </w:r>
      <w:r w:rsidRPr="008B3F33">
        <w:t>constitute the supreme a</w:t>
      </w:r>
      <w:r w:rsidR="004F2B6B" w:rsidRPr="008B3F33">
        <w:t>uthority within the political community</w:t>
      </w:r>
      <w:r w:rsidR="008933BD" w:rsidRPr="008B3F33">
        <w:t>.</w:t>
      </w:r>
      <w:r w:rsidR="008933BD" w:rsidRPr="008B3F33">
        <w:rPr>
          <w:rStyle w:val="FootnoteReference"/>
        </w:rPr>
        <w:footnoteReference w:id="19"/>
      </w:r>
      <w:r w:rsidR="004F2B6B" w:rsidRPr="008B3F33">
        <w:t xml:space="preserve"> Equality which is fundamental characteristi</w:t>
      </w:r>
      <w:r w:rsidR="00902B52" w:rsidRPr="008B3F33">
        <w:t>cs of democracy and also the basis,</w:t>
      </w:r>
      <w:r w:rsidR="004F2B6B" w:rsidRPr="008B3F33">
        <w:t xml:space="preserve"> on which the principle of the rule of law revolves, is the basi</w:t>
      </w:r>
      <w:r w:rsidRPr="008B3F33">
        <w:t>s</w:t>
      </w:r>
      <w:r w:rsidR="004F2B6B" w:rsidRPr="008B3F33">
        <w:t xml:space="preserve"> on which the fundamental human </w:t>
      </w:r>
      <w:r w:rsidR="00902B52" w:rsidRPr="008B3F33">
        <w:t>rights are</w:t>
      </w:r>
      <w:r w:rsidR="004F2B6B" w:rsidRPr="008B3F33">
        <w:t xml:space="preserve"> founded. The death penalty and extra judicial killing is abhorrent to civilized sentiments. It is both an inhuman and a degrading punishment that denies a person his status as a human being and it is in conflict with the right to human dignity. It is inhuman to terminate human life by killing. The fact that it is inflicted as a punishment for crime does not make it less so. The number of offences attracting death penalty in Nigeria is more than thirteen</w:t>
      </w:r>
      <w:r w:rsidR="004F2B6B" w:rsidRPr="008B3F33">
        <w:rPr>
          <w:rStyle w:val="FootnoteReference"/>
        </w:rPr>
        <w:footnoteReference w:id="20"/>
      </w:r>
      <w:r w:rsidR="004F2B6B" w:rsidRPr="008B3F33">
        <w:t>and the number is increasing depending on the whims and caprices of the government in Nigeria.</w:t>
      </w:r>
    </w:p>
    <w:p w:rsidR="00DA7CC4" w:rsidRPr="008B3F33" w:rsidRDefault="00DA7CC4" w:rsidP="00DA7CC4">
      <w:pPr>
        <w:jc w:val="both"/>
      </w:pPr>
    </w:p>
    <w:p w:rsidR="004F2B6B" w:rsidRPr="008B3F33" w:rsidRDefault="004F2B6B" w:rsidP="00D72D60">
      <w:pPr>
        <w:spacing w:line="480" w:lineRule="auto"/>
        <w:jc w:val="both"/>
      </w:pPr>
      <w:r w:rsidRPr="008B3F33">
        <w:lastRenderedPageBreak/>
        <w:t xml:space="preserve">Interestingly, in Nigeria, the applicability of international treaties and especially the African </w:t>
      </w:r>
      <w:r w:rsidR="001854C6" w:rsidRPr="008B3F33">
        <w:t xml:space="preserve">Charter </w:t>
      </w:r>
      <w:r w:rsidRPr="008B3F33">
        <w:t xml:space="preserve">has been brought to fore. Mostly under military or dictatorial role, primarily because of conflicts which often arise between military decrees, the constitution and domesticated international treaties has been applied. In </w:t>
      </w:r>
      <w:r w:rsidRPr="008B3F33">
        <w:rPr>
          <w:i/>
        </w:rPr>
        <w:t>Fajimi V Speaker Western State House Of Assembly</w:t>
      </w:r>
      <w:r w:rsidRPr="008B3F33">
        <w:t>.</w:t>
      </w:r>
      <w:r w:rsidRPr="008B3F33">
        <w:rPr>
          <w:rStyle w:val="FootnoteReference"/>
        </w:rPr>
        <w:footnoteReference w:id="21"/>
      </w:r>
      <w:r w:rsidRPr="008B3F33">
        <w:t xml:space="preserve"> It was held that once an international treaty becomes part of the laws, the enforcement of it </w:t>
      </w:r>
      <w:r w:rsidR="001854C6" w:rsidRPr="008B3F33">
        <w:t>must</w:t>
      </w:r>
      <w:r w:rsidRPr="008B3F33">
        <w:t xml:space="preserve"> fall within the judicial powers of the Courts as provided for by the constitution and other laws.</w:t>
      </w:r>
    </w:p>
    <w:p w:rsidR="0029686F" w:rsidRPr="008B3F33" w:rsidRDefault="0029686F" w:rsidP="0029686F">
      <w:pPr>
        <w:spacing w:line="480" w:lineRule="auto"/>
        <w:jc w:val="both"/>
        <w:rPr>
          <w:b/>
        </w:rPr>
      </w:pPr>
      <w:r w:rsidRPr="008B3F33">
        <w:rPr>
          <w:b/>
        </w:rPr>
        <w:t>2.2</w:t>
      </w:r>
      <w:r w:rsidRPr="008B3F33">
        <w:rPr>
          <w:b/>
        </w:rPr>
        <w:tab/>
        <w:t>THE RIGHT TO LIFE UNDER THE MILITARY JAUNTA</w:t>
      </w:r>
    </w:p>
    <w:p w:rsidR="0029686F" w:rsidRPr="008B3F33" w:rsidRDefault="0029686F" w:rsidP="0029686F">
      <w:pPr>
        <w:spacing w:line="480" w:lineRule="auto"/>
        <w:jc w:val="both"/>
      </w:pPr>
      <w:r w:rsidRPr="008B3F33">
        <w:t>During the military rule, various provision in fundamental rights were violated, particularly, the provision which bothers on the sacredness of human lives was flagrantly abused. However, most of these military behaviors were carried over to civil or democratic rule. For instance immediately after the Military rule, the Head of State and Commander-in-Chief of the Armed Forces</w:t>
      </w:r>
      <w:r w:rsidRPr="008B3F33">
        <w:rPr>
          <w:rStyle w:val="FootnoteReference"/>
        </w:rPr>
        <w:footnoteReference w:id="22"/>
      </w:r>
      <w:r w:rsidRPr="008B3F33">
        <w:t xml:space="preserve"> authorized the use of Military personnel to quell civil disturbances at the expense of human lives. Examples of such operation are vigilante group like the Bakassi organization, Odi clamp down of 1999/2000 deployment of troops to quell Jos Riot of September 2001.</w:t>
      </w:r>
    </w:p>
    <w:p w:rsidR="00E11CFC" w:rsidRPr="008B3F33" w:rsidRDefault="0029686F" w:rsidP="0029686F">
      <w:pPr>
        <w:spacing w:line="480" w:lineRule="auto"/>
        <w:jc w:val="both"/>
        <w:rPr>
          <w:b/>
        </w:rPr>
      </w:pPr>
      <w:r w:rsidRPr="008B3F33">
        <w:rPr>
          <w:b/>
        </w:rPr>
        <w:t>2.3</w:t>
      </w:r>
      <w:r w:rsidRPr="008B3F33">
        <w:rPr>
          <w:b/>
        </w:rPr>
        <w:tab/>
        <w:t>DEATH PENALTY IN NIGERIA- RECENT DEVELOPMENTS</w:t>
      </w:r>
    </w:p>
    <w:p w:rsidR="00DA5894" w:rsidRPr="008B3F33" w:rsidRDefault="00DA5894" w:rsidP="00DA5894">
      <w:pPr>
        <w:spacing w:line="480" w:lineRule="auto"/>
        <w:jc w:val="both"/>
        <w:rPr>
          <w:lang w:eastAsia="en-GB"/>
        </w:rPr>
      </w:pPr>
      <w:r w:rsidRPr="008B3F33">
        <w:rPr>
          <w:lang w:eastAsia="en-GB"/>
        </w:rPr>
        <w:t>Recently, the call for the abolition of death penalty is on the increase. In Africa the African Union has come up with the document on moratorium of death penalty. The move for the moratorium on death penalty does not in any way take sides on whether the issue of death penalty is a violation of fundamental right or not.</w:t>
      </w:r>
    </w:p>
    <w:p w:rsidR="00DA5894" w:rsidRPr="008B3F33" w:rsidRDefault="00DA5894" w:rsidP="00FE0FA4">
      <w:pPr>
        <w:jc w:val="both"/>
        <w:rPr>
          <w:lang w:eastAsia="en-GB"/>
        </w:rPr>
      </w:pPr>
    </w:p>
    <w:p w:rsidR="00DA5894" w:rsidRPr="008B3F33" w:rsidRDefault="00DA5894" w:rsidP="00DA5894">
      <w:pPr>
        <w:spacing w:line="480" w:lineRule="auto"/>
        <w:jc w:val="both"/>
        <w:rPr>
          <w:lang w:eastAsia="en-GB"/>
        </w:rPr>
      </w:pPr>
      <w:r w:rsidRPr="008B3F33">
        <w:rPr>
          <w:lang w:eastAsia="en-GB"/>
        </w:rPr>
        <w:t xml:space="preserve">It is imperative to note that </w:t>
      </w:r>
      <w:r w:rsidRPr="008B3F33">
        <w:rPr>
          <w:lang w:val="en-GB" w:eastAsia="en-GB"/>
        </w:rPr>
        <w:t xml:space="preserve">a thin line divides "abolitionists" and "retentionists" </w:t>
      </w:r>
      <w:r w:rsidRPr="008B3F33">
        <w:rPr>
          <w:lang w:eastAsia="en-GB"/>
        </w:rPr>
        <w:t>theories of death penalty. For the supporters of the retention of death penalty, the argument has been that Nigeria as a developing country is in a phase of insecurity and thus cannot afford for now to abolish death penalty. The fact remain that m</w:t>
      </w:r>
      <w:r w:rsidRPr="008B3F33">
        <w:rPr>
          <w:lang w:val="en-GB" w:eastAsia="en-GB"/>
        </w:rPr>
        <w:t xml:space="preserve">any Nigerians are frustrated about the current increase in violent crimes. In an answer to the enigma of crime, many are clamouring for the heads of violent </w:t>
      </w:r>
      <w:r w:rsidRPr="008B3F33">
        <w:rPr>
          <w:lang w:val="en-GB" w:eastAsia="en-GB"/>
        </w:rPr>
        <w:lastRenderedPageBreak/>
        <w:t>offenders. Some have even gone a step further to constitute themselves into prosecutor, defence and judge, and that's why people have been stripped naked and burnt to ashes for stealing paltry sums of money or household items, like tooth paste, in a country like this where billions of naira are stolen armed with a pen.</w:t>
      </w:r>
      <w:r w:rsidRPr="008B3F33">
        <w:rPr>
          <w:rStyle w:val="FootnoteReference"/>
          <w:lang w:eastAsia="en-GB"/>
        </w:rPr>
        <w:footnoteReference w:id="23"/>
      </w:r>
    </w:p>
    <w:p w:rsidR="00DA5894" w:rsidRPr="008B3F33" w:rsidRDefault="00DA5894" w:rsidP="00DA5894">
      <w:pPr>
        <w:spacing w:line="480" w:lineRule="auto"/>
        <w:jc w:val="both"/>
      </w:pPr>
      <w:r w:rsidRPr="008B3F33">
        <w:rPr>
          <w:lang w:eastAsia="en-GB"/>
        </w:rPr>
        <w:t xml:space="preserve">Despite the above unquestionable lack of security in Nigeria, the question that begs for answer remains whether the act of taking life is justifiable under any circumstances?  </w:t>
      </w:r>
    </w:p>
    <w:p w:rsidR="0029686F" w:rsidRPr="008B3F33" w:rsidRDefault="0029686F" w:rsidP="00DA5894">
      <w:pPr>
        <w:spacing w:line="480" w:lineRule="auto"/>
        <w:jc w:val="both"/>
        <w:rPr>
          <w:b/>
        </w:rPr>
      </w:pPr>
    </w:p>
    <w:p w:rsidR="00DA7CC4" w:rsidRPr="008B3F33" w:rsidRDefault="0029686F" w:rsidP="00D57588">
      <w:pPr>
        <w:spacing w:line="480" w:lineRule="auto"/>
        <w:jc w:val="both"/>
      </w:pPr>
      <w:r w:rsidRPr="008B3F33">
        <w:rPr>
          <w:b/>
        </w:rPr>
        <w:t>3.1</w:t>
      </w:r>
      <w:r w:rsidRPr="008B3F33">
        <w:tab/>
      </w:r>
      <w:r w:rsidR="00E11CFC" w:rsidRPr="008B3F33">
        <w:rPr>
          <w:b/>
        </w:rPr>
        <w:t>DEATH PENALTY A VIOLATION OF THE RIGHT TO LIFE?</w:t>
      </w:r>
    </w:p>
    <w:p w:rsidR="004F2B6B" w:rsidRPr="008B3F33" w:rsidRDefault="004F2B6B" w:rsidP="00D57588">
      <w:pPr>
        <w:spacing w:line="480" w:lineRule="auto"/>
        <w:jc w:val="both"/>
      </w:pPr>
      <w:r w:rsidRPr="008B3F33">
        <w:t>According to Nwabueze,</w:t>
      </w:r>
      <w:r w:rsidRPr="008B3F33">
        <w:rPr>
          <w:rStyle w:val="FootnoteReference"/>
        </w:rPr>
        <w:footnoteReference w:id="24"/>
      </w:r>
      <w:r w:rsidRPr="008B3F33">
        <w:t xml:space="preserve"> The right against torture, inhuman and degrading treatment covers not only the type of punishment meted out to an offender but his treatment in police custody </w:t>
      </w:r>
      <w:r w:rsidR="006D03B7" w:rsidRPr="008B3F33">
        <w:t xml:space="preserve">while </w:t>
      </w:r>
      <w:r w:rsidRPr="008B3F33">
        <w:t>i</w:t>
      </w:r>
      <w:r w:rsidR="006D03B7" w:rsidRPr="008B3F33">
        <w:t>n</w:t>
      </w:r>
      <w:r w:rsidRPr="008B3F33">
        <w:t xml:space="preserve"> prison’.</w:t>
      </w:r>
      <w:r w:rsidR="006D03B7" w:rsidRPr="008B3F33">
        <w:t xml:space="preserve"> </w:t>
      </w:r>
      <w:r w:rsidRPr="008B3F33">
        <w:t xml:space="preserve">This is the situation but it must also be borne in mind that it also covers all forms of such treatment whether by government, its agencies, private agencies or individuals. </w:t>
      </w:r>
    </w:p>
    <w:p w:rsidR="004F2B6B" w:rsidRPr="008B3F33" w:rsidRDefault="004F2B6B" w:rsidP="00D57588">
      <w:pPr>
        <w:spacing w:line="480" w:lineRule="auto"/>
        <w:jc w:val="both"/>
      </w:pPr>
      <w:r w:rsidRPr="008B3F33">
        <w:t xml:space="preserve">As was </w:t>
      </w:r>
      <w:r w:rsidR="00D57588" w:rsidRPr="008B3F33">
        <w:t xml:space="preserve">stated </w:t>
      </w:r>
      <w:r w:rsidRPr="008B3F33">
        <w:t xml:space="preserve">in the </w:t>
      </w:r>
      <w:r w:rsidRPr="008B3F33">
        <w:rPr>
          <w:i/>
        </w:rPr>
        <w:t xml:space="preserve">Catholic Commission </w:t>
      </w:r>
      <w:r w:rsidR="00CA0DF9" w:rsidRPr="008B3F33">
        <w:rPr>
          <w:i/>
        </w:rPr>
        <w:t xml:space="preserve">for </w:t>
      </w:r>
      <w:r w:rsidR="006D03B7" w:rsidRPr="008B3F33">
        <w:rPr>
          <w:i/>
        </w:rPr>
        <w:t>Justice  &amp;</w:t>
      </w:r>
      <w:r w:rsidR="00CA0DF9" w:rsidRPr="008B3F33">
        <w:rPr>
          <w:i/>
        </w:rPr>
        <w:t xml:space="preserve"> Peace in Zimbabwe v</w:t>
      </w:r>
      <w:r w:rsidRPr="008B3F33">
        <w:rPr>
          <w:i/>
        </w:rPr>
        <w:t xml:space="preserve"> A.G,</w:t>
      </w:r>
      <w:r w:rsidRPr="008B3F33">
        <w:rPr>
          <w:rStyle w:val="FootnoteReference"/>
        </w:rPr>
        <w:footnoteReference w:id="25"/>
      </w:r>
      <w:r w:rsidRPr="008B3F33">
        <w:t xml:space="preserve">  it was held that any punishment or treatment incompatible with the evolving standards of decency that mark the progress of a maturity society is repulsive. What might not be regarded as inhuman decades ago maybe evolving to new sensitivities which emerge as civilization advances. Nwabueze, argues that the death penalty is unconstitutional in the Nigeria context. According to him, the death penalty viewed as retribution for murder may well not be cruel in the Constitutional sense but it is inhuman to terminate human existence by killing and the fact that it is inflicted as a punishment for crime.</w:t>
      </w:r>
      <w:r w:rsidR="00FE0FA4" w:rsidRPr="008B3F33">
        <w:rPr>
          <w:rStyle w:val="FootnoteReference"/>
        </w:rPr>
        <w:footnoteReference w:id="26"/>
      </w:r>
    </w:p>
    <w:p w:rsidR="00CA0DF9" w:rsidRPr="008B3F33" w:rsidRDefault="00CA0DF9" w:rsidP="0029686F">
      <w:pPr>
        <w:jc w:val="both"/>
      </w:pPr>
    </w:p>
    <w:p w:rsidR="006D5574" w:rsidRPr="008B3F33" w:rsidRDefault="004F2B6B" w:rsidP="004F2B6B">
      <w:pPr>
        <w:spacing w:line="480" w:lineRule="auto"/>
        <w:jc w:val="both"/>
      </w:pPr>
      <w:r w:rsidRPr="008B3F33">
        <w:t xml:space="preserve">A somewhat similar view was canvassed by counsel for the appellant in the case of </w:t>
      </w:r>
      <w:r w:rsidRPr="008B3F33">
        <w:rPr>
          <w:i/>
        </w:rPr>
        <w:t>Onuoha Kalu V. State,</w:t>
      </w:r>
      <w:r w:rsidRPr="008B3F33">
        <w:rPr>
          <w:rStyle w:val="FootnoteReference"/>
        </w:rPr>
        <w:footnoteReference w:id="27"/>
      </w:r>
      <w:r w:rsidRPr="008B3F33">
        <w:t xml:space="preserve"> the appellant unsuccessfully appealed to the court of appeal. Thereafter, the appellant further appealed to the Supreme Court. The Supreme Court upheld the conviction. IGUH JSC noted that the death penalty was unconstitutional and amounts to inhuman and degrading treatment and seems to him a minority view, in his words, </w:t>
      </w:r>
    </w:p>
    <w:p w:rsidR="004F2B6B" w:rsidRPr="008B3F33" w:rsidRDefault="004F2B6B" w:rsidP="0029686F">
      <w:pPr>
        <w:ind w:left="1440"/>
        <w:jc w:val="both"/>
      </w:pPr>
      <w:r w:rsidRPr="008B3F33">
        <w:rPr>
          <w:b/>
          <w:i/>
        </w:rPr>
        <w:lastRenderedPageBreak/>
        <w:t xml:space="preserve">… </w:t>
      </w:r>
      <w:r w:rsidRPr="008B3F33">
        <w:rPr>
          <w:i/>
        </w:rPr>
        <w:t>If qualified, the death penalty was in the ma</w:t>
      </w:r>
      <w:r w:rsidR="0079093B" w:rsidRPr="008B3F33">
        <w:rPr>
          <w:i/>
        </w:rPr>
        <w:t>in told to be constituted, but f</w:t>
      </w:r>
      <w:r w:rsidRPr="008B3F33">
        <w:rPr>
          <w:i/>
        </w:rPr>
        <w:t>t unqualified, however, the death penalty was rightly in my view declared to be unqualified</w:t>
      </w:r>
      <w:r w:rsidR="006D5574" w:rsidRPr="008B3F33">
        <w:rPr>
          <w:i/>
        </w:rPr>
        <w:t>.</w:t>
      </w:r>
    </w:p>
    <w:p w:rsidR="0079093B" w:rsidRPr="008B3F33" w:rsidRDefault="0079093B" w:rsidP="00051335">
      <w:pPr>
        <w:jc w:val="both"/>
      </w:pPr>
    </w:p>
    <w:p w:rsidR="0069435E" w:rsidRPr="008B3F33" w:rsidRDefault="004F2B6B" w:rsidP="0079093B">
      <w:pPr>
        <w:spacing w:line="480" w:lineRule="auto"/>
        <w:jc w:val="both"/>
      </w:pPr>
      <w:r w:rsidRPr="008B3F33">
        <w:t>Justice Chaskalson</w:t>
      </w:r>
      <w:r w:rsidR="0079093B" w:rsidRPr="008B3F33">
        <w:t xml:space="preserve"> of the South African Constitutional </w:t>
      </w:r>
      <w:r w:rsidR="00E11CFC" w:rsidRPr="008B3F33">
        <w:t>Court</w:t>
      </w:r>
      <w:r w:rsidRPr="008B3F33">
        <w:t xml:space="preserve"> acknowledges that capital punishment is not prohibited by public international law and that </w:t>
      </w:r>
      <w:r w:rsidR="0079093B" w:rsidRPr="008B3F33">
        <w:t xml:space="preserve">it </w:t>
      </w:r>
      <w:r w:rsidRPr="008B3F33">
        <w:t>is a fact in law that leads to deciding whether it is cruel, inhuman or degrading treatment</w:t>
      </w:r>
      <w:r w:rsidR="0079093B" w:rsidRPr="008B3F33">
        <w:t>. A contradictory view is shared by Judge</w:t>
      </w:r>
      <w:r w:rsidRPr="008B3F33">
        <w:t xml:space="preserve"> Langa J, </w:t>
      </w:r>
      <w:r w:rsidR="0079093B" w:rsidRPr="008B3F33">
        <w:t xml:space="preserve">he </w:t>
      </w:r>
      <w:r w:rsidRPr="008B3F33">
        <w:t xml:space="preserve">makes reference to the death row phenomenon, </w:t>
      </w:r>
      <w:r w:rsidR="0079093B" w:rsidRPr="008B3F33">
        <w:t xml:space="preserve">and </w:t>
      </w:r>
      <w:r w:rsidRPr="008B3F33">
        <w:t xml:space="preserve">is of the opinion that the death sentence violates the right not </w:t>
      </w:r>
      <w:r w:rsidR="00E11CFC" w:rsidRPr="008B3F33">
        <w:t>to be</w:t>
      </w:r>
      <w:r w:rsidRPr="008B3F33">
        <w:t xml:space="preserve"> subjected to cruel, inhuman or degrading punishment by stating that “as a “Punishment” the death penalty is subject to Inhuman and degrading treatment. It is severe affront to human dignity. Furthermore, he sees the </w:t>
      </w:r>
      <w:r w:rsidR="0069435E" w:rsidRPr="008B3F33">
        <w:t xml:space="preserve">death </w:t>
      </w:r>
      <w:r w:rsidRPr="008B3F33">
        <w:t>row phenomenon as merely aggravating the cruel, inhuman and degrading nature of the death penalty.</w:t>
      </w:r>
      <w:r w:rsidR="0069435E" w:rsidRPr="008B3F33">
        <w:t xml:space="preserve"> </w:t>
      </w:r>
      <w:r w:rsidRPr="008B3F33">
        <w:t>Similarly, Madala J in finding the death penalty to be cruel, inhuman and degrading links the issue of the death row phenomenon to that of the death</w:t>
      </w:r>
      <w:r w:rsidR="0079093B" w:rsidRPr="008B3F33">
        <w:t>.</w:t>
      </w:r>
      <w:r w:rsidRPr="008B3F33">
        <w:rPr>
          <w:rStyle w:val="FootnoteReference"/>
        </w:rPr>
        <w:footnoteReference w:id="28"/>
      </w:r>
      <w:r w:rsidR="0079093B" w:rsidRPr="008B3F33">
        <w:t xml:space="preserve"> </w:t>
      </w:r>
    </w:p>
    <w:p w:rsidR="0069435E" w:rsidRPr="008B3F33" w:rsidRDefault="0069435E" w:rsidP="00051335">
      <w:pPr>
        <w:jc w:val="both"/>
      </w:pPr>
    </w:p>
    <w:p w:rsidR="00CA0DF9" w:rsidRPr="008B3F33" w:rsidRDefault="004F2B6B" w:rsidP="00CA0DF9">
      <w:pPr>
        <w:spacing w:line="480" w:lineRule="auto"/>
        <w:jc w:val="both"/>
      </w:pPr>
      <w:r w:rsidRPr="008B3F33">
        <w:t xml:space="preserve">In </w:t>
      </w:r>
      <w:r w:rsidRPr="008B3F33">
        <w:rPr>
          <w:i/>
        </w:rPr>
        <w:t xml:space="preserve">Mbushu &amp; Anr v. The </w:t>
      </w:r>
      <w:r w:rsidR="00FD2E3C" w:rsidRPr="008B3F33">
        <w:rPr>
          <w:i/>
        </w:rPr>
        <w:t>Republic</w:t>
      </w:r>
      <w:r w:rsidR="00FB0BBD" w:rsidRPr="008B3F33">
        <w:t>,</w:t>
      </w:r>
      <w:r w:rsidRPr="008B3F33">
        <w:rPr>
          <w:rStyle w:val="FootnoteReference"/>
        </w:rPr>
        <w:footnoteReference w:id="29"/>
      </w:r>
      <w:r w:rsidRPr="008B3F33">
        <w:t xml:space="preserve"> The Tanzanian </w:t>
      </w:r>
      <w:r w:rsidR="00FD2E3C" w:rsidRPr="008B3F33">
        <w:t xml:space="preserve">Court </w:t>
      </w:r>
      <w:r w:rsidRPr="008B3F33">
        <w:t xml:space="preserve">of </w:t>
      </w:r>
      <w:r w:rsidR="00FD2E3C" w:rsidRPr="008B3F33">
        <w:t xml:space="preserve">Appeal </w:t>
      </w:r>
      <w:r w:rsidRPr="008B3F33">
        <w:t xml:space="preserve">held that although the death penalty is a form of deprivation of one’s right and is inhuman and degrading, </w:t>
      </w:r>
      <w:r w:rsidR="00FD2E3C" w:rsidRPr="008B3F33">
        <w:t xml:space="preserve">it was nevertheless </w:t>
      </w:r>
      <w:r w:rsidRPr="008B3F33">
        <w:t>constitutionally permissi</w:t>
      </w:r>
      <w:r w:rsidR="00FD2E3C" w:rsidRPr="008B3F33">
        <w:t xml:space="preserve">ble, having regard to </w:t>
      </w:r>
      <w:r w:rsidR="00CA0DF9" w:rsidRPr="008B3F33">
        <w:t>the nature</w:t>
      </w:r>
      <w:r w:rsidRPr="008B3F33">
        <w:t xml:space="preserve"> of the right to life as entrenched.</w:t>
      </w:r>
      <w:r w:rsidR="00FD2E3C" w:rsidRPr="008B3F33">
        <w:t xml:space="preserve"> The Constitutional Court of </w:t>
      </w:r>
      <w:r w:rsidR="00FB0BBD" w:rsidRPr="008B3F33">
        <w:t xml:space="preserve">South </w:t>
      </w:r>
      <w:r w:rsidRPr="008B3F33">
        <w:t xml:space="preserve">Africa in the case of </w:t>
      </w:r>
      <w:r w:rsidRPr="008B3F33">
        <w:rPr>
          <w:i/>
        </w:rPr>
        <w:t>State V. Makawanyane &amp; An</w:t>
      </w:r>
      <w:r w:rsidR="00FB0BBD" w:rsidRPr="008B3F33">
        <w:rPr>
          <w:i/>
        </w:rPr>
        <w:t>r</w:t>
      </w:r>
      <w:r w:rsidR="00FD2E3C" w:rsidRPr="008B3F33">
        <w:rPr>
          <w:i/>
        </w:rPr>
        <w:t>,</w:t>
      </w:r>
      <w:r w:rsidRPr="008B3F33">
        <w:rPr>
          <w:rStyle w:val="FootnoteReference"/>
        </w:rPr>
        <w:footnoteReference w:id="30"/>
      </w:r>
      <w:r w:rsidR="00FD2E3C" w:rsidRPr="008B3F33">
        <w:rPr>
          <w:i/>
        </w:rPr>
        <w:t xml:space="preserve"> </w:t>
      </w:r>
      <w:r w:rsidRPr="008B3F33">
        <w:t xml:space="preserve">emphasized the relationship between the right to life and dignity. In the </w:t>
      </w:r>
      <w:r w:rsidRPr="008B3F33">
        <w:rPr>
          <w:i/>
        </w:rPr>
        <w:t>Makwanyane case</w:t>
      </w:r>
      <w:r w:rsidRPr="008B3F33">
        <w:t xml:space="preserve">, </w:t>
      </w:r>
      <w:r w:rsidR="00FD2E3C" w:rsidRPr="008B3F33">
        <w:t>it was</w:t>
      </w:r>
      <w:r w:rsidRPr="008B3F33">
        <w:t xml:space="preserve"> concluded that life by its very nature cannot be restricted, qualified or abridged, limited or derogated from, as you are-either dead or alive</w:t>
      </w:r>
      <w:r w:rsidR="00CA0DF9" w:rsidRPr="008B3F33">
        <w:t xml:space="preserve">. However children under 17 years, of age at the time of the commission of the offence cannot be sentenced to death and any sentence on a pregnant woman must be commuted until she is delivered of her baby. </w:t>
      </w:r>
    </w:p>
    <w:p w:rsidR="00FD2E3C" w:rsidRPr="008B3F33" w:rsidRDefault="00FD2E3C" w:rsidP="00051335">
      <w:pPr>
        <w:jc w:val="both"/>
      </w:pPr>
    </w:p>
    <w:p w:rsidR="00FB0BBD" w:rsidRPr="008B3F33" w:rsidRDefault="004F2B6B" w:rsidP="00FB0BBD">
      <w:pPr>
        <w:spacing w:line="480" w:lineRule="auto"/>
        <w:jc w:val="both"/>
      </w:pPr>
      <w:r w:rsidRPr="008B3F33">
        <w:t>The right to life and dignity of human persons is protected in various ways</w:t>
      </w:r>
      <w:r w:rsidR="00CB6142" w:rsidRPr="008B3F33">
        <w:t xml:space="preserve"> under n</w:t>
      </w:r>
      <w:r w:rsidRPr="008B3F33">
        <w:t>ationa</w:t>
      </w:r>
      <w:r w:rsidR="00CB6142" w:rsidRPr="008B3F33">
        <w:t>l r</w:t>
      </w:r>
      <w:r w:rsidR="00CA0DF9" w:rsidRPr="008B3F33">
        <w:t>egional and international i</w:t>
      </w:r>
      <w:r w:rsidRPr="008B3F33">
        <w:t>nstruments and is often among the first few rights to be protected. Thus, it can be said that there is an obligation on the part of all nations to protect it</w:t>
      </w:r>
      <w:r w:rsidR="004325A5" w:rsidRPr="008B3F33">
        <w:t xml:space="preserve">s citizens </w:t>
      </w:r>
      <w:r w:rsidRPr="008B3F33">
        <w:t xml:space="preserve">. </w:t>
      </w:r>
      <w:r w:rsidR="00FB0BBD" w:rsidRPr="008B3F33">
        <w:t xml:space="preserve">The Interplay </w:t>
      </w:r>
      <w:r w:rsidR="00FB0BBD" w:rsidRPr="008B3F33">
        <w:lastRenderedPageBreak/>
        <w:t xml:space="preserve">between the International and domestic jurisdiction could be useful for African lawyers and Courts in dealing with the death penalty              </w:t>
      </w:r>
    </w:p>
    <w:p w:rsidR="004F2B6B" w:rsidRPr="008B3F33" w:rsidRDefault="004F2B6B" w:rsidP="004325A5">
      <w:pPr>
        <w:pStyle w:val="BodyText"/>
      </w:pPr>
    </w:p>
    <w:p w:rsidR="004F2B6B" w:rsidRPr="008B3F33" w:rsidRDefault="004F2B6B" w:rsidP="00F475D6">
      <w:pPr>
        <w:pStyle w:val="BodyText"/>
        <w:spacing w:line="480" w:lineRule="auto"/>
      </w:pPr>
      <w:r w:rsidRPr="008B3F33">
        <w:t xml:space="preserve">In </w:t>
      </w:r>
      <w:r w:rsidR="00056198" w:rsidRPr="008B3F33">
        <w:rPr>
          <w:bCs/>
          <w:i/>
        </w:rPr>
        <w:t>Kalu V State</w:t>
      </w:r>
      <w:r w:rsidR="00056198" w:rsidRPr="008B3F33">
        <w:rPr>
          <w:i/>
        </w:rPr>
        <w:t>,</w:t>
      </w:r>
      <w:r w:rsidRPr="008B3F33">
        <w:rPr>
          <w:rStyle w:val="FootnoteReference"/>
        </w:rPr>
        <w:footnoteReference w:id="31"/>
      </w:r>
      <w:r w:rsidRPr="008B3F33">
        <w:t xml:space="preserve"> it was contended that the death penalty provision of Sec 319 (1) of the </w:t>
      </w:r>
      <w:r w:rsidR="004325A5" w:rsidRPr="008B3F33">
        <w:t xml:space="preserve">Criminal Code </w:t>
      </w:r>
      <w:r w:rsidRPr="008B3F33">
        <w:t>law</w:t>
      </w:r>
      <w:r w:rsidR="004325A5" w:rsidRPr="008B3F33">
        <w:rPr>
          <w:rStyle w:val="FootnoteReference"/>
        </w:rPr>
        <w:footnoteReference w:id="32"/>
      </w:r>
      <w:r w:rsidRPr="008B3F33">
        <w:t>, of Lagos state as a penalty for murder, offends Sec 33 (1) of the 1999 constitution which guarantees the right to life. The Supreme Court rejected this argument saying that the right qualified as</w:t>
      </w:r>
      <w:r w:rsidR="007B686D" w:rsidRPr="008B3F33">
        <w:t xml:space="preserve"> opposed to an absolute right. </w:t>
      </w:r>
      <w:r w:rsidRPr="008B3F33">
        <w:t xml:space="preserve">However, in </w:t>
      </w:r>
      <w:r w:rsidR="004325A5" w:rsidRPr="008B3F33">
        <w:rPr>
          <w:bCs/>
          <w:i/>
        </w:rPr>
        <w:t>Bello &amp; ors v. A.G. of Oyo state,</w:t>
      </w:r>
      <w:r w:rsidRPr="008B3F33">
        <w:rPr>
          <w:rStyle w:val="FootnoteReference"/>
        </w:rPr>
        <w:footnoteReference w:id="33"/>
      </w:r>
      <w:r w:rsidRPr="008B3F33">
        <w:t xml:space="preserve"> </w:t>
      </w:r>
      <w:r w:rsidR="008F7A69" w:rsidRPr="008B3F33">
        <w:t>the</w:t>
      </w:r>
      <w:r w:rsidRPr="008B3F33">
        <w:t xml:space="preserve"> deceased has been convicted of armed robbery and sentenced to death. He filed a notion of appeal but before the hearing of the appeal, the Oyo State Government had him executed. His </w:t>
      </w:r>
      <w:r w:rsidR="008F7A69" w:rsidRPr="008B3F33">
        <w:t>relatives brought</w:t>
      </w:r>
      <w:r w:rsidRPr="008B3F33">
        <w:t xml:space="preserve"> an action against the State government in torts claiming damages, wrongful and premature termination of the life of their relation. The Supreme Court held that the Unlawful termination of the life of the appellants, relation</w:t>
      </w:r>
      <w:r w:rsidR="004325A5" w:rsidRPr="008B3F33">
        <w:t xml:space="preserve"> before his appeal was </w:t>
      </w:r>
      <w:r w:rsidRPr="008B3F33">
        <w:t>a contravention of Section 33(1) of the Constitution.</w:t>
      </w:r>
    </w:p>
    <w:p w:rsidR="004325A5" w:rsidRPr="008B3F33" w:rsidRDefault="004325A5" w:rsidP="00051335">
      <w:pPr>
        <w:pStyle w:val="BodyText"/>
      </w:pPr>
    </w:p>
    <w:p w:rsidR="004F2B6B" w:rsidRPr="008B3F33" w:rsidRDefault="004F2B6B" w:rsidP="00A52CB3">
      <w:pPr>
        <w:pStyle w:val="BodyText"/>
        <w:spacing w:line="480" w:lineRule="auto"/>
      </w:pPr>
      <w:r w:rsidRPr="008B3F33">
        <w:t xml:space="preserve">In the United </w:t>
      </w:r>
      <w:r w:rsidR="00A52CB3" w:rsidRPr="008B3F33">
        <w:t>States</w:t>
      </w:r>
      <w:r w:rsidRPr="008B3F33">
        <w:t xml:space="preserve">, the case of death penalty is not yet well settled. In </w:t>
      </w:r>
      <w:r w:rsidR="004325A5" w:rsidRPr="008B3F33">
        <w:rPr>
          <w:bCs/>
          <w:i/>
        </w:rPr>
        <w:t>Trup v. Dulles</w:t>
      </w:r>
      <w:r w:rsidRPr="008B3F33">
        <w:t xml:space="preserve">, The court refused to consider the death Penalty as </w:t>
      </w:r>
      <w:r w:rsidR="004325A5" w:rsidRPr="008B3F33">
        <w:t>an</w:t>
      </w:r>
      <w:r w:rsidR="008F7A69" w:rsidRPr="008B3F33">
        <w:t xml:space="preserve"> </w:t>
      </w:r>
      <w:r w:rsidRPr="008B3F33">
        <w:t xml:space="preserve">unusual punishment because it was widely accepted and practiced in many states. In </w:t>
      </w:r>
      <w:r w:rsidR="00637D61" w:rsidRPr="008B3F33">
        <w:rPr>
          <w:bCs/>
          <w:i/>
        </w:rPr>
        <w:t>Furman v. Georgia</w:t>
      </w:r>
      <w:r w:rsidRPr="008B3F33">
        <w:t>,</w:t>
      </w:r>
      <w:r w:rsidRPr="008B3F33">
        <w:rPr>
          <w:rStyle w:val="FootnoteReference"/>
        </w:rPr>
        <w:footnoteReference w:id="34"/>
      </w:r>
      <w:r w:rsidRPr="008B3F33">
        <w:t xml:space="preserve"> the court held that death sentence as administered violated the eighth amendment. Two out of the five justices, however, concluded that the death penalty was cruel and unusual and does </w:t>
      </w:r>
      <w:r w:rsidR="00637D61" w:rsidRPr="008B3F33">
        <w:t>violate</w:t>
      </w:r>
      <w:r w:rsidRPr="008B3F33">
        <w:t xml:space="preserve"> human dignity.</w:t>
      </w:r>
    </w:p>
    <w:p w:rsidR="00637D61" w:rsidRPr="008B3F33" w:rsidRDefault="00DA5894" w:rsidP="00A52CB3">
      <w:pPr>
        <w:pStyle w:val="BodyText"/>
        <w:spacing w:line="480" w:lineRule="auto"/>
        <w:rPr>
          <w:b/>
        </w:rPr>
      </w:pPr>
      <w:r w:rsidRPr="008B3F33">
        <w:rPr>
          <w:b/>
        </w:rPr>
        <w:t>4.1</w:t>
      </w:r>
      <w:r w:rsidRPr="008B3F33">
        <w:rPr>
          <w:b/>
        </w:rPr>
        <w:tab/>
        <w:t>Conclusion</w:t>
      </w:r>
    </w:p>
    <w:p w:rsidR="00821336" w:rsidRPr="008B3F33" w:rsidRDefault="00DA5894" w:rsidP="00DA5894">
      <w:pPr>
        <w:spacing w:line="480" w:lineRule="auto"/>
        <w:jc w:val="both"/>
      </w:pPr>
      <w:r w:rsidRPr="008B3F33">
        <w:t xml:space="preserve">From the above discussions, it is apparent that the right to life is one that is scared and enshrined in both municipal and international laws. Also apparent is that the Nigerian Constitution recognizes the right to life but in the same vein </w:t>
      </w:r>
      <w:r w:rsidR="006D546F" w:rsidRPr="008B3F33">
        <w:t>inputs a legal limitation to the right to life.</w:t>
      </w:r>
    </w:p>
    <w:p w:rsidR="001213B9" w:rsidRDefault="00171C73" w:rsidP="00DA5894">
      <w:pPr>
        <w:spacing w:line="480" w:lineRule="auto"/>
        <w:jc w:val="both"/>
        <w:rPr>
          <w:lang w:eastAsia="en-GB"/>
        </w:rPr>
      </w:pPr>
      <w:r w:rsidRPr="0097015F">
        <w:rPr>
          <w:lang w:eastAsia="en-GB"/>
        </w:rPr>
        <w:t xml:space="preserve">Undoubtedly, the right of man to life is the most fundamental of all human rights. </w:t>
      </w:r>
      <w:r w:rsidRPr="008B3F33">
        <w:rPr>
          <w:lang w:eastAsia="en-GB"/>
        </w:rPr>
        <w:t xml:space="preserve">The </w:t>
      </w:r>
      <w:r w:rsidRPr="0097015F">
        <w:rPr>
          <w:lang w:eastAsia="en-GB"/>
        </w:rPr>
        <w:t xml:space="preserve">right to life is a fundamental right in any society irrespective to its degree of development or the type of culture </w:t>
      </w:r>
      <w:r w:rsidRPr="0097015F">
        <w:rPr>
          <w:lang w:eastAsia="en-GB"/>
        </w:rPr>
        <w:lastRenderedPageBreak/>
        <w:t>which</w:t>
      </w:r>
      <w:r w:rsidRPr="008B3F33">
        <w:rPr>
          <w:lang w:eastAsia="en-GB"/>
        </w:rPr>
        <w:t xml:space="preserve"> </w:t>
      </w:r>
      <w:r w:rsidRPr="0097015F">
        <w:rPr>
          <w:lang w:eastAsia="en-GB"/>
        </w:rPr>
        <w:t>characterizes it</w:t>
      </w:r>
      <w:r w:rsidRPr="008B3F33">
        <w:rPr>
          <w:lang w:eastAsia="en-GB"/>
        </w:rPr>
        <w:t xml:space="preserve">. </w:t>
      </w:r>
      <w:r w:rsidRPr="0097015F">
        <w:rPr>
          <w:lang w:eastAsia="en-GB"/>
        </w:rPr>
        <w:t>The right to life is a universal right. However, various jurisdictions recognize permissible limitation to this universal right. In Nigeria, such permissible limitation includes the imposition of the death penalty.</w:t>
      </w:r>
    </w:p>
    <w:p w:rsidR="00171C73" w:rsidRPr="008B3F33" w:rsidRDefault="00171C73" w:rsidP="001213B9">
      <w:pPr>
        <w:jc w:val="both"/>
        <w:rPr>
          <w:lang w:eastAsia="en-GB"/>
        </w:rPr>
      </w:pPr>
      <w:r w:rsidRPr="0097015F">
        <w:rPr>
          <w:lang w:eastAsia="en-GB"/>
        </w:rPr>
        <w:br/>
      </w:r>
    </w:p>
    <w:p w:rsidR="001213B9" w:rsidRDefault="00171C73" w:rsidP="00DA5894">
      <w:pPr>
        <w:spacing w:line="480" w:lineRule="auto"/>
        <w:jc w:val="both"/>
        <w:rPr>
          <w:lang w:eastAsia="en-GB"/>
        </w:rPr>
      </w:pPr>
      <w:r w:rsidRPr="0097015F">
        <w:rPr>
          <w:lang w:eastAsia="en-GB"/>
        </w:rPr>
        <w:t>In Nigeria, today, five offences are punishable by death. These include: murder, treason, treachery, directing and controlling or presiding at an unlawful trial by ordeal from which death results, and conviction for armed robbery.</w:t>
      </w:r>
      <w:r w:rsidR="000824A4" w:rsidRPr="008B3F33">
        <w:rPr>
          <w:rStyle w:val="FootnoteReference"/>
          <w:lang w:eastAsia="en-GB"/>
        </w:rPr>
        <w:footnoteReference w:id="35"/>
      </w:r>
      <w:r w:rsidR="000824A4" w:rsidRPr="008B3F33">
        <w:rPr>
          <w:lang w:eastAsia="en-GB"/>
        </w:rPr>
        <w:t xml:space="preserve"> </w:t>
      </w:r>
      <w:r w:rsidRPr="0097015F">
        <w:rPr>
          <w:lang w:eastAsia="en-GB"/>
        </w:rPr>
        <w:t xml:space="preserve"> </w:t>
      </w:r>
    </w:p>
    <w:p w:rsidR="00171C73" w:rsidRPr="008B3F33" w:rsidRDefault="00171C73" w:rsidP="001213B9">
      <w:pPr>
        <w:spacing w:line="480" w:lineRule="auto"/>
        <w:jc w:val="both"/>
      </w:pPr>
      <w:r w:rsidRPr="0097015F">
        <w:rPr>
          <w:lang w:eastAsia="en-GB"/>
        </w:rPr>
        <w:br/>
        <w:t>The constitution of the Federal Republic of Nigeria is the supreme law of the land, and any law inconsistent with its provisions is therefore inconsistent. From the above, it follows that the constitutionality of death penalty is not in doubt. In fact, the supreme court of Nigeria upheld the constitutionality of the death sentence in the case of Onuoha Kalu vs The State.</w:t>
      </w:r>
      <w:r w:rsidR="000824A4" w:rsidRPr="008B3F33">
        <w:rPr>
          <w:rStyle w:val="FootnoteReference"/>
          <w:lang w:eastAsia="en-GB"/>
        </w:rPr>
        <w:footnoteReference w:id="36"/>
      </w:r>
      <w:r w:rsidRPr="0097015F">
        <w:rPr>
          <w:lang w:eastAsia="en-GB"/>
        </w:rPr>
        <w:t xml:space="preserve"> </w:t>
      </w:r>
      <w:r w:rsidRPr="0097015F">
        <w:rPr>
          <w:lang w:eastAsia="en-GB"/>
        </w:rPr>
        <w:br/>
      </w:r>
      <w:r w:rsidR="00D06F20" w:rsidRPr="008B3F33">
        <w:t>However, irrespective of the above</w:t>
      </w:r>
      <w:r w:rsidR="008B3F33" w:rsidRPr="008B3F33">
        <w:t xml:space="preserve"> conclusion, it is the view of the authors that.</w:t>
      </w:r>
    </w:p>
    <w:p w:rsidR="00804896" w:rsidRDefault="00804896" w:rsidP="00DA5894">
      <w:pPr>
        <w:spacing w:line="480" w:lineRule="auto"/>
        <w:jc w:val="both"/>
        <w:rPr>
          <w:b/>
        </w:rPr>
      </w:pPr>
    </w:p>
    <w:p w:rsidR="008B3F33" w:rsidRPr="008B3F33" w:rsidRDefault="008B3F33" w:rsidP="00DA5894">
      <w:pPr>
        <w:spacing w:line="480" w:lineRule="auto"/>
        <w:jc w:val="both"/>
        <w:rPr>
          <w:b/>
        </w:rPr>
      </w:pPr>
      <w:r w:rsidRPr="008B3F33">
        <w:rPr>
          <w:b/>
        </w:rPr>
        <w:t>4.2</w:t>
      </w:r>
      <w:r w:rsidRPr="008B3F33">
        <w:rPr>
          <w:b/>
        </w:rPr>
        <w:tab/>
        <w:t>Recommendations</w:t>
      </w:r>
    </w:p>
    <w:p w:rsidR="008B3F33" w:rsidRPr="008B3F33" w:rsidRDefault="008B3F33" w:rsidP="008B3F33">
      <w:pPr>
        <w:spacing w:line="480" w:lineRule="auto"/>
        <w:jc w:val="both"/>
      </w:pPr>
      <w:r w:rsidRPr="008B3F33">
        <w:t>The executive should commute existing death sentences to life imprisonment.  There is also a dire need for the respect of the moratorium on death penalty as the government attempts to remedy the short comings in the criminal justice system as well as human rights complaints mechanism that affect the ability to administer justice effectively.</w:t>
      </w:r>
    </w:p>
    <w:p w:rsidR="00B379E8" w:rsidRDefault="00B379E8" w:rsidP="008B3F33">
      <w:pPr>
        <w:spacing w:line="480" w:lineRule="auto"/>
        <w:jc w:val="both"/>
      </w:pPr>
    </w:p>
    <w:p w:rsidR="008B3F33" w:rsidRPr="008B3F33" w:rsidRDefault="008B3F33" w:rsidP="008B3F33">
      <w:pPr>
        <w:spacing w:line="480" w:lineRule="auto"/>
        <w:jc w:val="both"/>
      </w:pPr>
      <w:r w:rsidRPr="008B3F33">
        <w:t>Government should ensure the availability of resources to the police and judiciary for carrying out proper and swift investigations. The creation of a legal aid scheme in Nigeria would improve the administration of justice.</w:t>
      </w:r>
    </w:p>
    <w:p w:rsidR="008B3F33" w:rsidRPr="008B3F33" w:rsidRDefault="008B3F33" w:rsidP="008B3F33">
      <w:pPr>
        <w:spacing w:line="480" w:lineRule="auto"/>
        <w:jc w:val="both"/>
      </w:pPr>
    </w:p>
    <w:p w:rsidR="008B3F33" w:rsidRPr="008B3F33" w:rsidRDefault="008B3F33" w:rsidP="008B3F33">
      <w:pPr>
        <w:spacing w:line="480" w:lineRule="auto"/>
        <w:jc w:val="both"/>
      </w:pPr>
      <w:r w:rsidRPr="008B3F33">
        <w:lastRenderedPageBreak/>
        <w:t xml:space="preserve">In this current democratic dispensation, these is a girt need for NGO’S in collaboration with government institutions to set up a project designed to lobby for abolition of the death penalty and other vices that affects the enjoyment of the right to life and dignity of human person, through public awareness, campaigns as well as regional and national conferences. </w:t>
      </w:r>
    </w:p>
    <w:p w:rsidR="008B3F33" w:rsidRPr="008B3F33" w:rsidRDefault="008B3F33" w:rsidP="00DA5894">
      <w:pPr>
        <w:spacing w:line="480" w:lineRule="auto"/>
        <w:jc w:val="both"/>
      </w:pPr>
    </w:p>
    <w:sectPr w:rsidR="008B3F33" w:rsidRPr="008B3F33" w:rsidSect="001213B9">
      <w:headerReference w:type="default" r:id="rId8"/>
      <w:footerReference w:type="even" r:id="rId9"/>
      <w:footerReference w:type="default" r:id="rId10"/>
      <w:pgSz w:w="11907" w:h="16839"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761D" w:rsidRDefault="007E761D" w:rsidP="004F2B6B">
      <w:r>
        <w:separator/>
      </w:r>
    </w:p>
  </w:endnote>
  <w:endnote w:type="continuationSeparator" w:id="0">
    <w:p w:rsidR="007E761D" w:rsidRDefault="007E761D" w:rsidP="004F2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93B" w:rsidRDefault="00B13259" w:rsidP="00486894">
    <w:pPr>
      <w:pStyle w:val="Footer"/>
      <w:framePr w:wrap="around" w:vAnchor="text" w:hAnchor="margin" w:xAlign="right" w:y="1"/>
      <w:rPr>
        <w:rStyle w:val="PageNumber"/>
      </w:rPr>
    </w:pPr>
    <w:r>
      <w:rPr>
        <w:rStyle w:val="PageNumber"/>
      </w:rPr>
      <w:fldChar w:fldCharType="begin"/>
    </w:r>
    <w:r w:rsidR="0075063E">
      <w:rPr>
        <w:rStyle w:val="PageNumber"/>
      </w:rPr>
      <w:instrText xml:space="preserve">PAGE  </w:instrText>
    </w:r>
    <w:r>
      <w:rPr>
        <w:rStyle w:val="PageNumber"/>
      </w:rPr>
      <w:fldChar w:fldCharType="end"/>
    </w:r>
  </w:p>
  <w:p w:rsidR="000D393B" w:rsidRDefault="007E761D" w:rsidP="0048689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4029"/>
      <w:docPartObj>
        <w:docPartGallery w:val="Page Numbers (Bottom of Page)"/>
        <w:docPartUnique/>
      </w:docPartObj>
    </w:sdtPr>
    <w:sdtEndPr/>
    <w:sdtContent>
      <w:p w:rsidR="00FB7AC4" w:rsidRDefault="007E761D">
        <w:pPr>
          <w:pStyle w:val="Footer"/>
        </w:pPr>
        <w:r>
          <w:fldChar w:fldCharType="begin"/>
        </w:r>
        <w:r>
          <w:instrText xml:space="preserve"> PAGE   \* MERGEFORMAT </w:instrText>
        </w:r>
        <w:r>
          <w:fldChar w:fldCharType="separate"/>
        </w:r>
        <w:r w:rsidR="00FB7AC4">
          <w:rPr>
            <w:noProof/>
          </w:rPr>
          <w:t>5</w:t>
        </w:r>
        <w:r>
          <w:rPr>
            <w:noProof/>
          </w:rPr>
          <w:fldChar w:fldCharType="end"/>
        </w:r>
      </w:p>
    </w:sdtContent>
  </w:sdt>
  <w:p w:rsidR="000D393B" w:rsidRDefault="007E761D" w:rsidP="0048689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761D" w:rsidRDefault="007E761D" w:rsidP="004F2B6B">
      <w:r>
        <w:separator/>
      </w:r>
    </w:p>
  </w:footnote>
  <w:footnote w:type="continuationSeparator" w:id="0">
    <w:p w:rsidR="007E761D" w:rsidRDefault="007E761D" w:rsidP="004F2B6B">
      <w:r>
        <w:continuationSeparator/>
      </w:r>
    </w:p>
  </w:footnote>
  <w:footnote w:id="1">
    <w:p w:rsidR="00267556" w:rsidRPr="00267556" w:rsidRDefault="00267556" w:rsidP="00267556">
      <w:pPr>
        <w:pStyle w:val="FootnoteText"/>
        <w:jc w:val="both"/>
      </w:pPr>
      <w:r w:rsidRPr="008A47D5">
        <w:rPr>
          <w:rStyle w:val="FootnoteReference"/>
        </w:rPr>
        <w:sym w:font="Symbol" w:char="F0A8"/>
      </w:r>
      <w:r>
        <w:t xml:space="preserve"> </w:t>
      </w:r>
      <w:r w:rsidRPr="00804896">
        <w:rPr>
          <w:sz w:val="18"/>
          <w:szCs w:val="18"/>
        </w:rPr>
        <w:t>LL.B, BL (Nigeria), LL.M (South Africa). Onuora-Oguno is currently a lecturer at Madonna University, Nigeria. He is a practicing lawyer before the Nigeria Supreme Court and a listed Legal Officer with the Special Tribunal for Lebanon. This work is a revamped version of unpublished LLB research work submitted to the faculty of law Madonna University by Ushie Nneka and supervised by Mr. Onuora-Oguno.</w:t>
      </w:r>
      <w:r>
        <w:rPr>
          <w:sz w:val="18"/>
          <w:szCs w:val="18"/>
        </w:rPr>
        <w:t xml:space="preserve"> </w:t>
      </w:r>
      <w:hyperlink r:id="rId1" w:history="1">
        <w:r w:rsidR="0028335A" w:rsidRPr="005C63AB">
          <w:rPr>
            <w:rStyle w:val="Hyperlink"/>
            <w:sz w:val="18"/>
            <w:szCs w:val="18"/>
          </w:rPr>
          <w:t>Azubike.onuoraoguno@gmail.com</w:t>
        </w:r>
      </w:hyperlink>
      <w:r w:rsidR="0028335A">
        <w:rPr>
          <w:sz w:val="18"/>
          <w:szCs w:val="18"/>
        </w:rPr>
        <w:t xml:space="preserve"> </w:t>
      </w:r>
    </w:p>
  </w:footnote>
  <w:footnote w:id="2">
    <w:p w:rsidR="0083222E" w:rsidRPr="008A47D5" w:rsidRDefault="0083222E" w:rsidP="0083222E">
      <w:pPr>
        <w:pStyle w:val="FootnoteText"/>
        <w:rPr>
          <w:lang w:val="en-GB"/>
        </w:rPr>
      </w:pPr>
      <w:r w:rsidRPr="008A47D5">
        <w:rPr>
          <w:rStyle w:val="FootnoteReference"/>
        </w:rPr>
        <w:sym w:font="Symbol" w:char="F0A8"/>
      </w:r>
      <w:r>
        <w:t xml:space="preserve"> </w:t>
      </w:r>
      <w:r w:rsidRPr="00804896">
        <w:rPr>
          <w:sz w:val="18"/>
          <w:szCs w:val="18"/>
          <w:lang w:val="en-GB"/>
        </w:rPr>
        <w:t>LL.B Madonna 2010 and currently in the Nigeria Law school Abuja.</w:t>
      </w:r>
    </w:p>
  </w:footnote>
  <w:footnote w:id="3">
    <w:p w:rsidR="00B379E8" w:rsidRPr="00804896" w:rsidRDefault="00B379E8" w:rsidP="00804896">
      <w:pPr>
        <w:pStyle w:val="FootnoteText"/>
        <w:jc w:val="both"/>
        <w:rPr>
          <w:sz w:val="18"/>
          <w:szCs w:val="18"/>
        </w:rPr>
      </w:pPr>
      <w:r w:rsidRPr="00804896">
        <w:rPr>
          <w:rStyle w:val="FootnoteReference"/>
          <w:sz w:val="18"/>
          <w:szCs w:val="18"/>
        </w:rPr>
        <w:footnoteRef/>
      </w:r>
      <w:r w:rsidRPr="00804896">
        <w:rPr>
          <w:sz w:val="18"/>
          <w:szCs w:val="18"/>
        </w:rPr>
        <w:t xml:space="preserve"> Chenwi L, ‘Towards the abolition of death penalty in Africa’ a human rights perspective</w:t>
      </w:r>
      <w:r w:rsidR="00EF2F7D">
        <w:rPr>
          <w:sz w:val="18"/>
          <w:szCs w:val="18"/>
        </w:rPr>
        <w:t>’</w:t>
      </w:r>
      <w:r w:rsidRPr="00804896">
        <w:rPr>
          <w:sz w:val="18"/>
          <w:szCs w:val="18"/>
        </w:rPr>
        <w:t xml:space="preserve"> 57. </w:t>
      </w:r>
    </w:p>
  </w:footnote>
  <w:footnote w:id="4">
    <w:p w:rsidR="004F2B6B" w:rsidRPr="00804896" w:rsidRDefault="004F2B6B" w:rsidP="00804896">
      <w:pPr>
        <w:pStyle w:val="FootnoteText"/>
        <w:jc w:val="both"/>
        <w:rPr>
          <w:sz w:val="18"/>
          <w:szCs w:val="18"/>
        </w:rPr>
      </w:pPr>
      <w:r w:rsidRPr="00804896">
        <w:rPr>
          <w:rStyle w:val="FootnoteReference"/>
          <w:sz w:val="18"/>
          <w:szCs w:val="18"/>
        </w:rPr>
        <w:footnoteRef/>
      </w:r>
      <w:r w:rsidRPr="00804896">
        <w:rPr>
          <w:sz w:val="18"/>
          <w:szCs w:val="18"/>
        </w:rPr>
        <w:t xml:space="preserve"> (1985) 2 NWLR, 211, SCN</w:t>
      </w:r>
    </w:p>
  </w:footnote>
  <w:footnote w:id="5">
    <w:p w:rsidR="004A5AC8" w:rsidRPr="00804896" w:rsidRDefault="004A5AC8" w:rsidP="00804896">
      <w:pPr>
        <w:pStyle w:val="FootnoteText"/>
        <w:jc w:val="both"/>
        <w:rPr>
          <w:sz w:val="18"/>
          <w:szCs w:val="18"/>
          <w:lang w:val="en-GB"/>
        </w:rPr>
      </w:pPr>
      <w:r w:rsidRPr="00804896">
        <w:rPr>
          <w:rStyle w:val="FootnoteReference"/>
          <w:sz w:val="18"/>
          <w:szCs w:val="18"/>
        </w:rPr>
        <w:footnoteRef/>
      </w:r>
      <w:r w:rsidRPr="00804896">
        <w:rPr>
          <w:sz w:val="18"/>
          <w:szCs w:val="18"/>
        </w:rPr>
        <w:t xml:space="preserve"> </w:t>
      </w:r>
      <w:r w:rsidRPr="00804896">
        <w:rPr>
          <w:sz w:val="18"/>
          <w:szCs w:val="18"/>
          <w:lang w:val="en-GB"/>
        </w:rPr>
        <w:t>CFRN 1990, Ss33-46</w:t>
      </w:r>
    </w:p>
  </w:footnote>
  <w:footnote w:id="6">
    <w:p w:rsidR="004A5AC8" w:rsidRPr="00804896" w:rsidRDefault="004A5AC8" w:rsidP="00804896">
      <w:pPr>
        <w:pStyle w:val="FootnoteText"/>
        <w:jc w:val="both"/>
        <w:rPr>
          <w:sz w:val="18"/>
          <w:szCs w:val="18"/>
          <w:lang w:val="en-GB"/>
        </w:rPr>
      </w:pPr>
      <w:r w:rsidRPr="00804896">
        <w:rPr>
          <w:rStyle w:val="FootnoteReference"/>
          <w:sz w:val="18"/>
          <w:szCs w:val="18"/>
        </w:rPr>
        <w:footnoteRef/>
      </w:r>
      <w:r w:rsidRPr="00804896">
        <w:rPr>
          <w:sz w:val="18"/>
          <w:szCs w:val="18"/>
        </w:rPr>
        <w:t xml:space="preserve"> </w:t>
      </w:r>
      <w:r w:rsidRPr="00804896">
        <w:rPr>
          <w:sz w:val="18"/>
          <w:szCs w:val="18"/>
          <w:lang w:val="en-GB"/>
        </w:rPr>
        <w:t>CFRN 1990, S 1.</w:t>
      </w:r>
    </w:p>
  </w:footnote>
  <w:footnote w:id="7">
    <w:p w:rsidR="004F2B6B" w:rsidRPr="00804896" w:rsidRDefault="004F2B6B" w:rsidP="00804896">
      <w:pPr>
        <w:pStyle w:val="FootnoteText"/>
        <w:jc w:val="both"/>
        <w:rPr>
          <w:sz w:val="18"/>
          <w:szCs w:val="18"/>
        </w:rPr>
      </w:pPr>
      <w:r w:rsidRPr="00804896">
        <w:rPr>
          <w:rStyle w:val="FootnoteReference"/>
          <w:sz w:val="18"/>
          <w:szCs w:val="18"/>
        </w:rPr>
        <w:footnoteRef/>
      </w:r>
      <w:r w:rsidRPr="00804896">
        <w:rPr>
          <w:sz w:val="18"/>
          <w:szCs w:val="18"/>
        </w:rPr>
        <w:t xml:space="preserve"> (1996) 9-10 SCNJ 51</w:t>
      </w:r>
    </w:p>
  </w:footnote>
  <w:footnote w:id="8">
    <w:p w:rsidR="007A4F71" w:rsidRPr="00804896" w:rsidRDefault="007A4F71" w:rsidP="00804896">
      <w:pPr>
        <w:pStyle w:val="FootnoteText"/>
        <w:jc w:val="both"/>
        <w:rPr>
          <w:sz w:val="18"/>
          <w:szCs w:val="18"/>
          <w:lang w:val="en-GB"/>
        </w:rPr>
      </w:pPr>
      <w:r w:rsidRPr="00804896">
        <w:rPr>
          <w:rStyle w:val="FootnoteReference"/>
          <w:sz w:val="18"/>
          <w:szCs w:val="18"/>
        </w:rPr>
        <w:footnoteRef/>
      </w:r>
      <w:r w:rsidRPr="00804896">
        <w:rPr>
          <w:sz w:val="18"/>
          <w:szCs w:val="18"/>
        </w:rPr>
        <w:t xml:space="preserve"> Per Kutigi JSC while delivering the lead judgment of the Supreme Court.</w:t>
      </w:r>
    </w:p>
  </w:footnote>
  <w:footnote w:id="9">
    <w:p w:rsidR="005460E8" w:rsidRPr="00804896" w:rsidRDefault="005460E8" w:rsidP="00804896">
      <w:pPr>
        <w:jc w:val="both"/>
        <w:rPr>
          <w:sz w:val="18"/>
          <w:szCs w:val="18"/>
        </w:rPr>
      </w:pPr>
      <w:r w:rsidRPr="00804896">
        <w:rPr>
          <w:rStyle w:val="FootnoteReference"/>
          <w:sz w:val="18"/>
          <w:szCs w:val="18"/>
        </w:rPr>
        <w:footnoteRef/>
      </w:r>
      <w:r w:rsidR="00931EA3" w:rsidRPr="00804896">
        <w:rPr>
          <w:sz w:val="18"/>
          <w:szCs w:val="18"/>
        </w:rPr>
        <w:t xml:space="preserve"> CFRN 1999</w:t>
      </w:r>
      <w:r w:rsidRPr="00804896">
        <w:rPr>
          <w:sz w:val="18"/>
          <w:szCs w:val="18"/>
        </w:rPr>
        <w:t xml:space="preserve"> Section 33(1).</w:t>
      </w:r>
    </w:p>
  </w:footnote>
  <w:footnote w:id="10">
    <w:p w:rsidR="006720C5" w:rsidRPr="00804896" w:rsidRDefault="006720C5" w:rsidP="00804896">
      <w:pPr>
        <w:pStyle w:val="FootnoteText"/>
        <w:jc w:val="both"/>
        <w:rPr>
          <w:sz w:val="18"/>
          <w:szCs w:val="18"/>
        </w:rPr>
      </w:pPr>
      <w:r w:rsidRPr="00804896">
        <w:rPr>
          <w:rStyle w:val="FootnoteReference"/>
          <w:sz w:val="18"/>
          <w:szCs w:val="18"/>
        </w:rPr>
        <w:footnoteRef/>
      </w:r>
      <w:r w:rsidRPr="00804896">
        <w:rPr>
          <w:sz w:val="18"/>
          <w:szCs w:val="18"/>
        </w:rPr>
        <w:t xml:space="preserve"> CFRN 1999.</w:t>
      </w:r>
    </w:p>
  </w:footnote>
  <w:footnote w:id="11">
    <w:p w:rsidR="0069435E" w:rsidRPr="00804896" w:rsidRDefault="0069435E" w:rsidP="00804896">
      <w:pPr>
        <w:pStyle w:val="FootnoteText"/>
        <w:jc w:val="both"/>
        <w:rPr>
          <w:sz w:val="18"/>
          <w:szCs w:val="18"/>
        </w:rPr>
      </w:pPr>
      <w:r w:rsidRPr="00804896">
        <w:rPr>
          <w:rStyle w:val="FootnoteReference"/>
          <w:sz w:val="18"/>
          <w:szCs w:val="18"/>
        </w:rPr>
        <w:footnoteRef/>
      </w:r>
      <w:r w:rsidRPr="00804896">
        <w:rPr>
          <w:sz w:val="18"/>
          <w:szCs w:val="18"/>
        </w:rPr>
        <w:t xml:space="preserve"> Introduction to Constitutional, Pg 30</w:t>
      </w:r>
    </w:p>
  </w:footnote>
  <w:footnote w:id="12">
    <w:p w:rsidR="004F2B6B" w:rsidRPr="00804896" w:rsidRDefault="004F2B6B" w:rsidP="00804896">
      <w:pPr>
        <w:pStyle w:val="FootnoteText"/>
        <w:jc w:val="both"/>
        <w:rPr>
          <w:sz w:val="18"/>
          <w:szCs w:val="18"/>
        </w:rPr>
      </w:pPr>
      <w:r w:rsidRPr="00804896">
        <w:rPr>
          <w:sz w:val="18"/>
          <w:szCs w:val="18"/>
        </w:rPr>
        <w:t>3141 US 250 (1891) at 250-251</w:t>
      </w:r>
    </w:p>
  </w:footnote>
  <w:footnote w:id="13">
    <w:p w:rsidR="002B41F9" w:rsidRPr="00804896" w:rsidRDefault="002B41F9" w:rsidP="00804896">
      <w:pPr>
        <w:pStyle w:val="FootnoteText"/>
        <w:jc w:val="both"/>
        <w:rPr>
          <w:sz w:val="18"/>
          <w:szCs w:val="18"/>
        </w:rPr>
      </w:pPr>
      <w:r w:rsidRPr="00804896">
        <w:rPr>
          <w:rStyle w:val="FootnoteReference"/>
          <w:sz w:val="18"/>
          <w:szCs w:val="18"/>
        </w:rPr>
        <w:footnoteRef/>
      </w:r>
      <w:r w:rsidRPr="00804896">
        <w:rPr>
          <w:sz w:val="18"/>
          <w:szCs w:val="18"/>
        </w:rPr>
        <w:t xml:space="preserve"> 493 P.2d 880 (1972)</w:t>
      </w:r>
    </w:p>
  </w:footnote>
  <w:footnote w:id="14">
    <w:p w:rsidR="002B41F9" w:rsidRPr="00804896" w:rsidRDefault="002B41F9" w:rsidP="00804896">
      <w:pPr>
        <w:pStyle w:val="FootnoteText"/>
        <w:jc w:val="both"/>
        <w:rPr>
          <w:sz w:val="18"/>
          <w:szCs w:val="18"/>
        </w:rPr>
      </w:pPr>
      <w:r w:rsidRPr="00804896">
        <w:rPr>
          <w:rStyle w:val="FootnoteReference"/>
          <w:sz w:val="18"/>
          <w:szCs w:val="18"/>
        </w:rPr>
        <w:footnoteRef/>
      </w:r>
      <w:r w:rsidRPr="00804896">
        <w:rPr>
          <w:sz w:val="18"/>
          <w:szCs w:val="18"/>
        </w:rPr>
        <w:t xml:space="preserve"> (1977) 3SCR 172</w:t>
      </w:r>
    </w:p>
  </w:footnote>
  <w:footnote w:id="15">
    <w:p w:rsidR="002D23C0" w:rsidRPr="00804896" w:rsidRDefault="002D23C0" w:rsidP="00804896">
      <w:pPr>
        <w:pStyle w:val="FootnoteText"/>
        <w:jc w:val="both"/>
        <w:rPr>
          <w:sz w:val="18"/>
          <w:szCs w:val="18"/>
        </w:rPr>
      </w:pPr>
      <w:r w:rsidRPr="00804896">
        <w:rPr>
          <w:rStyle w:val="FootnoteReference"/>
          <w:sz w:val="18"/>
          <w:szCs w:val="18"/>
        </w:rPr>
        <w:footnoteRef/>
      </w:r>
      <w:r w:rsidRPr="00804896">
        <w:rPr>
          <w:sz w:val="18"/>
          <w:szCs w:val="18"/>
        </w:rPr>
        <w:t xml:space="preserve"> Article 3.</w:t>
      </w:r>
    </w:p>
  </w:footnote>
  <w:footnote w:id="16">
    <w:p w:rsidR="00C40200" w:rsidRPr="00804896" w:rsidRDefault="00C40200" w:rsidP="00804896">
      <w:pPr>
        <w:pStyle w:val="FootnoteText"/>
        <w:jc w:val="both"/>
        <w:rPr>
          <w:sz w:val="18"/>
          <w:szCs w:val="18"/>
          <w:lang w:val="en-GB"/>
        </w:rPr>
      </w:pPr>
      <w:r w:rsidRPr="00804896">
        <w:rPr>
          <w:rStyle w:val="FootnoteReference"/>
          <w:sz w:val="18"/>
          <w:szCs w:val="18"/>
        </w:rPr>
        <w:footnoteRef/>
      </w:r>
      <w:r w:rsidRPr="00804896">
        <w:rPr>
          <w:sz w:val="18"/>
          <w:szCs w:val="18"/>
        </w:rPr>
        <w:t xml:space="preserve"> Article 2.</w:t>
      </w:r>
    </w:p>
  </w:footnote>
  <w:footnote w:id="17">
    <w:p w:rsidR="00974FDB" w:rsidRPr="00804896" w:rsidRDefault="00974FDB" w:rsidP="00804896">
      <w:pPr>
        <w:pStyle w:val="FootnoteText"/>
        <w:jc w:val="both"/>
        <w:rPr>
          <w:sz w:val="18"/>
          <w:szCs w:val="18"/>
          <w:lang w:val="en-GB"/>
        </w:rPr>
      </w:pPr>
      <w:r w:rsidRPr="00804896">
        <w:rPr>
          <w:rStyle w:val="FootnoteReference"/>
          <w:sz w:val="18"/>
          <w:szCs w:val="18"/>
        </w:rPr>
        <w:footnoteRef/>
      </w:r>
      <w:r w:rsidRPr="00804896">
        <w:rPr>
          <w:sz w:val="18"/>
          <w:szCs w:val="18"/>
        </w:rPr>
        <w:t xml:space="preserve"> Article 6.</w:t>
      </w:r>
    </w:p>
  </w:footnote>
  <w:footnote w:id="18">
    <w:p w:rsidR="005460E8" w:rsidRPr="00804896" w:rsidRDefault="005460E8" w:rsidP="00804896">
      <w:pPr>
        <w:pStyle w:val="FootnoteText"/>
        <w:jc w:val="both"/>
        <w:rPr>
          <w:sz w:val="18"/>
          <w:szCs w:val="18"/>
          <w:lang w:val="en-GB"/>
        </w:rPr>
      </w:pPr>
      <w:r w:rsidRPr="00804896">
        <w:rPr>
          <w:rStyle w:val="FootnoteReference"/>
          <w:sz w:val="18"/>
          <w:szCs w:val="18"/>
        </w:rPr>
        <w:footnoteRef/>
      </w:r>
      <w:r w:rsidRPr="00804896">
        <w:rPr>
          <w:sz w:val="18"/>
          <w:szCs w:val="18"/>
        </w:rPr>
        <w:t xml:space="preserve"> Article 4.</w:t>
      </w:r>
    </w:p>
  </w:footnote>
  <w:footnote w:id="19">
    <w:p w:rsidR="008933BD" w:rsidRPr="00804896" w:rsidRDefault="008933BD" w:rsidP="00804896">
      <w:pPr>
        <w:pStyle w:val="FootnoteText"/>
        <w:jc w:val="both"/>
        <w:rPr>
          <w:sz w:val="18"/>
          <w:szCs w:val="18"/>
        </w:rPr>
      </w:pPr>
      <w:r w:rsidRPr="00804896">
        <w:rPr>
          <w:rStyle w:val="FootnoteReference"/>
          <w:sz w:val="18"/>
          <w:szCs w:val="18"/>
        </w:rPr>
        <w:footnoteRef/>
      </w:r>
      <w:r w:rsidRPr="00804896">
        <w:rPr>
          <w:sz w:val="18"/>
          <w:szCs w:val="18"/>
        </w:rPr>
        <w:t xml:space="preserve"> The preamble of the CFRN states that ‘we the people</w:t>
      </w:r>
      <w:r w:rsidR="00FB7AC4">
        <w:rPr>
          <w:sz w:val="18"/>
          <w:szCs w:val="18"/>
        </w:rPr>
        <w:t>..</w:t>
      </w:r>
      <w:r w:rsidRPr="00804896">
        <w:rPr>
          <w:sz w:val="18"/>
          <w:szCs w:val="18"/>
        </w:rPr>
        <w:t>.’ attaching the ownership of the CFRN to the Nigeria People.</w:t>
      </w:r>
    </w:p>
  </w:footnote>
  <w:footnote w:id="20">
    <w:p w:rsidR="004F2B6B" w:rsidRPr="00804896" w:rsidRDefault="004F2B6B" w:rsidP="00804896">
      <w:pPr>
        <w:pStyle w:val="FootnoteText"/>
        <w:jc w:val="both"/>
        <w:rPr>
          <w:sz w:val="18"/>
          <w:szCs w:val="18"/>
        </w:rPr>
      </w:pPr>
      <w:r w:rsidRPr="00804896">
        <w:rPr>
          <w:rStyle w:val="FootnoteReference"/>
          <w:sz w:val="18"/>
          <w:szCs w:val="18"/>
        </w:rPr>
        <w:footnoteRef/>
      </w:r>
      <w:r w:rsidRPr="00804896">
        <w:rPr>
          <w:sz w:val="18"/>
          <w:szCs w:val="18"/>
        </w:rPr>
        <w:t xml:space="preserve"> Nwabueze B.O Military rule and Constitutionalism </w:t>
      </w:r>
    </w:p>
  </w:footnote>
  <w:footnote w:id="21">
    <w:p w:rsidR="004F2B6B" w:rsidRPr="00804896" w:rsidRDefault="004F2B6B" w:rsidP="00804896">
      <w:pPr>
        <w:pStyle w:val="FootnoteText"/>
        <w:jc w:val="both"/>
        <w:rPr>
          <w:sz w:val="18"/>
          <w:szCs w:val="18"/>
        </w:rPr>
      </w:pPr>
      <w:r w:rsidRPr="00804896">
        <w:rPr>
          <w:rStyle w:val="FootnoteReference"/>
          <w:sz w:val="18"/>
          <w:szCs w:val="18"/>
        </w:rPr>
        <w:footnoteRef/>
      </w:r>
      <w:r w:rsidRPr="00804896">
        <w:rPr>
          <w:sz w:val="18"/>
          <w:szCs w:val="18"/>
        </w:rPr>
        <w:t xml:space="preserve">1962 I ANLR 206 </w:t>
      </w:r>
      <w:r w:rsidR="006D5574" w:rsidRPr="00804896">
        <w:rPr>
          <w:sz w:val="18"/>
          <w:szCs w:val="18"/>
        </w:rPr>
        <w:t>.</w:t>
      </w:r>
      <w:r w:rsidRPr="00804896">
        <w:rPr>
          <w:sz w:val="18"/>
          <w:szCs w:val="18"/>
        </w:rPr>
        <w:t xml:space="preserve"> </w:t>
      </w:r>
    </w:p>
  </w:footnote>
  <w:footnote w:id="22">
    <w:p w:rsidR="0029686F" w:rsidRPr="00804896" w:rsidRDefault="0029686F" w:rsidP="00804896">
      <w:pPr>
        <w:pStyle w:val="FootnoteText"/>
        <w:jc w:val="both"/>
        <w:rPr>
          <w:sz w:val="18"/>
          <w:szCs w:val="18"/>
          <w:lang w:val="en-GB"/>
        </w:rPr>
      </w:pPr>
      <w:r w:rsidRPr="00804896">
        <w:rPr>
          <w:rStyle w:val="FootnoteReference"/>
          <w:sz w:val="18"/>
          <w:szCs w:val="18"/>
        </w:rPr>
        <w:footnoteRef/>
      </w:r>
      <w:r w:rsidRPr="00804896">
        <w:rPr>
          <w:sz w:val="18"/>
          <w:szCs w:val="18"/>
        </w:rPr>
        <w:t xml:space="preserve"> </w:t>
      </w:r>
      <w:r w:rsidRPr="00804896">
        <w:rPr>
          <w:sz w:val="18"/>
          <w:szCs w:val="18"/>
          <w:lang w:val="en-GB"/>
        </w:rPr>
        <w:t>Olusegun Obasanjo became the democratic president in 1999 after the end of the military jaunta.</w:t>
      </w:r>
    </w:p>
  </w:footnote>
  <w:footnote w:id="23">
    <w:p w:rsidR="00DA5894" w:rsidRPr="00804896" w:rsidRDefault="00DA5894" w:rsidP="00FE0FA4">
      <w:pPr>
        <w:rPr>
          <w:sz w:val="18"/>
          <w:szCs w:val="18"/>
        </w:rPr>
      </w:pPr>
      <w:r w:rsidRPr="00804896">
        <w:rPr>
          <w:rStyle w:val="FootnoteReference"/>
          <w:sz w:val="18"/>
          <w:szCs w:val="18"/>
        </w:rPr>
        <w:footnoteRef/>
      </w:r>
      <w:r w:rsidRPr="00804896">
        <w:rPr>
          <w:sz w:val="18"/>
          <w:szCs w:val="18"/>
        </w:rPr>
        <w:t xml:space="preserve"> </w:t>
      </w:r>
      <w:r w:rsidRPr="00804896">
        <w:rPr>
          <w:sz w:val="18"/>
          <w:szCs w:val="18"/>
          <w:lang w:val="en-GB" w:eastAsia="en-GB"/>
        </w:rPr>
        <w:t>Wilfred M, Human Rights Watch United Kingdom</w:t>
      </w:r>
      <w:r w:rsidRPr="00804896">
        <w:rPr>
          <w:sz w:val="18"/>
          <w:szCs w:val="18"/>
          <w:lang w:eastAsia="en-GB"/>
        </w:rPr>
        <w:t xml:space="preserve"> available </w:t>
      </w:r>
      <w:hyperlink r:id="rId2" w:history="1">
        <w:r w:rsidRPr="00804896">
          <w:rPr>
            <w:rStyle w:val="Hyperlink"/>
            <w:sz w:val="18"/>
            <w:szCs w:val="18"/>
            <w:lang w:val="en-GB"/>
          </w:rPr>
          <w:t>http://www.deathpenaltyinfo.org/</w:t>
        </w:r>
      </w:hyperlink>
      <w:r w:rsidRPr="00804896">
        <w:rPr>
          <w:sz w:val="18"/>
          <w:szCs w:val="18"/>
        </w:rPr>
        <w:t xml:space="preserve"> (accessed Nov 4, 2010).</w:t>
      </w:r>
      <w:r w:rsidR="00FE0FA4">
        <w:rPr>
          <w:sz w:val="18"/>
          <w:szCs w:val="18"/>
        </w:rPr>
        <w:t xml:space="preserve"> </w:t>
      </w:r>
    </w:p>
  </w:footnote>
  <w:footnote w:id="24">
    <w:p w:rsidR="004F2B6B" w:rsidRPr="00804896" w:rsidRDefault="004F2B6B" w:rsidP="00804896">
      <w:pPr>
        <w:pStyle w:val="FootnoteText"/>
        <w:jc w:val="both"/>
        <w:rPr>
          <w:sz w:val="18"/>
          <w:szCs w:val="18"/>
        </w:rPr>
      </w:pPr>
      <w:r w:rsidRPr="00804896">
        <w:rPr>
          <w:rStyle w:val="FootnoteReference"/>
          <w:sz w:val="18"/>
          <w:szCs w:val="18"/>
        </w:rPr>
        <w:t>19(</w:t>
      </w:r>
      <w:r w:rsidRPr="00804896">
        <w:rPr>
          <w:sz w:val="18"/>
          <w:szCs w:val="18"/>
        </w:rPr>
        <w:t>1993)ZLR242</w:t>
      </w:r>
      <w:r w:rsidR="00E11CFC" w:rsidRPr="00804896">
        <w:rPr>
          <w:sz w:val="18"/>
          <w:szCs w:val="18"/>
        </w:rPr>
        <w:t xml:space="preserve">. </w:t>
      </w:r>
      <w:r w:rsidR="006D5574" w:rsidRPr="00804896">
        <w:rPr>
          <w:sz w:val="18"/>
          <w:szCs w:val="18"/>
        </w:rPr>
        <w:t xml:space="preserve">   </w:t>
      </w:r>
      <w:r w:rsidR="00804896">
        <w:rPr>
          <w:sz w:val="18"/>
          <w:szCs w:val="18"/>
        </w:rPr>
        <w:t xml:space="preserve"> </w:t>
      </w:r>
    </w:p>
  </w:footnote>
  <w:footnote w:id="25">
    <w:p w:rsidR="004F2B6B" w:rsidRPr="00804896" w:rsidRDefault="004F2B6B" w:rsidP="00804896">
      <w:pPr>
        <w:pStyle w:val="FootnoteText"/>
        <w:jc w:val="both"/>
        <w:rPr>
          <w:sz w:val="2"/>
          <w:szCs w:val="18"/>
        </w:rPr>
      </w:pPr>
    </w:p>
  </w:footnote>
  <w:footnote w:id="26">
    <w:p w:rsidR="00FE0FA4" w:rsidRPr="00804896" w:rsidRDefault="00FE0FA4" w:rsidP="00FE0FA4">
      <w:pPr>
        <w:pStyle w:val="FootnoteText"/>
        <w:jc w:val="both"/>
        <w:rPr>
          <w:sz w:val="18"/>
          <w:szCs w:val="18"/>
        </w:rPr>
      </w:pPr>
      <w:r w:rsidRPr="00804896">
        <w:rPr>
          <w:rStyle w:val="FootnoteReference"/>
          <w:sz w:val="18"/>
          <w:szCs w:val="18"/>
        </w:rPr>
        <w:footnoteRef/>
      </w:r>
      <w:r w:rsidRPr="00804896">
        <w:rPr>
          <w:sz w:val="18"/>
          <w:szCs w:val="18"/>
        </w:rPr>
        <w:t xml:space="preserve"> The Presidential Constitution o</w:t>
      </w:r>
      <w:r>
        <w:rPr>
          <w:sz w:val="18"/>
          <w:szCs w:val="18"/>
        </w:rPr>
        <w:t>f</w:t>
      </w:r>
      <w:r w:rsidRPr="00804896">
        <w:rPr>
          <w:sz w:val="18"/>
          <w:szCs w:val="18"/>
        </w:rPr>
        <w:t xml:space="preserve"> Nig Pg 411 </w:t>
      </w:r>
    </w:p>
  </w:footnote>
  <w:footnote w:id="27">
    <w:p w:rsidR="004F2B6B" w:rsidRPr="00804896" w:rsidRDefault="004F2B6B" w:rsidP="00804896">
      <w:pPr>
        <w:pStyle w:val="FootnoteText"/>
        <w:jc w:val="both"/>
        <w:rPr>
          <w:sz w:val="18"/>
          <w:szCs w:val="18"/>
        </w:rPr>
      </w:pPr>
      <w:r w:rsidRPr="00804896">
        <w:rPr>
          <w:rStyle w:val="FootnoteReference"/>
          <w:sz w:val="18"/>
          <w:szCs w:val="18"/>
        </w:rPr>
        <w:footnoteRef/>
      </w:r>
      <w:r w:rsidRPr="00804896">
        <w:rPr>
          <w:sz w:val="18"/>
          <w:szCs w:val="18"/>
        </w:rPr>
        <w:t xml:space="preserve"> (1998) 13 &amp; WLR Pt 509, Pg 651 Part. @ Pg 531</w:t>
      </w:r>
    </w:p>
  </w:footnote>
  <w:footnote w:id="28">
    <w:p w:rsidR="004F2B6B" w:rsidRPr="00804896" w:rsidRDefault="004F2B6B" w:rsidP="00804896">
      <w:pPr>
        <w:pStyle w:val="FootnoteText"/>
        <w:jc w:val="both"/>
        <w:rPr>
          <w:sz w:val="18"/>
          <w:szCs w:val="18"/>
        </w:rPr>
      </w:pPr>
      <w:r w:rsidRPr="00804896">
        <w:rPr>
          <w:rStyle w:val="FootnoteReference"/>
          <w:sz w:val="18"/>
          <w:szCs w:val="18"/>
        </w:rPr>
        <w:footnoteRef/>
      </w:r>
      <w:r w:rsidRPr="00804896">
        <w:rPr>
          <w:sz w:val="18"/>
          <w:szCs w:val="18"/>
        </w:rPr>
        <w:t xml:space="preserve"> Soering V. UK (above)</w:t>
      </w:r>
    </w:p>
  </w:footnote>
  <w:footnote w:id="29">
    <w:p w:rsidR="004F2B6B" w:rsidRPr="00804896" w:rsidRDefault="004F2B6B" w:rsidP="00804896">
      <w:pPr>
        <w:pStyle w:val="FootnoteText"/>
        <w:jc w:val="both"/>
        <w:rPr>
          <w:sz w:val="18"/>
          <w:szCs w:val="18"/>
        </w:rPr>
      </w:pPr>
      <w:r w:rsidRPr="00804896">
        <w:rPr>
          <w:rStyle w:val="FootnoteReference"/>
          <w:sz w:val="18"/>
          <w:szCs w:val="18"/>
        </w:rPr>
        <w:footnoteRef/>
      </w:r>
      <w:r w:rsidRPr="00804896">
        <w:rPr>
          <w:sz w:val="18"/>
          <w:szCs w:val="18"/>
        </w:rPr>
        <w:t xml:space="preserve"> Criminal appeal No 142 of 1994 (30/1/95) </w:t>
      </w:r>
    </w:p>
  </w:footnote>
  <w:footnote w:id="30">
    <w:p w:rsidR="004F2B6B" w:rsidRPr="00804896" w:rsidRDefault="004F2B6B" w:rsidP="00804896">
      <w:pPr>
        <w:pStyle w:val="FootnoteText"/>
        <w:jc w:val="both"/>
        <w:rPr>
          <w:sz w:val="18"/>
          <w:szCs w:val="18"/>
          <w:lang w:val="fr-FR"/>
        </w:rPr>
      </w:pPr>
      <w:r w:rsidRPr="00804896">
        <w:rPr>
          <w:rStyle w:val="FootnoteReference"/>
          <w:sz w:val="18"/>
          <w:szCs w:val="18"/>
        </w:rPr>
        <w:footnoteRef/>
      </w:r>
      <w:r w:rsidRPr="00804896">
        <w:rPr>
          <w:sz w:val="18"/>
          <w:szCs w:val="18"/>
          <w:lang w:val="fr-FR"/>
        </w:rPr>
        <w:t xml:space="preserve"> (1995) 3SA 391</w:t>
      </w:r>
    </w:p>
  </w:footnote>
  <w:footnote w:id="31">
    <w:p w:rsidR="004F2B6B" w:rsidRPr="00804896" w:rsidRDefault="004F2B6B" w:rsidP="00804896">
      <w:pPr>
        <w:pStyle w:val="FootnoteText"/>
        <w:jc w:val="both"/>
        <w:rPr>
          <w:sz w:val="18"/>
          <w:szCs w:val="18"/>
          <w:lang w:val="fr-FR"/>
        </w:rPr>
      </w:pPr>
      <w:r w:rsidRPr="00804896">
        <w:rPr>
          <w:rStyle w:val="FootnoteReference"/>
          <w:sz w:val="18"/>
          <w:szCs w:val="18"/>
        </w:rPr>
        <w:footnoteRef/>
      </w:r>
      <w:r w:rsidRPr="00804896">
        <w:rPr>
          <w:sz w:val="18"/>
          <w:szCs w:val="18"/>
          <w:lang w:val="fr-FR"/>
        </w:rPr>
        <w:t xml:space="preserve"> (1983) 14 WACA 3J2</w:t>
      </w:r>
    </w:p>
  </w:footnote>
  <w:footnote w:id="32">
    <w:p w:rsidR="004325A5" w:rsidRPr="00804896" w:rsidRDefault="004325A5" w:rsidP="00804896">
      <w:pPr>
        <w:pStyle w:val="FootnoteText"/>
        <w:jc w:val="both"/>
        <w:rPr>
          <w:sz w:val="18"/>
          <w:szCs w:val="18"/>
          <w:lang w:val="fr-FR"/>
        </w:rPr>
      </w:pPr>
      <w:r w:rsidRPr="00804896">
        <w:rPr>
          <w:rStyle w:val="FootnoteReference"/>
          <w:sz w:val="18"/>
          <w:szCs w:val="18"/>
        </w:rPr>
        <w:footnoteRef/>
      </w:r>
      <w:r w:rsidRPr="00804896">
        <w:rPr>
          <w:sz w:val="18"/>
          <w:szCs w:val="18"/>
          <w:lang w:val="fr-FR"/>
        </w:rPr>
        <w:t xml:space="preserve">  CAP C77, 2004.</w:t>
      </w:r>
    </w:p>
  </w:footnote>
  <w:footnote w:id="33">
    <w:p w:rsidR="004F2B6B" w:rsidRPr="00804896" w:rsidRDefault="004F2B6B" w:rsidP="00804896">
      <w:pPr>
        <w:pStyle w:val="FootnoteText"/>
        <w:jc w:val="both"/>
        <w:rPr>
          <w:sz w:val="18"/>
          <w:szCs w:val="18"/>
        </w:rPr>
      </w:pPr>
      <w:r w:rsidRPr="00804896">
        <w:rPr>
          <w:rStyle w:val="FootnoteReference"/>
          <w:sz w:val="18"/>
          <w:szCs w:val="18"/>
        </w:rPr>
        <w:footnoteRef/>
      </w:r>
      <w:r w:rsidRPr="00804896">
        <w:rPr>
          <w:sz w:val="18"/>
          <w:szCs w:val="18"/>
        </w:rPr>
        <w:t xml:space="preserve"> (1943) 9 WACA 62</w:t>
      </w:r>
    </w:p>
  </w:footnote>
  <w:footnote w:id="34">
    <w:p w:rsidR="004F2B6B" w:rsidRPr="00804896" w:rsidRDefault="004F2B6B" w:rsidP="00804896">
      <w:pPr>
        <w:pStyle w:val="FootnoteText"/>
        <w:jc w:val="both"/>
        <w:rPr>
          <w:sz w:val="18"/>
          <w:szCs w:val="18"/>
        </w:rPr>
      </w:pPr>
      <w:r w:rsidRPr="00804896">
        <w:rPr>
          <w:rStyle w:val="FootnoteReference"/>
          <w:sz w:val="18"/>
          <w:szCs w:val="18"/>
        </w:rPr>
        <w:footnoteRef/>
      </w:r>
      <w:r w:rsidRPr="00804896">
        <w:rPr>
          <w:sz w:val="18"/>
          <w:szCs w:val="18"/>
        </w:rPr>
        <w:t xml:space="preserve"> US 86 (1958)</w:t>
      </w:r>
    </w:p>
  </w:footnote>
  <w:footnote w:id="35">
    <w:p w:rsidR="000824A4" w:rsidRPr="00804896" w:rsidRDefault="000824A4" w:rsidP="00804896">
      <w:pPr>
        <w:pStyle w:val="FootnoteText"/>
        <w:rPr>
          <w:sz w:val="18"/>
          <w:szCs w:val="18"/>
          <w:lang w:val="en-GB"/>
        </w:rPr>
      </w:pPr>
      <w:r w:rsidRPr="00804896">
        <w:rPr>
          <w:rStyle w:val="FootnoteReference"/>
          <w:sz w:val="18"/>
          <w:szCs w:val="18"/>
        </w:rPr>
        <w:footnoteRef/>
      </w:r>
      <w:r w:rsidRPr="00804896">
        <w:rPr>
          <w:sz w:val="18"/>
          <w:szCs w:val="18"/>
        </w:rPr>
        <w:t xml:space="preserve"> </w:t>
      </w:r>
      <w:hyperlink r:id="rId3" w:history="1">
        <w:r w:rsidRPr="00804896">
          <w:rPr>
            <w:rStyle w:val="Hyperlink"/>
            <w:sz w:val="18"/>
            <w:szCs w:val="18"/>
          </w:rPr>
          <w:t>http://www.tigweb.org/youth-media/panorama/article.html?ContentID=15629</w:t>
        </w:r>
      </w:hyperlink>
      <w:r w:rsidRPr="00804896">
        <w:rPr>
          <w:sz w:val="18"/>
          <w:szCs w:val="18"/>
        </w:rPr>
        <w:t xml:space="preserve"> (accessed Nov 8, 2010).</w:t>
      </w:r>
    </w:p>
  </w:footnote>
  <w:footnote w:id="36">
    <w:p w:rsidR="000824A4" w:rsidRPr="00804896" w:rsidRDefault="000824A4" w:rsidP="00804896">
      <w:pPr>
        <w:pStyle w:val="FootnoteText"/>
        <w:rPr>
          <w:sz w:val="18"/>
          <w:szCs w:val="18"/>
          <w:lang w:val="en-GB"/>
        </w:rPr>
      </w:pPr>
      <w:r w:rsidRPr="00804896">
        <w:rPr>
          <w:rStyle w:val="FootnoteReference"/>
          <w:sz w:val="18"/>
          <w:szCs w:val="18"/>
        </w:rPr>
        <w:footnoteRef/>
      </w:r>
      <w:r w:rsidRPr="00804896">
        <w:rPr>
          <w:sz w:val="18"/>
          <w:szCs w:val="18"/>
        </w:rPr>
        <w:t xml:space="preserve"> </w:t>
      </w:r>
      <w:hyperlink r:id="rId4" w:history="1">
        <w:r w:rsidRPr="00804896">
          <w:rPr>
            <w:rStyle w:val="Hyperlink"/>
            <w:sz w:val="18"/>
            <w:szCs w:val="18"/>
          </w:rPr>
          <w:t>http://www.tigweb.org/youth-media/panorama/article.html?ContentID=15629</w:t>
        </w:r>
      </w:hyperlink>
      <w:r w:rsidRPr="00804896">
        <w:rPr>
          <w:sz w:val="18"/>
          <w:szCs w:val="18"/>
        </w:rPr>
        <w:t xml:space="preserve"> (accessed Nov 8, 2010).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393B" w:rsidRDefault="0083222E">
    <w:pPr>
      <w:pStyle w:val="Header"/>
    </w:pPr>
    <w:r>
      <w:rPr>
        <w:noProof/>
        <w:lang w:eastAsia="zh-TW"/>
      </w:rPr>
      <mc:AlternateContent>
        <mc:Choice Requires="wps">
          <w:drawing>
            <wp:anchor distT="0" distB="0" distL="114300" distR="114300" simplePos="0" relativeHeight="251660288" behindDoc="0" locked="0" layoutInCell="0" allowOverlap="1">
              <wp:simplePos x="0" y="0"/>
              <wp:positionH relativeFrom="page">
                <wp:posOffset>8375015</wp:posOffset>
              </wp:positionH>
              <wp:positionV relativeFrom="page">
                <wp:posOffset>1591310</wp:posOffset>
              </wp:positionV>
              <wp:extent cx="642620" cy="285750"/>
              <wp:effectExtent l="2540" t="635" r="317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620"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D393B" w:rsidRDefault="0075063E" w:rsidP="00BD792F">
                          <w:pPr>
                            <w:pBdr>
                              <w:top w:val="single" w:sz="4" w:space="1" w:color="D8D8D8"/>
                            </w:pBdr>
                          </w:pPr>
                          <w:r>
                            <w:t xml:space="preserve">Page | </w:t>
                          </w:r>
                          <w:r w:rsidR="00B13259">
                            <w:fldChar w:fldCharType="begin"/>
                          </w:r>
                          <w:r>
                            <w:instrText xml:space="preserve"> PAGE   \* MERGEFORMAT </w:instrText>
                          </w:r>
                          <w:r w:rsidR="00B13259">
                            <w:fldChar w:fldCharType="separate"/>
                          </w:r>
                          <w:r w:rsidR="00FB7AC4">
                            <w:rPr>
                              <w:noProof/>
                            </w:rPr>
                            <w:t>5</w:t>
                          </w:r>
                          <w:r w:rsidR="00B13259">
                            <w:fldChar w:fldCharType="end"/>
                          </w:r>
                        </w:p>
                      </w:txbxContent>
                    </wps:txbx>
                    <wps:bodyPr rot="0" vert="horz" wrap="square" lIns="0" tIns="45720" rIns="0" bIns="45720" anchor="t" anchorCtr="0" upright="1">
                      <a:spAutoFit/>
                    </wps:bodyPr>
                  </wps:wsp>
                </a:graphicData>
              </a:graphic>
              <wp14:sizeRelH relativeFrom="rightMargin">
                <wp14:pctWidth>90000</wp14:pctWidth>
              </wp14:sizeRelH>
              <wp14:sizeRelV relativeFrom="page">
                <wp14:pctHeight>0</wp14:pctHeight>
              </wp14:sizeRelV>
            </wp:anchor>
          </w:drawing>
        </mc:Choice>
        <mc:Fallback>
          <w:pict>
            <v:rect id="Rectangle 1" o:spid="_x0000_s1026" style="position:absolute;margin-left:659.45pt;margin-top:125.3pt;width:50.6pt;height:22.5pt;z-index:251660288;visibility:visible;mso-wrap-style:square;mso-width-percent:900;mso-height-percent:0;mso-wrap-distance-left:9pt;mso-wrap-distance-top:0;mso-wrap-distance-right:9pt;mso-wrap-distance-bottom:0;mso-position-horizontal:absolute;mso-position-horizontal-relative:page;mso-position-vertical:absolute;mso-position-vertical-relative:page;mso-width-percent:9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" o:allowincell="f" stroked="f">
              <v:textbox style="mso-fit-shape-to-text:t" inset="0,,0">
                <w:txbxContent>
                  <w:p w:rsidR="000D393B" w:rsidRDefault="0075063E" w:rsidP="00BD792F">
                    <w:pPr>
                      <w:pBdr>
                        <w:top w:val="single" w:sz="4" w:space="1" w:color="D8D8D8"/>
                      </w:pBdr>
                    </w:pPr>
                    <w:r>
                      <w:t xml:space="preserve">Page | </w:t>
                    </w:r>
                    <w:r w:rsidR="00B13259">
                      <w:fldChar w:fldCharType="begin"/>
                    </w:r>
                    <w:r>
                      <w:instrText xml:space="preserve"> PAGE   \* MERGEFORMAT </w:instrText>
                    </w:r>
                    <w:r w:rsidR="00B13259">
                      <w:fldChar w:fldCharType="separate"/>
                    </w:r>
                    <w:r w:rsidR="00FB7AC4">
                      <w:rPr>
                        <w:noProof/>
                      </w:rPr>
                      <w:t>5</w:t>
                    </w:r>
                    <w:r w:rsidR="00B13259">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82FD4"/>
    <w:multiLevelType w:val="hybridMultilevel"/>
    <w:tmpl w:val="36302924"/>
    <w:lvl w:ilvl="0" w:tplc="D4C082A4">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FD0522"/>
    <w:multiLevelType w:val="hybridMultilevel"/>
    <w:tmpl w:val="CA2A4A96"/>
    <w:lvl w:ilvl="0" w:tplc="71F09864">
      <w:start w:val="5"/>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1D606F"/>
    <w:multiLevelType w:val="multilevel"/>
    <w:tmpl w:val="19647CF4"/>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7984EEA"/>
    <w:multiLevelType w:val="hybridMultilevel"/>
    <w:tmpl w:val="BE58AA10"/>
    <w:lvl w:ilvl="0" w:tplc="67FA6C28">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CBE62F5"/>
    <w:multiLevelType w:val="multilevel"/>
    <w:tmpl w:val="359ACE8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3971A80"/>
    <w:multiLevelType w:val="hybridMultilevel"/>
    <w:tmpl w:val="B1242F50"/>
    <w:lvl w:ilvl="0" w:tplc="68E82C4C">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5D06441"/>
    <w:multiLevelType w:val="hybridMultilevel"/>
    <w:tmpl w:val="4B987CC0"/>
    <w:lvl w:ilvl="0" w:tplc="2FE00392">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AF11229"/>
    <w:multiLevelType w:val="hybridMultilevel"/>
    <w:tmpl w:val="91D03D68"/>
    <w:lvl w:ilvl="0" w:tplc="C9F68F4A">
      <w:start w:val="1"/>
      <w:numFmt w:val="lowerLetter"/>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DAE31D0"/>
    <w:multiLevelType w:val="hybridMultilevel"/>
    <w:tmpl w:val="FB442732"/>
    <w:lvl w:ilvl="0" w:tplc="CC16063E">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02D5B1A"/>
    <w:multiLevelType w:val="hybridMultilevel"/>
    <w:tmpl w:val="A71E9F20"/>
    <w:lvl w:ilvl="0" w:tplc="54BE68FA">
      <w:numFmt w:val="bullet"/>
      <w:lvlText w:val="-"/>
      <w:lvlJc w:val="left"/>
      <w:pPr>
        <w:tabs>
          <w:tab w:val="num" w:pos="1080"/>
        </w:tabs>
        <w:ind w:left="1080" w:hanging="720"/>
      </w:pPr>
      <w:rPr>
        <w:rFonts w:ascii="Times New Roman" w:eastAsia="Times New Roman" w:hAnsi="Times New Roman" w:cs="Times New Roman"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9C5807"/>
    <w:multiLevelType w:val="hybridMultilevel"/>
    <w:tmpl w:val="AE1A9344"/>
    <w:lvl w:ilvl="0" w:tplc="C0FC22A0">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33103F8"/>
    <w:multiLevelType w:val="hybridMultilevel"/>
    <w:tmpl w:val="EC20246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333B46"/>
    <w:multiLevelType w:val="hybridMultilevel"/>
    <w:tmpl w:val="F52415C0"/>
    <w:lvl w:ilvl="0" w:tplc="5BDEEB28">
      <w:start w:val="1"/>
      <w:numFmt w:val="decimal"/>
      <w:lvlText w:val="(%1)"/>
      <w:lvlJc w:val="left"/>
      <w:pPr>
        <w:tabs>
          <w:tab w:val="num" w:pos="1260"/>
        </w:tabs>
        <w:ind w:left="12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D934D2B"/>
    <w:multiLevelType w:val="hybridMultilevel"/>
    <w:tmpl w:val="79FC317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6135F48"/>
    <w:multiLevelType w:val="hybridMultilevel"/>
    <w:tmpl w:val="59241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3D195A"/>
    <w:multiLevelType w:val="multilevel"/>
    <w:tmpl w:val="B3869BDC"/>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78104BD"/>
    <w:multiLevelType w:val="hybridMultilevel"/>
    <w:tmpl w:val="C7C425FA"/>
    <w:lvl w:ilvl="0" w:tplc="04090001">
      <w:start w:val="1"/>
      <w:numFmt w:val="bullet"/>
      <w:lvlText w:val=""/>
      <w:lvlJc w:val="left"/>
      <w:pPr>
        <w:tabs>
          <w:tab w:val="num" w:pos="845"/>
        </w:tabs>
        <w:ind w:left="845" w:hanging="360"/>
      </w:pPr>
      <w:rPr>
        <w:rFonts w:ascii="Symbol" w:hAnsi="Symbol" w:hint="default"/>
      </w:rPr>
    </w:lvl>
    <w:lvl w:ilvl="1" w:tplc="04090003" w:tentative="1">
      <w:start w:val="1"/>
      <w:numFmt w:val="bullet"/>
      <w:lvlText w:val="o"/>
      <w:lvlJc w:val="left"/>
      <w:pPr>
        <w:tabs>
          <w:tab w:val="num" w:pos="1565"/>
        </w:tabs>
        <w:ind w:left="1565" w:hanging="360"/>
      </w:pPr>
      <w:rPr>
        <w:rFonts w:ascii="Courier New" w:hAnsi="Courier New" w:cs="Courier New" w:hint="default"/>
      </w:rPr>
    </w:lvl>
    <w:lvl w:ilvl="2" w:tplc="04090005" w:tentative="1">
      <w:start w:val="1"/>
      <w:numFmt w:val="bullet"/>
      <w:lvlText w:val=""/>
      <w:lvlJc w:val="left"/>
      <w:pPr>
        <w:tabs>
          <w:tab w:val="num" w:pos="2285"/>
        </w:tabs>
        <w:ind w:left="2285" w:hanging="360"/>
      </w:pPr>
      <w:rPr>
        <w:rFonts w:ascii="Wingdings" w:hAnsi="Wingdings" w:hint="default"/>
      </w:rPr>
    </w:lvl>
    <w:lvl w:ilvl="3" w:tplc="04090001" w:tentative="1">
      <w:start w:val="1"/>
      <w:numFmt w:val="bullet"/>
      <w:lvlText w:val=""/>
      <w:lvlJc w:val="left"/>
      <w:pPr>
        <w:tabs>
          <w:tab w:val="num" w:pos="3005"/>
        </w:tabs>
        <w:ind w:left="3005" w:hanging="360"/>
      </w:pPr>
      <w:rPr>
        <w:rFonts w:ascii="Symbol" w:hAnsi="Symbol" w:hint="default"/>
      </w:rPr>
    </w:lvl>
    <w:lvl w:ilvl="4" w:tplc="04090003" w:tentative="1">
      <w:start w:val="1"/>
      <w:numFmt w:val="bullet"/>
      <w:lvlText w:val="o"/>
      <w:lvlJc w:val="left"/>
      <w:pPr>
        <w:tabs>
          <w:tab w:val="num" w:pos="3725"/>
        </w:tabs>
        <w:ind w:left="3725" w:hanging="360"/>
      </w:pPr>
      <w:rPr>
        <w:rFonts w:ascii="Courier New" w:hAnsi="Courier New" w:cs="Courier New" w:hint="default"/>
      </w:rPr>
    </w:lvl>
    <w:lvl w:ilvl="5" w:tplc="04090005" w:tentative="1">
      <w:start w:val="1"/>
      <w:numFmt w:val="bullet"/>
      <w:lvlText w:val=""/>
      <w:lvlJc w:val="left"/>
      <w:pPr>
        <w:tabs>
          <w:tab w:val="num" w:pos="4445"/>
        </w:tabs>
        <w:ind w:left="4445" w:hanging="360"/>
      </w:pPr>
      <w:rPr>
        <w:rFonts w:ascii="Wingdings" w:hAnsi="Wingdings" w:hint="default"/>
      </w:rPr>
    </w:lvl>
    <w:lvl w:ilvl="6" w:tplc="04090001" w:tentative="1">
      <w:start w:val="1"/>
      <w:numFmt w:val="bullet"/>
      <w:lvlText w:val=""/>
      <w:lvlJc w:val="left"/>
      <w:pPr>
        <w:tabs>
          <w:tab w:val="num" w:pos="5165"/>
        </w:tabs>
        <w:ind w:left="5165" w:hanging="360"/>
      </w:pPr>
      <w:rPr>
        <w:rFonts w:ascii="Symbol" w:hAnsi="Symbol" w:hint="default"/>
      </w:rPr>
    </w:lvl>
    <w:lvl w:ilvl="7" w:tplc="04090003" w:tentative="1">
      <w:start w:val="1"/>
      <w:numFmt w:val="bullet"/>
      <w:lvlText w:val="o"/>
      <w:lvlJc w:val="left"/>
      <w:pPr>
        <w:tabs>
          <w:tab w:val="num" w:pos="5885"/>
        </w:tabs>
        <w:ind w:left="5885" w:hanging="360"/>
      </w:pPr>
      <w:rPr>
        <w:rFonts w:ascii="Courier New" w:hAnsi="Courier New" w:cs="Courier New" w:hint="default"/>
      </w:rPr>
    </w:lvl>
    <w:lvl w:ilvl="8" w:tplc="04090005" w:tentative="1">
      <w:start w:val="1"/>
      <w:numFmt w:val="bullet"/>
      <w:lvlText w:val=""/>
      <w:lvlJc w:val="left"/>
      <w:pPr>
        <w:tabs>
          <w:tab w:val="num" w:pos="6605"/>
        </w:tabs>
        <w:ind w:left="6605" w:hanging="360"/>
      </w:pPr>
      <w:rPr>
        <w:rFonts w:ascii="Wingdings" w:hAnsi="Wingdings" w:hint="default"/>
      </w:rPr>
    </w:lvl>
  </w:abstractNum>
  <w:abstractNum w:abstractNumId="17" w15:restartNumberingAfterBreak="0">
    <w:nsid w:val="68874E3F"/>
    <w:multiLevelType w:val="multilevel"/>
    <w:tmpl w:val="14E851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9"/>
  </w:num>
  <w:num w:numId="3">
    <w:abstractNumId w:val="12"/>
  </w:num>
  <w:num w:numId="4">
    <w:abstractNumId w:val="6"/>
  </w:num>
  <w:num w:numId="5">
    <w:abstractNumId w:val="15"/>
  </w:num>
  <w:num w:numId="6">
    <w:abstractNumId w:val="3"/>
  </w:num>
  <w:num w:numId="7">
    <w:abstractNumId w:val="17"/>
  </w:num>
  <w:num w:numId="8">
    <w:abstractNumId w:val="11"/>
  </w:num>
  <w:num w:numId="9">
    <w:abstractNumId w:val="8"/>
  </w:num>
  <w:num w:numId="10">
    <w:abstractNumId w:val="0"/>
  </w:num>
  <w:num w:numId="11">
    <w:abstractNumId w:val="5"/>
  </w:num>
  <w:num w:numId="12">
    <w:abstractNumId w:val="7"/>
  </w:num>
  <w:num w:numId="13">
    <w:abstractNumId w:val="1"/>
  </w:num>
  <w:num w:numId="14">
    <w:abstractNumId w:val="16"/>
  </w:num>
  <w:num w:numId="15">
    <w:abstractNumId w:val="2"/>
  </w:num>
  <w:num w:numId="16">
    <w:abstractNumId w:val="13"/>
  </w:num>
  <w:num w:numId="17">
    <w:abstractNumId w:val="1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B6B"/>
    <w:rsid w:val="00051335"/>
    <w:rsid w:val="00056198"/>
    <w:rsid w:val="000637CF"/>
    <w:rsid w:val="00071E3E"/>
    <w:rsid w:val="000824A4"/>
    <w:rsid w:val="00096B31"/>
    <w:rsid w:val="000A27C9"/>
    <w:rsid w:val="000C4238"/>
    <w:rsid w:val="001213B9"/>
    <w:rsid w:val="00122745"/>
    <w:rsid w:val="00171C73"/>
    <w:rsid w:val="00180597"/>
    <w:rsid w:val="001854C6"/>
    <w:rsid w:val="001C21FB"/>
    <w:rsid w:val="00267556"/>
    <w:rsid w:val="0028335A"/>
    <w:rsid w:val="0029686F"/>
    <w:rsid w:val="002B41F9"/>
    <w:rsid w:val="002B6522"/>
    <w:rsid w:val="002D23C0"/>
    <w:rsid w:val="00314BB8"/>
    <w:rsid w:val="00340416"/>
    <w:rsid w:val="00346090"/>
    <w:rsid w:val="00373374"/>
    <w:rsid w:val="003F46C6"/>
    <w:rsid w:val="004325A5"/>
    <w:rsid w:val="0043522F"/>
    <w:rsid w:val="00440619"/>
    <w:rsid w:val="004452B1"/>
    <w:rsid w:val="00450A59"/>
    <w:rsid w:val="0045354D"/>
    <w:rsid w:val="00465D44"/>
    <w:rsid w:val="00472B0E"/>
    <w:rsid w:val="004A5AC8"/>
    <w:rsid w:val="004B182C"/>
    <w:rsid w:val="004D38BE"/>
    <w:rsid w:val="004E6936"/>
    <w:rsid w:val="004F2B6B"/>
    <w:rsid w:val="00524880"/>
    <w:rsid w:val="005460E8"/>
    <w:rsid w:val="00551E6B"/>
    <w:rsid w:val="005D70B4"/>
    <w:rsid w:val="006062EB"/>
    <w:rsid w:val="00637D61"/>
    <w:rsid w:val="006720C5"/>
    <w:rsid w:val="00676583"/>
    <w:rsid w:val="00686CF0"/>
    <w:rsid w:val="0069435E"/>
    <w:rsid w:val="006D03B7"/>
    <w:rsid w:val="006D546F"/>
    <w:rsid w:val="006D5574"/>
    <w:rsid w:val="006F36FC"/>
    <w:rsid w:val="0075063E"/>
    <w:rsid w:val="00765A67"/>
    <w:rsid w:val="007755A0"/>
    <w:rsid w:val="0079093B"/>
    <w:rsid w:val="007A4F71"/>
    <w:rsid w:val="007B686D"/>
    <w:rsid w:val="007D3520"/>
    <w:rsid w:val="007E761D"/>
    <w:rsid w:val="00804896"/>
    <w:rsid w:val="00821336"/>
    <w:rsid w:val="0083222E"/>
    <w:rsid w:val="00883696"/>
    <w:rsid w:val="008844AF"/>
    <w:rsid w:val="008933BD"/>
    <w:rsid w:val="008B3F33"/>
    <w:rsid w:val="008E3B3A"/>
    <w:rsid w:val="008F544C"/>
    <w:rsid w:val="008F7A69"/>
    <w:rsid w:val="00902B52"/>
    <w:rsid w:val="00916EBF"/>
    <w:rsid w:val="00931EA3"/>
    <w:rsid w:val="00957B77"/>
    <w:rsid w:val="00960C07"/>
    <w:rsid w:val="009675A7"/>
    <w:rsid w:val="00974FDB"/>
    <w:rsid w:val="009A78CB"/>
    <w:rsid w:val="009C04D8"/>
    <w:rsid w:val="009F46A7"/>
    <w:rsid w:val="00A026B4"/>
    <w:rsid w:val="00A52CB3"/>
    <w:rsid w:val="00AB7207"/>
    <w:rsid w:val="00AD7055"/>
    <w:rsid w:val="00AE2FA8"/>
    <w:rsid w:val="00B02E0D"/>
    <w:rsid w:val="00B13259"/>
    <w:rsid w:val="00B379E8"/>
    <w:rsid w:val="00B54709"/>
    <w:rsid w:val="00B83B2B"/>
    <w:rsid w:val="00B96D3F"/>
    <w:rsid w:val="00BE19D4"/>
    <w:rsid w:val="00C0348E"/>
    <w:rsid w:val="00C376D1"/>
    <w:rsid w:val="00C40200"/>
    <w:rsid w:val="00C5105D"/>
    <w:rsid w:val="00C51AC4"/>
    <w:rsid w:val="00C71225"/>
    <w:rsid w:val="00C76A39"/>
    <w:rsid w:val="00CA0DF9"/>
    <w:rsid w:val="00CB6142"/>
    <w:rsid w:val="00CD605F"/>
    <w:rsid w:val="00CF1A98"/>
    <w:rsid w:val="00D06F20"/>
    <w:rsid w:val="00D26B06"/>
    <w:rsid w:val="00D57588"/>
    <w:rsid w:val="00D60E05"/>
    <w:rsid w:val="00D72C58"/>
    <w:rsid w:val="00D72D60"/>
    <w:rsid w:val="00DA5894"/>
    <w:rsid w:val="00DA7CC4"/>
    <w:rsid w:val="00DC151E"/>
    <w:rsid w:val="00DC4BE3"/>
    <w:rsid w:val="00DF6446"/>
    <w:rsid w:val="00E11CFC"/>
    <w:rsid w:val="00E15DC1"/>
    <w:rsid w:val="00E2602B"/>
    <w:rsid w:val="00EC6FA8"/>
    <w:rsid w:val="00EF2F7D"/>
    <w:rsid w:val="00EF43FA"/>
    <w:rsid w:val="00F3265E"/>
    <w:rsid w:val="00F475D6"/>
    <w:rsid w:val="00F81020"/>
    <w:rsid w:val="00F979C5"/>
    <w:rsid w:val="00FB0BBD"/>
    <w:rsid w:val="00FB6175"/>
    <w:rsid w:val="00FB7AC4"/>
    <w:rsid w:val="00FD2E3C"/>
    <w:rsid w:val="00FD6235"/>
    <w:rsid w:val="00FE0FA4"/>
    <w:rsid w:val="00FF66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B598E4"/>
  <w15:docId w15:val="{33848124-FB1D-4A25-A244-DF1C4EA23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B6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4F2B6B"/>
    <w:pPr>
      <w:keepNext/>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2B6B"/>
    <w:rPr>
      <w:rFonts w:ascii="Times New Roman" w:eastAsia="Times New Roman" w:hAnsi="Times New Roman" w:cs="Times New Roman"/>
      <w:b/>
      <w:bCs/>
      <w:sz w:val="24"/>
      <w:szCs w:val="24"/>
      <w:u w:val="single"/>
      <w:lang w:val="en-US"/>
    </w:rPr>
  </w:style>
  <w:style w:type="paragraph" w:styleId="FootnoteText">
    <w:name w:val="footnote text"/>
    <w:basedOn w:val="Normal"/>
    <w:link w:val="FootnoteTextChar"/>
    <w:uiPriority w:val="99"/>
    <w:semiHidden/>
    <w:rsid w:val="004F2B6B"/>
    <w:rPr>
      <w:sz w:val="20"/>
      <w:szCs w:val="20"/>
    </w:rPr>
  </w:style>
  <w:style w:type="character" w:customStyle="1" w:styleId="FootnoteTextChar">
    <w:name w:val="Footnote Text Char"/>
    <w:basedOn w:val="DefaultParagraphFont"/>
    <w:link w:val="FootnoteText"/>
    <w:uiPriority w:val="99"/>
    <w:semiHidden/>
    <w:rsid w:val="004F2B6B"/>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rsid w:val="004F2B6B"/>
    <w:rPr>
      <w:vertAlign w:val="superscript"/>
    </w:rPr>
  </w:style>
  <w:style w:type="paragraph" w:styleId="Footer">
    <w:name w:val="footer"/>
    <w:basedOn w:val="Normal"/>
    <w:link w:val="FooterChar"/>
    <w:uiPriority w:val="99"/>
    <w:rsid w:val="004F2B6B"/>
    <w:pPr>
      <w:tabs>
        <w:tab w:val="center" w:pos="4320"/>
        <w:tab w:val="right" w:pos="8640"/>
      </w:tabs>
    </w:pPr>
  </w:style>
  <w:style w:type="character" w:customStyle="1" w:styleId="FooterChar">
    <w:name w:val="Footer Char"/>
    <w:basedOn w:val="DefaultParagraphFont"/>
    <w:link w:val="Footer"/>
    <w:uiPriority w:val="99"/>
    <w:rsid w:val="004F2B6B"/>
    <w:rPr>
      <w:rFonts w:ascii="Times New Roman" w:eastAsia="Times New Roman" w:hAnsi="Times New Roman" w:cs="Times New Roman"/>
      <w:sz w:val="24"/>
      <w:szCs w:val="24"/>
      <w:lang w:val="en-US"/>
    </w:rPr>
  </w:style>
  <w:style w:type="character" w:styleId="PageNumber">
    <w:name w:val="page number"/>
    <w:basedOn w:val="DefaultParagraphFont"/>
    <w:rsid w:val="004F2B6B"/>
  </w:style>
  <w:style w:type="character" w:styleId="CommentReference">
    <w:name w:val="annotation reference"/>
    <w:basedOn w:val="DefaultParagraphFont"/>
    <w:rsid w:val="004F2B6B"/>
    <w:rPr>
      <w:sz w:val="16"/>
      <w:szCs w:val="16"/>
    </w:rPr>
  </w:style>
  <w:style w:type="paragraph" w:styleId="CommentText">
    <w:name w:val="annotation text"/>
    <w:basedOn w:val="Normal"/>
    <w:link w:val="CommentTextChar"/>
    <w:rsid w:val="004F2B6B"/>
    <w:rPr>
      <w:sz w:val="20"/>
      <w:szCs w:val="20"/>
    </w:rPr>
  </w:style>
  <w:style w:type="character" w:customStyle="1" w:styleId="CommentTextChar">
    <w:name w:val="Comment Text Char"/>
    <w:basedOn w:val="DefaultParagraphFont"/>
    <w:link w:val="CommentText"/>
    <w:rsid w:val="004F2B6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4F2B6B"/>
    <w:rPr>
      <w:b/>
      <w:bCs/>
    </w:rPr>
  </w:style>
  <w:style w:type="character" w:customStyle="1" w:styleId="CommentSubjectChar">
    <w:name w:val="Comment Subject Char"/>
    <w:basedOn w:val="CommentTextChar"/>
    <w:link w:val="CommentSubject"/>
    <w:rsid w:val="004F2B6B"/>
    <w:rPr>
      <w:rFonts w:ascii="Times New Roman" w:eastAsia="Times New Roman" w:hAnsi="Times New Roman" w:cs="Times New Roman"/>
      <w:b/>
      <w:bCs/>
      <w:sz w:val="20"/>
      <w:szCs w:val="20"/>
      <w:lang w:val="en-US"/>
    </w:rPr>
  </w:style>
  <w:style w:type="paragraph" w:styleId="BalloonText">
    <w:name w:val="Balloon Text"/>
    <w:basedOn w:val="Normal"/>
    <w:link w:val="BalloonTextChar"/>
    <w:rsid w:val="004F2B6B"/>
    <w:rPr>
      <w:rFonts w:ascii="Tahoma" w:hAnsi="Tahoma" w:cs="Tahoma"/>
      <w:sz w:val="16"/>
      <w:szCs w:val="16"/>
    </w:rPr>
  </w:style>
  <w:style w:type="character" w:customStyle="1" w:styleId="BalloonTextChar">
    <w:name w:val="Balloon Text Char"/>
    <w:basedOn w:val="DefaultParagraphFont"/>
    <w:link w:val="BalloonText"/>
    <w:rsid w:val="004F2B6B"/>
    <w:rPr>
      <w:rFonts w:ascii="Tahoma" w:eastAsia="Times New Roman" w:hAnsi="Tahoma" w:cs="Tahoma"/>
      <w:sz w:val="16"/>
      <w:szCs w:val="16"/>
      <w:lang w:val="en-US"/>
    </w:rPr>
  </w:style>
  <w:style w:type="paragraph" w:styleId="Header">
    <w:name w:val="header"/>
    <w:basedOn w:val="Normal"/>
    <w:link w:val="HeaderChar"/>
    <w:rsid w:val="004F2B6B"/>
    <w:pPr>
      <w:tabs>
        <w:tab w:val="center" w:pos="4513"/>
        <w:tab w:val="right" w:pos="9026"/>
      </w:tabs>
    </w:pPr>
  </w:style>
  <w:style w:type="character" w:customStyle="1" w:styleId="HeaderChar">
    <w:name w:val="Header Char"/>
    <w:basedOn w:val="DefaultParagraphFont"/>
    <w:link w:val="Header"/>
    <w:rsid w:val="004F2B6B"/>
    <w:rPr>
      <w:rFonts w:ascii="Times New Roman" w:eastAsia="Times New Roman" w:hAnsi="Times New Roman" w:cs="Times New Roman"/>
      <w:sz w:val="24"/>
      <w:szCs w:val="24"/>
      <w:lang w:val="en-US"/>
    </w:rPr>
  </w:style>
  <w:style w:type="paragraph" w:styleId="BodyText">
    <w:name w:val="Body Text"/>
    <w:basedOn w:val="Normal"/>
    <w:link w:val="BodyTextChar"/>
    <w:rsid w:val="004F2B6B"/>
    <w:pPr>
      <w:jc w:val="both"/>
    </w:pPr>
  </w:style>
  <w:style w:type="character" w:customStyle="1" w:styleId="BodyTextChar">
    <w:name w:val="Body Text Char"/>
    <w:basedOn w:val="DefaultParagraphFont"/>
    <w:link w:val="BodyText"/>
    <w:rsid w:val="004F2B6B"/>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F2B6B"/>
    <w:pPr>
      <w:ind w:left="720"/>
    </w:pPr>
  </w:style>
  <w:style w:type="paragraph" w:styleId="Caption">
    <w:name w:val="caption"/>
    <w:basedOn w:val="Normal"/>
    <w:next w:val="Normal"/>
    <w:uiPriority w:val="35"/>
    <w:unhideWhenUsed/>
    <w:qFormat/>
    <w:rsid w:val="00071E3E"/>
    <w:pPr>
      <w:spacing w:after="200"/>
    </w:pPr>
    <w:rPr>
      <w:b/>
      <w:bCs/>
      <w:color w:val="4F81BD" w:themeColor="accent1"/>
      <w:sz w:val="18"/>
      <w:szCs w:val="18"/>
    </w:rPr>
  </w:style>
  <w:style w:type="character" w:styleId="Hyperlink">
    <w:name w:val="Hyperlink"/>
    <w:basedOn w:val="DefaultParagraphFont"/>
    <w:uiPriority w:val="99"/>
    <w:unhideWhenUsed/>
    <w:rsid w:val="009F46A7"/>
    <w:rPr>
      <w:color w:val="0000FF"/>
      <w:u w:val="single"/>
    </w:rPr>
  </w:style>
  <w:style w:type="character" w:styleId="Strong">
    <w:name w:val="Strong"/>
    <w:basedOn w:val="DefaultParagraphFont"/>
    <w:uiPriority w:val="22"/>
    <w:qFormat/>
    <w:rsid w:val="009F46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9767361">
      <w:bodyDiv w:val="1"/>
      <w:marLeft w:val="0"/>
      <w:marRight w:val="0"/>
      <w:marTop w:val="0"/>
      <w:marBottom w:val="0"/>
      <w:divBdr>
        <w:top w:val="none" w:sz="0" w:space="0" w:color="auto"/>
        <w:left w:val="none" w:sz="0" w:space="0" w:color="auto"/>
        <w:bottom w:val="none" w:sz="0" w:space="0" w:color="auto"/>
        <w:right w:val="none" w:sz="0" w:space="0" w:color="auto"/>
      </w:divBdr>
      <w:divsChild>
        <w:div w:id="1353729843">
          <w:marLeft w:val="0"/>
          <w:marRight w:val="0"/>
          <w:marTop w:val="0"/>
          <w:marBottom w:val="0"/>
          <w:divBdr>
            <w:top w:val="none" w:sz="0" w:space="0" w:color="auto"/>
            <w:left w:val="none" w:sz="0" w:space="0" w:color="auto"/>
            <w:bottom w:val="dashed" w:sz="6" w:space="0" w:color="999999"/>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tigweb.org/youth-media/panorama/article.html?ContentID=15629" TargetMode="External"/><Relationship Id="rId2" Type="http://schemas.openxmlformats.org/officeDocument/2006/relationships/hyperlink" Target="http://www.deathpenaltyinfo.org/" TargetMode="External"/><Relationship Id="rId1" Type="http://schemas.openxmlformats.org/officeDocument/2006/relationships/hyperlink" Target="mailto:Azubike.onuoraoguno@gmail.com" TargetMode="External"/><Relationship Id="rId4" Type="http://schemas.openxmlformats.org/officeDocument/2006/relationships/hyperlink" Target="http://www.tigweb.org/youth-media/panorama/article.html?ContentID=156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DFD08-B3CE-41A2-B64F-97D3C93C6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2964</Words>
  <Characters>16897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Onuora-Oguno azubike</dc:creator>
  <cp:lastModifiedBy>Azubike Onuora-Oguno</cp:lastModifiedBy>
  <cp:revision>2</cp:revision>
  <cp:lastPrinted>2010-12-07T18:46:00Z</cp:lastPrinted>
  <dcterms:created xsi:type="dcterms:W3CDTF">2019-06-20T19:02:00Z</dcterms:created>
  <dcterms:modified xsi:type="dcterms:W3CDTF">2019-06-20T19:02:00Z</dcterms:modified>
</cp:coreProperties>
</file>