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1F38291" w14:textId="77777777" w:rsidR="00A81E39" w:rsidRDefault="00A81E39">
      <w:pPr>
        <w:rPr>
          <w:rFonts w:ascii="Garamond" w:hAnsi="Garamond"/>
          <w:sz w:val="24"/>
          <w:szCs w:val="24"/>
        </w:rPr>
      </w:pPr>
      <w:r>
        <w:rPr>
          <w:rFonts w:ascii="Garamond" w:hAnsi="Garamond"/>
          <w:sz w:val="24"/>
          <w:szCs w:val="24"/>
        </w:rPr>
        <w:t>Tramadol hydrochloride delivery by regenerated cellulose nanofiber-TiO</w:t>
      </w:r>
      <w:r>
        <w:rPr>
          <w:rFonts w:ascii="Garamond" w:hAnsi="Garamond"/>
          <w:sz w:val="24"/>
          <w:szCs w:val="24"/>
          <w:vertAlign w:val="subscript"/>
        </w:rPr>
        <w:t>2</w:t>
      </w:r>
      <w:r>
        <w:rPr>
          <w:rFonts w:ascii="Garamond" w:hAnsi="Garamond"/>
          <w:sz w:val="24"/>
          <w:szCs w:val="24"/>
        </w:rPr>
        <w:t xml:space="preserve">. </w:t>
      </w:r>
      <w:r>
        <w:rPr>
          <w:rFonts w:ascii="Garamond" w:hAnsi="Garamond"/>
          <w:b/>
          <w:i/>
          <w:sz w:val="24"/>
          <w:szCs w:val="24"/>
        </w:rPr>
        <w:t xml:space="preserve">Korean Journal of Chemical Engineering, </w:t>
      </w:r>
      <w:r>
        <w:rPr>
          <w:rFonts w:ascii="Garamond" w:hAnsi="Garamond"/>
          <w:sz w:val="24"/>
          <w:szCs w:val="24"/>
        </w:rPr>
        <w:t xml:space="preserve">35 (3): 784-791. </w:t>
      </w:r>
    </w:p>
    <w:p w14:paraId="17E5E53D" w14:textId="41E53A1F" w:rsidR="003034E7" w:rsidRDefault="00A81E39">
      <w:bookmarkStart w:id="0" w:name="_GoBack"/>
      <w:bookmarkEnd w:id="0"/>
      <w:r>
        <w:rPr>
          <w:rFonts w:ascii="Garamond" w:hAnsi="Garamond"/>
          <w:sz w:val="24"/>
          <w:szCs w:val="24"/>
        </w:rPr>
        <w:t xml:space="preserve">Abstract: </w:t>
      </w:r>
      <w:r w:rsidRPr="006E1D8D">
        <w:rPr>
          <w:rFonts w:ascii="Garamond" w:hAnsi="Garamond"/>
          <w:sz w:val="24"/>
          <w:szCs w:val="24"/>
        </w:rPr>
        <w:t>The present work focuses on the development and investigation of new composite materials based on regenerated nanocellulose, titanium oxide (TiO</w:t>
      </w:r>
      <w:r w:rsidRPr="006E1D8D">
        <w:rPr>
          <w:rFonts w:ascii="Garamond" w:hAnsi="Garamond"/>
          <w:sz w:val="24"/>
          <w:szCs w:val="24"/>
          <w:vertAlign w:val="subscript"/>
        </w:rPr>
        <w:t>2</w:t>
      </w:r>
      <w:r w:rsidRPr="006E1D8D">
        <w:rPr>
          <w:rFonts w:ascii="Garamond" w:hAnsi="Garamond"/>
          <w:sz w:val="24"/>
          <w:szCs w:val="24"/>
        </w:rPr>
        <w:t>) and zinc oxide (</w:t>
      </w:r>
      <w:proofErr w:type="spellStart"/>
      <w:r w:rsidRPr="006E1D8D">
        <w:rPr>
          <w:rFonts w:ascii="Garamond" w:hAnsi="Garamond"/>
          <w:sz w:val="24"/>
          <w:szCs w:val="24"/>
        </w:rPr>
        <w:t>ZnO</w:t>
      </w:r>
      <w:proofErr w:type="spellEnd"/>
      <w:r w:rsidRPr="006E1D8D">
        <w:rPr>
          <w:rFonts w:ascii="Garamond" w:hAnsi="Garamond"/>
          <w:sz w:val="24"/>
          <w:szCs w:val="24"/>
        </w:rPr>
        <w:t xml:space="preserve">) with potentials for drug delivery applications. The new composite was developed using dispersion method. The physicochemical properties of the composites were extensively evaluated using scanning electron microscopy (SEM), X-ray diffraction (XRD), particle size analyzer and Fourier transform infrared spectroscopy (FTIR). The presence of O-H, C-H, C-O-C, </w:t>
      </w:r>
      <w:proofErr w:type="spellStart"/>
      <w:r w:rsidRPr="006E1D8D">
        <w:rPr>
          <w:rFonts w:ascii="Garamond" w:hAnsi="Garamond"/>
          <w:sz w:val="24"/>
          <w:szCs w:val="24"/>
        </w:rPr>
        <w:t>Ti</w:t>
      </w:r>
      <w:proofErr w:type="spellEnd"/>
      <w:r w:rsidRPr="006E1D8D">
        <w:rPr>
          <w:rFonts w:ascii="Garamond" w:hAnsi="Garamond"/>
          <w:sz w:val="24"/>
          <w:szCs w:val="24"/>
        </w:rPr>
        <w:t>-O, Zn-O stretch and bend was confirmed using the FTIR, while the SEM revealed the TiO</w:t>
      </w:r>
      <w:r w:rsidRPr="00C52323">
        <w:rPr>
          <w:rFonts w:ascii="Garamond" w:hAnsi="Garamond"/>
          <w:sz w:val="24"/>
          <w:szCs w:val="24"/>
          <w:vertAlign w:val="subscript"/>
        </w:rPr>
        <w:t>2</w:t>
      </w:r>
      <w:r w:rsidRPr="006E1D8D">
        <w:rPr>
          <w:rFonts w:ascii="Garamond" w:hAnsi="Garamond"/>
          <w:sz w:val="24"/>
          <w:szCs w:val="24"/>
        </w:rPr>
        <w:t xml:space="preserve"> and </w:t>
      </w:r>
      <w:proofErr w:type="spellStart"/>
      <w:r w:rsidRPr="006E1D8D">
        <w:rPr>
          <w:rFonts w:ascii="Garamond" w:hAnsi="Garamond"/>
          <w:sz w:val="24"/>
          <w:szCs w:val="24"/>
        </w:rPr>
        <w:t>ZnO</w:t>
      </w:r>
      <w:proofErr w:type="spellEnd"/>
      <w:r w:rsidRPr="006E1D8D">
        <w:rPr>
          <w:rFonts w:ascii="Garamond" w:hAnsi="Garamond"/>
          <w:sz w:val="24"/>
          <w:szCs w:val="24"/>
        </w:rPr>
        <w:t xml:space="preserve"> immobilized on the surface of stiff and rod-like strands of regenerated nanocellulose. The XRD showed characteristic peaks at 2θ of 16.6</w:t>
      </w:r>
      <w:r>
        <w:rPr>
          <w:rFonts w:ascii="Garamond" w:hAnsi="Garamond"/>
          <w:sz w:val="24"/>
          <w:szCs w:val="24"/>
        </w:rPr>
        <w:t xml:space="preserve"> </w:t>
      </w:r>
      <w:r>
        <w:rPr>
          <w:rFonts w:ascii="Garamond" w:hAnsi="Garamond"/>
          <w:sz w:val="24"/>
          <w:szCs w:val="24"/>
          <w:vertAlign w:val="superscript"/>
        </w:rPr>
        <w:t>°</w:t>
      </w:r>
      <w:r w:rsidRPr="006E1D8D">
        <w:rPr>
          <w:rFonts w:ascii="Garamond" w:hAnsi="Garamond"/>
          <w:sz w:val="24"/>
          <w:szCs w:val="24"/>
        </w:rPr>
        <w:t>, 22.7</w:t>
      </w:r>
      <w:r>
        <w:rPr>
          <w:rFonts w:ascii="Garamond" w:hAnsi="Garamond"/>
          <w:sz w:val="24"/>
          <w:szCs w:val="24"/>
          <w:vertAlign w:val="superscript"/>
        </w:rPr>
        <w:t>°</w:t>
      </w:r>
      <w:r w:rsidRPr="006E1D8D">
        <w:rPr>
          <w:rFonts w:ascii="Garamond" w:hAnsi="Garamond"/>
          <w:sz w:val="24"/>
          <w:szCs w:val="24"/>
        </w:rPr>
        <w:t>, 34.4</w:t>
      </w:r>
      <w:r>
        <w:rPr>
          <w:rFonts w:ascii="Garamond" w:hAnsi="Garamond"/>
          <w:sz w:val="24"/>
          <w:szCs w:val="24"/>
          <w:vertAlign w:val="superscript"/>
        </w:rPr>
        <w:t>°</w:t>
      </w:r>
      <w:r w:rsidRPr="006E1D8D">
        <w:rPr>
          <w:rFonts w:ascii="Garamond" w:hAnsi="Garamond"/>
          <w:sz w:val="24"/>
          <w:szCs w:val="24"/>
        </w:rPr>
        <w:t xml:space="preserve"> for nanocellulose, 17.5</w:t>
      </w:r>
      <w:r>
        <w:rPr>
          <w:rFonts w:ascii="Garamond" w:hAnsi="Garamond"/>
          <w:sz w:val="24"/>
          <w:szCs w:val="24"/>
          <w:vertAlign w:val="superscript"/>
        </w:rPr>
        <w:t>°</w:t>
      </w:r>
      <w:r w:rsidRPr="006E1D8D">
        <w:rPr>
          <w:rFonts w:ascii="Garamond" w:hAnsi="Garamond"/>
          <w:sz w:val="24"/>
          <w:szCs w:val="24"/>
        </w:rPr>
        <w:t>, 24.5</w:t>
      </w:r>
      <w:r>
        <w:rPr>
          <w:rFonts w:ascii="Garamond" w:hAnsi="Garamond"/>
          <w:sz w:val="24"/>
          <w:szCs w:val="24"/>
          <w:vertAlign w:val="superscript"/>
        </w:rPr>
        <w:t>°</w:t>
      </w:r>
      <w:r w:rsidRPr="006E1D8D">
        <w:rPr>
          <w:rFonts w:ascii="Garamond" w:hAnsi="Garamond"/>
          <w:sz w:val="24"/>
          <w:szCs w:val="24"/>
        </w:rPr>
        <w:t>, 32</w:t>
      </w:r>
      <w:r>
        <w:rPr>
          <w:rFonts w:ascii="Garamond" w:hAnsi="Garamond"/>
          <w:sz w:val="24"/>
          <w:szCs w:val="24"/>
          <w:vertAlign w:val="superscript"/>
        </w:rPr>
        <w:t>°</w:t>
      </w:r>
      <w:r w:rsidRPr="006E1D8D">
        <w:rPr>
          <w:rFonts w:ascii="Garamond" w:hAnsi="Garamond"/>
          <w:sz w:val="24"/>
          <w:szCs w:val="24"/>
        </w:rPr>
        <w:t xml:space="preserve"> for </w:t>
      </w:r>
      <w:proofErr w:type="spellStart"/>
      <w:r w:rsidRPr="006E1D8D">
        <w:rPr>
          <w:rFonts w:ascii="Garamond" w:hAnsi="Garamond"/>
          <w:sz w:val="24"/>
          <w:szCs w:val="24"/>
        </w:rPr>
        <w:t>ZnO</w:t>
      </w:r>
      <w:proofErr w:type="spellEnd"/>
      <w:r w:rsidRPr="006E1D8D">
        <w:rPr>
          <w:rFonts w:ascii="Garamond" w:hAnsi="Garamond"/>
          <w:sz w:val="24"/>
          <w:szCs w:val="24"/>
        </w:rPr>
        <w:t xml:space="preserve"> and 25.4</w:t>
      </w:r>
      <w:r>
        <w:rPr>
          <w:rFonts w:ascii="Garamond" w:hAnsi="Garamond"/>
          <w:sz w:val="24"/>
          <w:szCs w:val="24"/>
          <w:vertAlign w:val="superscript"/>
        </w:rPr>
        <w:t>°</w:t>
      </w:r>
      <w:r w:rsidRPr="006E1D8D">
        <w:rPr>
          <w:rFonts w:ascii="Garamond" w:hAnsi="Garamond"/>
          <w:sz w:val="24"/>
          <w:szCs w:val="24"/>
        </w:rPr>
        <w:t>, 38</w:t>
      </w:r>
      <w:r>
        <w:rPr>
          <w:rFonts w:ascii="Garamond" w:hAnsi="Garamond"/>
          <w:sz w:val="24"/>
          <w:szCs w:val="24"/>
          <w:vertAlign w:val="superscript"/>
        </w:rPr>
        <w:t>°</w:t>
      </w:r>
      <w:r w:rsidRPr="006E1D8D">
        <w:rPr>
          <w:rFonts w:ascii="Garamond" w:hAnsi="Garamond"/>
          <w:sz w:val="24"/>
          <w:szCs w:val="24"/>
        </w:rPr>
        <w:t>, 48.3</w:t>
      </w:r>
      <w:r>
        <w:rPr>
          <w:rFonts w:ascii="Garamond" w:hAnsi="Garamond"/>
          <w:sz w:val="24"/>
          <w:szCs w:val="24"/>
          <w:vertAlign w:val="superscript"/>
        </w:rPr>
        <w:t>°</w:t>
      </w:r>
      <w:r w:rsidRPr="006E1D8D">
        <w:rPr>
          <w:rFonts w:ascii="Garamond" w:hAnsi="Garamond"/>
          <w:sz w:val="24"/>
          <w:szCs w:val="24"/>
        </w:rPr>
        <w:t>, 53.8</w:t>
      </w:r>
      <w:r>
        <w:rPr>
          <w:rFonts w:ascii="Garamond" w:hAnsi="Garamond"/>
          <w:sz w:val="24"/>
          <w:szCs w:val="24"/>
          <w:vertAlign w:val="superscript"/>
        </w:rPr>
        <w:t>°</w:t>
      </w:r>
      <w:r w:rsidRPr="006E1D8D">
        <w:rPr>
          <w:rFonts w:ascii="Garamond" w:hAnsi="Garamond"/>
          <w:sz w:val="24"/>
          <w:szCs w:val="24"/>
        </w:rPr>
        <w:t xml:space="preserve"> for TiO</w:t>
      </w:r>
      <w:r w:rsidRPr="00C52323">
        <w:rPr>
          <w:rFonts w:ascii="Garamond" w:hAnsi="Garamond"/>
          <w:sz w:val="24"/>
          <w:szCs w:val="24"/>
          <w:vertAlign w:val="subscript"/>
        </w:rPr>
        <w:t>2</w:t>
      </w:r>
      <w:r w:rsidRPr="006E1D8D">
        <w:rPr>
          <w:rFonts w:ascii="Garamond" w:hAnsi="Garamond"/>
          <w:sz w:val="24"/>
          <w:szCs w:val="24"/>
        </w:rPr>
        <w:t xml:space="preserve">. As the amount of the metal oxides in the composite increased, notable increase in physicochemical properties and morphology for drug delivery purpose was observed. The cumulative drug release profiles of the regenerated nanocellulose composites on tramadol hydrochloride were subjected to zero order, first-order, Higuchi and </w:t>
      </w:r>
      <w:proofErr w:type="spellStart"/>
      <w:r w:rsidRPr="006E1D8D">
        <w:rPr>
          <w:rFonts w:ascii="Garamond" w:hAnsi="Garamond"/>
          <w:sz w:val="24"/>
          <w:szCs w:val="24"/>
        </w:rPr>
        <w:t>Korsmeyer-Peppas</w:t>
      </w:r>
      <w:proofErr w:type="spellEnd"/>
      <w:r w:rsidRPr="006E1D8D">
        <w:rPr>
          <w:rFonts w:ascii="Garamond" w:hAnsi="Garamond"/>
          <w:sz w:val="24"/>
          <w:szCs w:val="24"/>
        </w:rPr>
        <w:t xml:space="preserve"> plots, and fitted most for </w:t>
      </w:r>
      <w:proofErr w:type="spellStart"/>
      <w:r w:rsidRPr="006E1D8D">
        <w:rPr>
          <w:rFonts w:ascii="Garamond" w:hAnsi="Garamond"/>
          <w:sz w:val="24"/>
          <w:szCs w:val="24"/>
        </w:rPr>
        <w:t>Korsmeyer-Peppas</w:t>
      </w:r>
      <w:proofErr w:type="spellEnd"/>
      <w:r w:rsidRPr="006E1D8D">
        <w:rPr>
          <w:rFonts w:ascii="Garamond" w:hAnsi="Garamond"/>
          <w:sz w:val="24"/>
          <w:szCs w:val="24"/>
        </w:rPr>
        <w:t xml:space="preserve"> with R</w:t>
      </w:r>
      <w:r w:rsidRPr="00C52323">
        <w:rPr>
          <w:rFonts w:ascii="Garamond" w:hAnsi="Garamond"/>
          <w:sz w:val="24"/>
          <w:szCs w:val="24"/>
          <w:vertAlign w:val="superscript"/>
        </w:rPr>
        <w:t>2</w:t>
      </w:r>
      <w:r w:rsidRPr="006E1D8D">
        <w:rPr>
          <w:rFonts w:ascii="Garamond" w:hAnsi="Garamond"/>
          <w:sz w:val="24"/>
          <w:szCs w:val="24"/>
        </w:rPr>
        <w:t xml:space="preserve"> and n value from 0.9831 to 0.9941 and 0.4188 to 0.9704, respectively</w:t>
      </w:r>
    </w:p>
    <w:sectPr w:rsidR="003034E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81E39"/>
    <w:rsid w:val="003034E7"/>
    <w:rsid w:val="005A7347"/>
    <w:rsid w:val="007F7286"/>
    <w:rsid w:val="00A81E39"/>
    <w:rsid w:val="00B3272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05538C"/>
  <w15:chartTrackingRefBased/>
  <w15:docId w15:val="{2EA524CC-5CA9-4BE0-AA86-DF5C8AC68F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218</Words>
  <Characters>1246</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 Kola-Mustapha</dc:creator>
  <cp:keywords/>
  <dc:description/>
  <cp:lastModifiedBy>Dr. Kola-Mustapha</cp:lastModifiedBy>
  <cp:revision>1</cp:revision>
  <dcterms:created xsi:type="dcterms:W3CDTF">2018-08-07T16:19:00Z</dcterms:created>
  <dcterms:modified xsi:type="dcterms:W3CDTF">2018-08-07T16:20:00Z</dcterms:modified>
</cp:coreProperties>
</file>