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484" w:rsidRDefault="0049223D">
      <w:pPr>
        <w:jc w:val="center"/>
        <w:rPr>
          <w:rFonts w:ascii="Times New Roman" w:hAnsi="Times New Roman" w:cs="Times New Roman"/>
          <w:b/>
          <w:sz w:val="24"/>
          <w:szCs w:val="24"/>
          <w:lang w:val="en-GB"/>
        </w:rPr>
      </w:pPr>
      <w:r>
        <w:rPr>
          <w:rFonts w:ascii="Times New Roman" w:hAnsi="Times New Roman" w:cs="Times New Roman"/>
          <w:b/>
          <w:sz w:val="24"/>
          <w:szCs w:val="24"/>
          <w:lang w:val="en-GB"/>
        </w:rPr>
        <w:t>ANALYSIS OF TRADE UNIONISM AND PERCEPTION OF WORKPLACE CONFLICTS IN NIGERIA</w:t>
      </w:r>
    </w:p>
    <w:p w:rsidR="00BA3484" w:rsidRDefault="0049223D">
      <w:pPr>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By </w:t>
      </w:r>
    </w:p>
    <w:p w:rsidR="00B77F4B" w:rsidRDefault="00B77F4B" w:rsidP="00B77F4B">
      <w:pPr>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Dr. Abiodun Peter Abogunrin </w:t>
      </w:r>
    </w:p>
    <w:p w:rsidR="00BA3484" w:rsidRDefault="0049223D">
      <w:pPr>
        <w:jc w:val="center"/>
        <w:rPr>
          <w:rFonts w:ascii="Times New Roman" w:hAnsi="Times New Roman" w:cs="Times New Roman"/>
          <w:b/>
          <w:sz w:val="24"/>
          <w:szCs w:val="24"/>
          <w:lang w:val="en-GB"/>
        </w:rPr>
      </w:pPr>
      <w:r>
        <w:rPr>
          <w:rFonts w:ascii="Times New Roman" w:hAnsi="Times New Roman" w:cs="Times New Roman"/>
          <w:b/>
          <w:sz w:val="24"/>
          <w:szCs w:val="24"/>
          <w:lang w:val="en-GB"/>
        </w:rPr>
        <w:t>&amp;</w:t>
      </w:r>
    </w:p>
    <w:p w:rsidR="00B77F4B" w:rsidRDefault="00B77F4B" w:rsidP="00B77F4B">
      <w:pPr>
        <w:jc w:val="center"/>
        <w:rPr>
          <w:rFonts w:ascii="Times New Roman" w:hAnsi="Times New Roman" w:cs="Times New Roman"/>
          <w:b/>
          <w:sz w:val="24"/>
          <w:szCs w:val="24"/>
          <w:lang w:val="en-GB"/>
        </w:rPr>
      </w:pPr>
      <w:r>
        <w:rPr>
          <w:rFonts w:ascii="Times New Roman" w:hAnsi="Times New Roman" w:cs="Times New Roman"/>
          <w:b/>
          <w:sz w:val="24"/>
          <w:szCs w:val="24"/>
          <w:lang w:val="en-GB"/>
        </w:rPr>
        <w:t>Dr. Sylvanus Simon Adamade</w:t>
      </w:r>
    </w:p>
    <w:p w:rsidR="00BA3484" w:rsidRDefault="00BA3484">
      <w:pPr>
        <w:jc w:val="center"/>
        <w:rPr>
          <w:rFonts w:ascii="Times New Roman" w:hAnsi="Times New Roman" w:cs="Times New Roman"/>
          <w:b/>
          <w:sz w:val="24"/>
          <w:szCs w:val="24"/>
          <w:lang w:val="en-GB"/>
        </w:rPr>
      </w:pPr>
    </w:p>
    <w:p w:rsidR="00BA3484" w:rsidRDefault="00BA3484">
      <w:pPr>
        <w:jc w:val="center"/>
        <w:rPr>
          <w:rFonts w:ascii="Times New Roman" w:hAnsi="Times New Roman" w:cs="Times New Roman"/>
          <w:b/>
          <w:sz w:val="24"/>
          <w:szCs w:val="24"/>
          <w:lang w:val="en-GB"/>
        </w:rPr>
      </w:pPr>
    </w:p>
    <w:p w:rsidR="00BA3484" w:rsidRDefault="0049223D">
      <w:pPr>
        <w:jc w:val="center"/>
        <w:rPr>
          <w:rFonts w:ascii="Times New Roman" w:hAnsi="Times New Roman" w:cs="Times New Roman"/>
          <w:b/>
          <w:sz w:val="24"/>
          <w:szCs w:val="24"/>
          <w:lang w:val="en-GB"/>
        </w:rPr>
      </w:pPr>
      <w:r>
        <w:rPr>
          <w:rFonts w:ascii="Times New Roman" w:hAnsi="Times New Roman" w:cs="Times New Roman"/>
          <w:b/>
          <w:sz w:val="24"/>
          <w:szCs w:val="24"/>
          <w:lang w:val="en-GB"/>
        </w:rPr>
        <w:t xml:space="preserve">Abstract </w:t>
      </w:r>
    </w:p>
    <w:p w:rsidR="00BA3484" w:rsidRDefault="0049223D">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Workplaces and work-life generally are veritable canvasses of exploring the phenomenon called conflict. As well, the theorising by union leaders about conflict in workplaces tend to shape their members and non-members perception of </w:t>
      </w:r>
      <w:r w:rsidR="009B1DFD">
        <w:rPr>
          <w:rFonts w:ascii="Times New Roman" w:hAnsi="Times New Roman" w:cs="Times New Roman"/>
          <w:sz w:val="24"/>
          <w:szCs w:val="24"/>
          <w:lang w:val="en-GB"/>
        </w:rPr>
        <w:t>ancillary</w:t>
      </w:r>
      <w:r>
        <w:rPr>
          <w:rFonts w:ascii="Times New Roman" w:hAnsi="Times New Roman" w:cs="Times New Roman"/>
          <w:sz w:val="24"/>
          <w:szCs w:val="24"/>
          <w:lang w:val="en-GB"/>
        </w:rPr>
        <w:t xml:space="preserve"> realities. It however remains largely unresolved through systematic enquiries whether the degree of union member’s activeness matters in their perception of workplace and industrial conflicts. Similarly, not much is known about how unions’ location in the economic system differentiates members and non-menbers perception of workplaces and industrial conflicts. It is still being speculated whether trade unions’ sizes and their members</w:t>
      </w:r>
      <w:r w:rsidR="009B1DFD">
        <w:rPr>
          <w:rFonts w:ascii="Times New Roman" w:hAnsi="Times New Roman" w:cs="Times New Roman"/>
          <w:sz w:val="24"/>
          <w:szCs w:val="24"/>
          <w:lang w:val="en-GB"/>
        </w:rPr>
        <w:t>’</w:t>
      </w:r>
      <w:r>
        <w:rPr>
          <w:rFonts w:ascii="Times New Roman" w:hAnsi="Times New Roman" w:cs="Times New Roman"/>
          <w:sz w:val="24"/>
          <w:szCs w:val="24"/>
          <w:lang w:val="en-GB"/>
        </w:rPr>
        <w:t xml:space="preserve"> perception of workplace and industrial conflicts are systematically related. These related t</w:t>
      </w:r>
      <w:r w:rsidR="009B1DFD">
        <w:rPr>
          <w:rFonts w:ascii="Times New Roman" w:hAnsi="Times New Roman" w:cs="Times New Roman"/>
          <w:sz w:val="24"/>
          <w:szCs w:val="24"/>
          <w:lang w:val="en-GB"/>
        </w:rPr>
        <w:t>hemes were explored in this</w:t>
      </w:r>
      <w:r>
        <w:rPr>
          <w:rFonts w:ascii="Times New Roman" w:hAnsi="Times New Roman" w:cs="Times New Roman"/>
          <w:sz w:val="24"/>
          <w:szCs w:val="24"/>
          <w:lang w:val="en-GB"/>
        </w:rPr>
        <w:t xml:space="preserve"> study that used the survey design methodology. Eighty Six (86) respondents completed and returned the self-constructed electronic questionnaire which contained Eighteen (18) items. Reliability test result of the instrument indicated </w:t>
      </w:r>
      <w:r>
        <w:rPr>
          <w:rFonts w:ascii="Arial" w:hAnsi="Arial" w:cs="Arial"/>
          <w:sz w:val="24"/>
          <w:szCs w:val="24"/>
          <w:lang w:val="en-GB"/>
        </w:rPr>
        <w:t>α</w:t>
      </w:r>
      <w:r>
        <w:rPr>
          <w:rFonts w:ascii="Times New Roman" w:hAnsi="Times New Roman" w:cs="Times New Roman"/>
          <w:sz w:val="24"/>
          <w:szCs w:val="24"/>
          <w:lang w:val="en-GB"/>
        </w:rPr>
        <w:t xml:space="preserve"> =0.714 level of internal and external consistency. Data analyses was done using simple percentages, ANOVA and regression analyses respectively. With </w:t>
      </w:r>
      <w:r>
        <w:rPr>
          <w:rFonts w:ascii="Times New Roman" w:hAnsi="Times New Roman" w:cs="Times New Roman"/>
          <w:sz w:val="24"/>
          <w:szCs w:val="24"/>
        </w:rPr>
        <w:t>F</w:t>
      </w:r>
      <w:r>
        <w:rPr>
          <w:rFonts w:ascii="Times New Roman" w:hAnsi="Times New Roman" w:cs="Times New Roman"/>
          <w:sz w:val="24"/>
          <w:szCs w:val="24"/>
          <w:lang w:val="en-GB"/>
        </w:rPr>
        <w:t xml:space="preserve"> = </w:t>
      </w:r>
      <w:r>
        <w:rPr>
          <w:rFonts w:ascii="Times New Roman" w:hAnsi="Times New Roman" w:cs="Times New Roman"/>
          <w:sz w:val="24"/>
          <w:szCs w:val="24"/>
        </w:rPr>
        <w:t>6.565</w:t>
      </w:r>
      <w:r>
        <w:rPr>
          <w:rFonts w:ascii="Times New Roman" w:hAnsi="Times New Roman" w:cs="Times New Roman"/>
          <w:sz w:val="24"/>
          <w:szCs w:val="24"/>
          <w:lang w:val="en-GB"/>
        </w:rPr>
        <w:t xml:space="preserve">at </w:t>
      </w:r>
      <w:r>
        <w:rPr>
          <w:rFonts w:ascii="Arial" w:hAnsi="Arial" w:cs="Arial"/>
          <w:sz w:val="24"/>
          <w:szCs w:val="24"/>
          <w:lang w:val="en-GB"/>
        </w:rPr>
        <w:t xml:space="preserve">α = </w:t>
      </w:r>
      <w:r>
        <w:rPr>
          <w:rFonts w:ascii="Times New Roman" w:hAnsi="Times New Roman" w:cs="Times New Roman"/>
          <w:sz w:val="24"/>
          <w:szCs w:val="24"/>
          <w:lang w:val="en-GB"/>
        </w:rPr>
        <w:t>0</w:t>
      </w:r>
      <w:r>
        <w:rPr>
          <w:rFonts w:ascii="Times New Roman" w:hAnsi="Times New Roman" w:cs="Times New Roman"/>
          <w:sz w:val="24"/>
          <w:szCs w:val="24"/>
        </w:rPr>
        <w:t>.012</w:t>
      </w:r>
      <w:r>
        <w:rPr>
          <w:rFonts w:ascii="Times New Roman" w:hAnsi="Times New Roman" w:cs="Times New Roman"/>
          <w:sz w:val="24"/>
          <w:szCs w:val="24"/>
          <w:lang w:val="en-GB"/>
        </w:rPr>
        <w:t xml:space="preserve">which </w:t>
      </w:r>
      <w:r>
        <w:rPr>
          <w:rFonts w:ascii="Times New Roman" w:hAnsi="Times New Roman" w:cs="Times New Roman"/>
          <w:sz w:val="24"/>
          <w:szCs w:val="24"/>
        </w:rPr>
        <w:t xml:space="preserve">is greater than of 0.05 </w:t>
      </w:r>
      <w:r>
        <w:rPr>
          <w:rFonts w:ascii="Times New Roman" w:hAnsi="Times New Roman" w:cs="Times New Roman"/>
          <w:sz w:val="24"/>
          <w:szCs w:val="24"/>
          <w:lang w:val="en-GB"/>
        </w:rPr>
        <w:t>(</w:t>
      </w:r>
      <w:r>
        <w:rPr>
          <w:rFonts w:ascii="Times New Roman" w:hAnsi="Times New Roman" w:cs="Times New Roman"/>
          <w:sz w:val="24"/>
          <w:szCs w:val="24"/>
        </w:rPr>
        <w:t>1 and 84 degrees of freedom</w:t>
      </w:r>
      <w:r>
        <w:rPr>
          <w:rFonts w:ascii="Times New Roman" w:hAnsi="Times New Roman" w:cs="Times New Roman"/>
          <w:sz w:val="24"/>
          <w:szCs w:val="24"/>
          <w:lang w:val="en-GB"/>
        </w:rPr>
        <w:t>), H</w:t>
      </w:r>
      <w:r>
        <w:rPr>
          <w:rFonts w:ascii="Times New Roman" w:hAnsi="Times New Roman" w:cs="Times New Roman"/>
          <w:sz w:val="24"/>
          <w:szCs w:val="24"/>
          <w:vertAlign w:val="subscript"/>
          <w:lang w:val="en-GB"/>
        </w:rPr>
        <w:t xml:space="preserve">o1a </w:t>
      </w:r>
      <w:r>
        <w:rPr>
          <w:rFonts w:ascii="Times New Roman" w:hAnsi="Times New Roman" w:cs="Times New Roman"/>
          <w:sz w:val="24"/>
          <w:szCs w:val="24"/>
          <w:lang w:val="en-GB"/>
        </w:rPr>
        <w:t xml:space="preserve">was </w:t>
      </w:r>
      <w:r>
        <w:rPr>
          <w:rFonts w:ascii="Times New Roman" w:hAnsi="Times New Roman" w:cs="Times New Roman"/>
          <w:sz w:val="24"/>
          <w:szCs w:val="24"/>
        </w:rPr>
        <w:t>reject</w:t>
      </w:r>
      <w:r>
        <w:rPr>
          <w:rFonts w:ascii="Times New Roman" w:hAnsi="Times New Roman" w:cs="Times New Roman"/>
          <w:sz w:val="24"/>
          <w:szCs w:val="24"/>
          <w:lang w:val="en-GB"/>
        </w:rPr>
        <w:t xml:space="preserve">ed that </w:t>
      </w:r>
      <w:r>
        <w:rPr>
          <w:rFonts w:ascii="Times New Roman" w:hAnsi="Times New Roman" w:cs="Times New Roman"/>
          <w:sz w:val="24"/>
          <w:szCs w:val="24"/>
        </w:rPr>
        <w:t xml:space="preserve">perception of workplace and industrial conflict by union members </w:t>
      </w:r>
      <w:r>
        <w:rPr>
          <w:rFonts w:ascii="Times New Roman" w:hAnsi="Times New Roman" w:cs="Times New Roman"/>
          <w:sz w:val="24"/>
          <w:szCs w:val="24"/>
          <w:lang w:val="en-GB"/>
        </w:rPr>
        <w:t xml:space="preserve">was </w:t>
      </w:r>
      <w:r>
        <w:rPr>
          <w:rFonts w:ascii="Times New Roman" w:hAnsi="Times New Roman" w:cs="Times New Roman"/>
          <w:sz w:val="24"/>
          <w:szCs w:val="24"/>
        </w:rPr>
        <w:t>significantly differ</w:t>
      </w:r>
      <w:r>
        <w:rPr>
          <w:rFonts w:ascii="Times New Roman" w:hAnsi="Times New Roman" w:cs="Times New Roman"/>
          <w:sz w:val="24"/>
          <w:szCs w:val="24"/>
          <w:lang w:val="en-GB"/>
        </w:rPr>
        <w:t>ent b</w:t>
      </w:r>
      <w:r>
        <w:rPr>
          <w:rFonts w:ascii="Times New Roman" w:hAnsi="Times New Roman" w:cs="Times New Roman"/>
          <w:sz w:val="24"/>
          <w:szCs w:val="24"/>
        </w:rPr>
        <w:t xml:space="preserve">ased on </w:t>
      </w:r>
      <w:r>
        <w:rPr>
          <w:rFonts w:ascii="Times New Roman" w:hAnsi="Times New Roman" w:cs="Times New Roman"/>
          <w:sz w:val="24"/>
          <w:szCs w:val="24"/>
          <w:lang w:val="en-GB"/>
        </w:rPr>
        <w:t xml:space="preserve">union members </w:t>
      </w:r>
      <w:r>
        <w:rPr>
          <w:rFonts w:ascii="Times New Roman" w:hAnsi="Times New Roman" w:cs="Times New Roman"/>
          <w:sz w:val="24"/>
          <w:szCs w:val="24"/>
        </w:rPr>
        <w:t>activeness</w:t>
      </w:r>
      <w:r>
        <w:rPr>
          <w:rFonts w:ascii="Times New Roman" w:hAnsi="Times New Roman" w:cs="Times New Roman"/>
          <w:sz w:val="24"/>
          <w:szCs w:val="24"/>
          <w:lang w:val="en-GB"/>
        </w:rPr>
        <w:t xml:space="preserve">. Secondly, with </w:t>
      </w:r>
      <w:r>
        <w:rPr>
          <w:rFonts w:ascii="Times New Roman" w:hAnsi="Times New Roman" w:cs="Times New Roman"/>
          <w:sz w:val="24"/>
          <w:szCs w:val="24"/>
        </w:rPr>
        <w:t>F-value of 11.979</w:t>
      </w:r>
      <w:r>
        <w:rPr>
          <w:rFonts w:ascii="Times New Roman" w:hAnsi="Times New Roman" w:cs="Times New Roman"/>
          <w:sz w:val="24"/>
          <w:szCs w:val="24"/>
          <w:lang w:val="en-GB"/>
        </w:rPr>
        <w:t xml:space="preserve">at </w:t>
      </w:r>
      <w:r>
        <w:rPr>
          <w:rFonts w:ascii="Arial" w:hAnsi="Arial" w:cs="Arial"/>
          <w:sz w:val="24"/>
          <w:szCs w:val="24"/>
          <w:lang w:val="en-GB"/>
        </w:rPr>
        <w:t xml:space="preserve">α = </w:t>
      </w:r>
      <w:r>
        <w:rPr>
          <w:rFonts w:ascii="Times New Roman" w:hAnsi="Times New Roman" w:cs="Times New Roman"/>
          <w:sz w:val="24"/>
          <w:szCs w:val="24"/>
        </w:rPr>
        <w:t xml:space="preserve">.001which is less than 0.05 </w:t>
      </w:r>
      <w:r>
        <w:rPr>
          <w:rFonts w:ascii="Times New Roman" w:hAnsi="Times New Roman" w:cs="Times New Roman"/>
          <w:sz w:val="24"/>
          <w:szCs w:val="24"/>
          <w:lang w:val="en-GB"/>
        </w:rPr>
        <w:t>(</w:t>
      </w:r>
      <w:r>
        <w:rPr>
          <w:rFonts w:ascii="Times New Roman" w:hAnsi="Times New Roman" w:cs="Times New Roman"/>
          <w:sz w:val="24"/>
          <w:szCs w:val="24"/>
        </w:rPr>
        <w:t>1 and 82 degrees of freedom</w:t>
      </w:r>
      <w:r>
        <w:rPr>
          <w:rFonts w:ascii="Times New Roman" w:hAnsi="Times New Roman" w:cs="Times New Roman"/>
          <w:sz w:val="24"/>
          <w:szCs w:val="24"/>
          <w:lang w:val="en-GB"/>
        </w:rPr>
        <w:t xml:space="preserve">), </w:t>
      </w:r>
      <w:r>
        <w:rPr>
          <w:rFonts w:ascii="Times New Roman" w:hAnsi="Times New Roman" w:cs="Times New Roman"/>
          <w:i/>
          <w:iCs/>
          <w:sz w:val="24"/>
          <w:szCs w:val="24"/>
          <w:lang w:val="en-GB"/>
        </w:rPr>
        <w:t>H</w:t>
      </w:r>
      <w:r>
        <w:rPr>
          <w:rFonts w:ascii="Times New Roman" w:hAnsi="Times New Roman" w:cs="Times New Roman"/>
          <w:i/>
          <w:iCs/>
          <w:sz w:val="24"/>
          <w:szCs w:val="24"/>
          <w:vertAlign w:val="subscript"/>
          <w:lang w:val="en-GB"/>
        </w:rPr>
        <w:t xml:space="preserve">o2i  </w:t>
      </w:r>
      <w:r>
        <w:rPr>
          <w:rFonts w:ascii="Times New Roman" w:hAnsi="Times New Roman" w:cs="Times New Roman"/>
          <w:i/>
          <w:iCs/>
          <w:sz w:val="24"/>
          <w:szCs w:val="24"/>
          <w:lang w:val="en-GB"/>
        </w:rPr>
        <w:t>= H</w:t>
      </w:r>
      <w:r>
        <w:rPr>
          <w:rFonts w:ascii="Times New Roman" w:hAnsi="Times New Roman" w:cs="Times New Roman"/>
          <w:i/>
          <w:iCs/>
          <w:sz w:val="24"/>
          <w:szCs w:val="24"/>
          <w:vertAlign w:val="subscript"/>
          <w:lang w:val="en-GB"/>
        </w:rPr>
        <w:t>o2A</w:t>
      </w:r>
      <w:r>
        <w:rPr>
          <w:rFonts w:ascii="Times New Roman" w:hAnsi="Times New Roman" w:cs="Times New Roman"/>
          <w:i/>
          <w:iCs/>
          <w:sz w:val="24"/>
          <w:szCs w:val="24"/>
          <w:lang w:val="en-GB"/>
        </w:rPr>
        <w:t>,</w:t>
      </w:r>
      <w:r>
        <w:rPr>
          <w:rFonts w:ascii="Times New Roman" w:hAnsi="Times New Roman" w:cs="Times New Roman"/>
          <w:sz w:val="24"/>
          <w:szCs w:val="24"/>
          <w:lang w:val="en-GB"/>
        </w:rPr>
        <w:t xml:space="preserve">hence, </w:t>
      </w:r>
      <w:r>
        <w:rPr>
          <w:rFonts w:ascii="Times New Roman" w:hAnsi="Times New Roman" w:cs="Times New Roman"/>
          <w:iCs/>
          <w:sz w:val="24"/>
          <w:szCs w:val="24"/>
          <w:lang w:val="en-GB"/>
        </w:rPr>
        <w:t xml:space="preserve">the effect of member’s activeness on their perception of workplace and industrial conflict is not significantly different for public and private sector unions. Lastly, </w:t>
      </w:r>
      <w:r>
        <w:rPr>
          <w:rFonts w:ascii="Times New Roman" w:hAnsi="Times New Roman" w:cs="Times New Roman"/>
          <w:sz w:val="24"/>
          <w:szCs w:val="24"/>
        </w:rPr>
        <w:t>F</w:t>
      </w:r>
      <w:r>
        <w:rPr>
          <w:rFonts w:ascii="Times New Roman" w:hAnsi="Times New Roman" w:cs="Times New Roman"/>
          <w:sz w:val="24"/>
          <w:szCs w:val="24"/>
          <w:lang w:val="en-GB"/>
        </w:rPr>
        <w:t xml:space="preserve"> = </w:t>
      </w:r>
      <w:r>
        <w:rPr>
          <w:rFonts w:ascii="Times New Roman" w:hAnsi="Times New Roman" w:cs="Times New Roman"/>
          <w:sz w:val="24"/>
          <w:szCs w:val="24"/>
        </w:rPr>
        <w:t>3.861</w:t>
      </w:r>
      <w:r>
        <w:rPr>
          <w:rFonts w:ascii="Times New Roman" w:hAnsi="Times New Roman" w:cs="Times New Roman"/>
          <w:sz w:val="24"/>
          <w:szCs w:val="24"/>
          <w:lang w:val="en-GB"/>
        </w:rPr>
        <w:t xml:space="preserve">at </w:t>
      </w:r>
      <w:r>
        <w:rPr>
          <w:rFonts w:ascii="Arial" w:hAnsi="Arial" w:cs="Arial"/>
          <w:sz w:val="24"/>
          <w:szCs w:val="24"/>
          <w:lang w:val="en-GB"/>
        </w:rPr>
        <w:t>α = .</w:t>
      </w:r>
      <w:r>
        <w:rPr>
          <w:rFonts w:ascii="Times New Roman" w:hAnsi="Times New Roman" w:cs="Times New Roman"/>
          <w:sz w:val="24"/>
          <w:szCs w:val="24"/>
        </w:rPr>
        <w:t xml:space="preserve">012which is less than 0.05 alpha level </w:t>
      </w:r>
      <w:r>
        <w:rPr>
          <w:rFonts w:ascii="Times New Roman" w:hAnsi="Times New Roman" w:cs="Times New Roman"/>
          <w:sz w:val="24"/>
          <w:szCs w:val="24"/>
          <w:lang w:val="en-GB"/>
        </w:rPr>
        <w:t>(</w:t>
      </w:r>
      <w:r>
        <w:rPr>
          <w:rFonts w:ascii="Times New Roman" w:hAnsi="Times New Roman" w:cs="Times New Roman"/>
          <w:sz w:val="24"/>
          <w:szCs w:val="24"/>
        </w:rPr>
        <w:t>1 and 82 degrees of freedom</w:t>
      </w:r>
      <w:r>
        <w:rPr>
          <w:rFonts w:ascii="Times New Roman" w:hAnsi="Times New Roman" w:cs="Times New Roman"/>
          <w:sz w:val="24"/>
          <w:szCs w:val="24"/>
          <w:lang w:val="en-GB"/>
        </w:rPr>
        <w:t>), H</w:t>
      </w:r>
      <w:r>
        <w:rPr>
          <w:rFonts w:ascii="Times New Roman" w:hAnsi="Times New Roman" w:cs="Times New Roman"/>
          <w:sz w:val="24"/>
          <w:szCs w:val="24"/>
          <w:vertAlign w:val="subscript"/>
          <w:lang w:val="en-GB"/>
        </w:rPr>
        <w:t xml:space="preserve">03i </w:t>
      </w:r>
      <w:r>
        <w:rPr>
          <w:rFonts w:ascii="Times New Roman" w:hAnsi="Times New Roman" w:cs="Times New Roman"/>
          <w:sz w:val="24"/>
          <w:szCs w:val="24"/>
          <w:lang w:val="en-GB"/>
        </w:rPr>
        <w:t xml:space="preserve">was rejected and its alternative which is </w:t>
      </w:r>
      <w:r>
        <w:rPr>
          <w:rFonts w:ascii="Times New Roman" w:hAnsi="Times New Roman" w:cs="Times New Roman"/>
          <w:b/>
          <w:bCs/>
          <w:sz w:val="24"/>
          <w:szCs w:val="24"/>
          <w:lang w:val="en-GB"/>
        </w:rPr>
        <w:t>H</w:t>
      </w:r>
      <w:r>
        <w:rPr>
          <w:rFonts w:ascii="Times New Roman" w:hAnsi="Times New Roman" w:cs="Times New Roman"/>
          <w:b/>
          <w:bCs/>
          <w:sz w:val="24"/>
          <w:szCs w:val="24"/>
          <w:vertAlign w:val="subscript"/>
          <w:lang w:val="en-GB"/>
        </w:rPr>
        <w:t xml:space="preserve">03A: </w:t>
      </w:r>
      <w:r>
        <w:rPr>
          <w:rFonts w:ascii="Times New Roman" w:hAnsi="Times New Roman" w:cs="Times New Roman"/>
          <w:sz w:val="24"/>
          <w:szCs w:val="24"/>
        </w:rPr>
        <w:t>the effect of activeness of members on their perception of workplace and industrial conflict is significantly different for unions of various sizes</w:t>
      </w:r>
      <w:r>
        <w:rPr>
          <w:rFonts w:ascii="Times New Roman" w:hAnsi="Times New Roman" w:cs="Times New Roman"/>
          <w:sz w:val="24"/>
          <w:szCs w:val="24"/>
          <w:lang w:val="en-GB"/>
        </w:rPr>
        <w:t xml:space="preserve"> was accepted. The study concluded that trade unionism shaped members and non-members perception of workplace and industrial conflicts in Nigeria, with members activeness and the sizes of the unions being key moderating factors. Based on the study’s findings, it was recommended to implement policies at enterprises and national levels that promotes the role of trade unionism as a key means of moderating the negative effects of workplaces and industrial conflicts in Nigeria.  </w:t>
      </w:r>
    </w:p>
    <w:p w:rsidR="00BA3484" w:rsidRDefault="00BA3484">
      <w:pPr>
        <w:spacing w:line="240" w:lineRule="auto"/>
        <w:jc w:val="both"/>
        <w:rPr>
          <w:rFonts w:ascii="Times New Roman" w:hAnsi="Times New Roman" w:cs="Times New Roman"/>
          <w:iCs/>
          <w:sz w:val="24"/>
          <w:szCs w:val="24"/>
          <w:lang w:val="en-GB"/>
        </w:rPr>
      </w:pPr>
    </w:p>
    <w:p w:rsidR="00BA3484" w:rsidRDefault="00BA3484">
      <w:pPr>
        <w:spacing w:line="240" w:lineRule="auto"/>
        <w:jc w:val="both"/>
        <w:rPr>
          <w:rFonts w:ascii="Times New Roman" w:eastAsia="Times New Roman" w:hAnsi="Times New Roman" w:cs="Times New Roman"/>
          <w:sz w:val="24"/>
          <w:szCs w:val="24"/>
          <w:lang w:val="en-GB"/>
        </w:rPr>
      </w:pPr>
    </w:p>
    <w:p w:rsidR="00BA3484" w:rsidRDefault="0049223D">
      <w:pPr>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w:t>
      </w:r>
    </w:p>
    <w:p w:rsidR="00BA3484" w:rsidRDefault="0049223D">
      <w:pPr>
        <w:spacing w:line="240" w:lineRule="auto"/>
        <w:rPr>
          <w:rFonts w:ascii="Times New Roman" w:hAnsi="Times New Roman" w:cs="Times New Roman"/>
          <w:b/>
          <w:i/>
          <w:sz w:val="24"/>
          <w:szCs w:val="24"/>
          <w:lang w:val="en-GB"/>
        </w:rPr>
      </w:pPr>
      <w:r>
        <w:rPr>
          <w:rFonts w:ascii="Times New Roman" w:hAnsi="Times New Roman" w:cs="Times New Roman"/>
          <w:b/>
          <w:bCs/>
          <w:sz w:val="24"/>
          <w:szCs w:val="24"/>
          <w:lang w:val="en-GB"/>
        </w:rPr>
        <w:t>Backg</w:t>
      </w:r>
      <w:r>
        <w:rPr>
          <w:rFonts w:ascii="Times New Roman" w:hAnsi="Times New Roman" w:cs="Times New Roman"/>
          <w:b/>
          <w:i/>
          <w:sz w:val="24"/>
          <w:szCs w:val="24"/>
          <w:lang w:val="en-GB"/>
        </w:rPr>
        <w:t xml:space="preserve">round </w:t>
      </w:r>
    </w:p>
    <w:p w:rsidR="00BA3484" w:rsidRDefault="0049223D">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Divergent interests of actors percolate workplaces, work-life and industrial reality. It is widely acknowledged that workplaces are arenas of conflicts, meaning that every workplace is in a conflict state. Workplaces and industries therefore present veritable canvasses for probing the conflict approach of industrial relations (Hyman, 1996). In enclave after another, owners of productive assets don’t exclusively expropriate gains of production process.  Trade unions wield power and exercise control as well over labour. Many writers view as </w:t>
      </w:r>
      <w:r>
        <w:rPr>
          <w:rFonts w:ascii="Times New Roman" w:hAnsi="Times New Roman" w:cs="Times New Roman"/>
          <w:i/>
          <w:iCs/>
          <w:sz w:val="24"/>
          <w:szCs w:val="24"/>
          <w:lang w:val="en-GB"/>
        </w:rPr>
        <w:t xml:space="preserve">cause celebre </w:t>
      </w:r>
      <w:r>
        <w:rPr>
          <w:rFonts w:ascii="Times New Roman" w:hAnsi="Times New Roman" w:cs="Times New Roman"/>
          <w:sz w:val="24"/>
          <w:szCs w:val="24"/>
          <w:lang w:val="en-GB"/>
        </w:rPr>
        <w:t>of unionism the galvanizing of workers power against hegemonic domination of labour processes by employers who often are allies of the political class. The trade-off defining the two actors interaction is fertile ground from where conflict sprouts. Unionism serves as the prompt to working people</w:t>
      </w:r>
      <w:r w:rsidR="009B1DFD">
        <w:rPr>
          <w:rFonts w:ascii="Times New Roman" w:hAnsi="Times New Roman" w:cs="Times New Roman"/>
          <w:sz w:val="24"/>
          <w:szCs w:val="24"/>
          <w:lang w:val="en-GB"/>
        </w:rPr>
        <w:t>’</w:t>
      </w:r>
      <w:r>
        <w:rPr>
          <w:rFonts w:ascii="Times New Roman" w:hAnsi="Times New Roman" w:cs="Times New Roman"/>
          <w:sz w:val="24"/>
          <w:szCs w:val="24"/>
          <w:lang w:val="en-GB"/>
        </w:rPr>
        <w:t xml:space="preserve">s legitimate containment of potential abuses inherent in proprietary rights. Overtly, ownership of productive assets does not, in unionized contexts lead to unchallenged trampling and infringements on freedoms at work. Essentially, the International Labour Organization’s dictum, ‘labour is not a commodity, neither is it an article of trade’ holds as a fundamental truth wherever unionism is.    </w:t>
      </w:r>
    </w:p>
    <w:p w:rsidR="00BA3484" w:rsidRDefault="0049223D">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varied milieus of capitalism, economic, social and political factors serve as push factors to unionism as social lens slanting workers perception and interpretation of conflicts in workplaces and industries. For instance, observed persistent spike of general price levels causing </w:t>
      </w:r>
      <w:r w:rsidR="009B1DFD">
        <w:rPr>
          <w:rFonts w:ascii="Times New Roman" w:hAnsi="Times New Roman" w:cs="Times New Roman"/>
          <w:sz w:val="24"/>
          <w:szCs w:val="24"/>
          <w:lang w:val="en-GB"/>
        </w:rPr>
        <w:t>plummeted</w:t>
      </w:r>
      <w:r>
        <w:rPr>
          <w:rFonts w:ascii="Times New Roman" w:hAnsi="Times New Roman" w:cs="Times New Roman"/>
          <w:sz w:val="24"/>
          <w:szCs w:val="24"/>
          <w:lang w:val="en-GB"/>
        </w:rPr>
        <w:t xml:space="preserve"> value of wages consigns the average workers to seek explanations from unions leaders. Union leaders theorizing on why hardship follows such situation shapes the average workers understanding, also their behaviours. Similarly, soaring unemployment which depresses workers living standards through higher dependency ratios cause union members to rely on information from unions’ leaders. Real and perceived rise in crime rates which hampers peace and quietude of neighourhoods are concerns union leaders explain to their members. Ultimately, optics of adverse experiences in the workplace communicated through the prism of unionism implies perceptual coloration that refine or distorts how workplace and industrial conflicts are viewed. Halos are forged of managers and managements as problems, possibly haters of unions, or somewhat deliberately frustrating what can be done towards improved working standards.   </w:t>
      </w:r>
    </w:p>
    <w:p w:rsidR="00BA3484" w:rsidRDefault="0049223D">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In essence, workplace and industrial conflict characterizes employment (Freeman &amp; Medoff, 1984; Lewin, 2005). Interest differentials and bi-polar viewpoint between labour and capital exchanges is inherent in employment. Profits taking by employers and expectation of raised wages for employees lay the foundation of a zero sum intersection of these polarities. Whilst wages and salaries are the fundamentals of workers welfare, minimizing cost of production to sustain average profits making is persistent desideratum of owners of productive assets. It is logical that employees cannot always have the degree of welfare they desire. Contrari-wise, employers cannot always have profits making they desire(Kaufman &amp; Lewin, 1998). This parallelism constitute what unions communicate in imageries, languages, innuendoes, strategies, and practices which influences their members towards management and other unions’public towards unionism.          </w:t>
      </w:r>
    </w:p>
    <w:p w:rsidR="00BA3484" w:rsidRDefault="0049223D">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Sociologists and psychologists attempts of systematically unraveling the underlies of perception as well as that of perception processes remains inoncclusive. There remains much uncovered grounds about unions’ effects on workers perception of workplace conflicts. Unions are relevant to their members in their leaders theorizing about the conflicting nature of workplace and industrial relations. Whether union member’s activeness level influences their perception of workplace and industrial conflicts is unresolved in industrial relations. Also, not much is known about how unions sectoral location shapes the perception of their members about workplaces and industrial conflicts related issues. Likewise, does the sizes of trade unions affect their members perception of workplace and industrial conflicts in Nigeria? This paper examines the aforementioned issues beginning in the next section which is devoted to reviewing relevant literatures. Subsequent sections are arranged in the following sequence: the methodology of the study, findings of the study, summaries, conclusion and recommendations. </w:t>
      </w:r>
    </w:p>
    <w:p w:rsidR="00BA3484" w:rsidRDefault="0049223D">
      <w:pPr>
        <w:spacing w:line="240" w:lineRule="auto"/>
        <w:jc w:val="both"/>
        <w:rPr>
          <w:rFonts w:ascii="Times New Roman" w:hAnsi="Times New Roman" w:cs="Times New Roman"/>
          <w:b/>
          <w:i/>
          <w:sz w:val="24"/>
          <w:szCs w:val="24"/>
          <w:lang w:val="en-GB"/>
        </w:rPr>
      </w:pPr>
      <w:r>
        <w:rPr>
          <w:rFonts w:ascii="Times New Roman" w:hAnsi="Times New Roman" w:cs="Times New Roman"/>
          <w:b/>
          <w:i/>
          <w:sz w:val="24"/>
          <w:szCs w:val="24"/>
          <w:lang w:val="en-GB"/>
        </w:rPr>
        <w:t>Review of Literature</w:t>
      </w:r>
    </w:p>
    <w:p w:rsidR="00BA3484" w:rsidRDefault="0049223D">
      <w:pPr>
        <w:spacing w:line="240" w:lineRule="auto"/>
        <w:jc w:val="both"/>
        <w:rPr>
          <w:rFonts w:ascii="Times New Roman" w:hAnsi="Times New Roman" w:cs="Times New Roman"/>
          <w:b/>
          <w:i/>
          <w:sz w:val="24"/>
          <w:szCs w:val="24"/>
          <w:lang w:val="en-GB"/>
        </w:rPr>
      </w:pPr>
      <w:r>
        <w:rPr>
          <w:rFonts w:ascii="Times New Roman" w:hAnsi="Times New Roman" w:cs="Times New Roman"/>
          <w:b/>
          <w:i/>
          <w:sz w:val="24"/>
          <w:szCs w:val="24"/>
          <w:lang w:val="en-GB"/>
        </w:rPr>
        <w:t xml:space="preserve">Union membership and power asymmetry      </w:t>
      </w:r>
    </w:p>
    <w:p w:rsidR="00BA3484" w:rsidRDefault="0049223D">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Unions alter workplaces, industries and societies power configurations (Fajana, 2000). From settings of managers wielding unilateral (or sparingly challenged) authority, unions checkmating (Korpi, 2006) influence is rife, gaining foot-hold on power levers, at work and in societies by members freely associating. The natural rights of citizenship is strengthened whereby unions influence societal power dynamics, mobilizing politically through forming networks, coalitions </w:t>
      </w:r>
      <w:r>
        <w:rPr>
          <w:rFonts w:ascii="Times New Roman" w:hAnsi="Times New Roman" w:cs="Times New Roman"/>
          <w:sz w:val="24"/>
          <w:szCs w:val="24"/>
          <w:lang w:val="en-GB"/>
        </w:rPr>
        <w:lastRenderedPageBreak/>
        <w:t xml:space="preserve">and alliances of the like-minded consciousness fusing as pools of working class power. Brazil’s union powersexemplifies presently transcending of restricted industrial democracy by its widenning influence as the social democracy of workers party which is in government at the center. </w:t>
      </w:r>
    </w:p>
    <w:p w:rsidR="00BA3484" w:rsidRDefault="0049223D">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Trade unions constructively engage with other social actors to achieve periodic pay reviews, improving working standards - better hours, health and safety and work-life balance; better pensions, social transfers, and curtailed ‘</w:t>
      </w:r>
      <w:r>
        <w:rPr>
          <w:rFonts w:ascii="Times New Roman" w:hAnsi="Times New Roman" w:cs="Times New Roman"/>
          <w:i/>
          <w:sz w:val="24"/>
          <w:szCs w:val="24"/>
          <w:lang w:val="en-GB"/>
        </w:rPr>
        <w:t>precarity</w:t>
      </w:r>
      <w:r>
        <w:rPr>
          <w:rFonts w:ascii="Times New Roman" w:hAnsi="Times New Roman" w:cs="Times New Roman"/>
          <w:sz w:val="24"/>
          <w:szCs w:val="24"/>
          <w:lang w:val="en-GB"/>
        </w:rPr>
        <w:t xml:space="preserve">’. Unions aggregate workers’ grievances, serve as common feeling where there is real and surreal injustices, at work and in society (Economic Times, 2024). Coalesces of workers power like collective bargaining, protests and strikes reflect how unions galvanize to secure favourable labour exchanges for means of survival. Capable unions mediate and mostly resist workers exploitation. Unions legitimately terminate the </w:t>
      </w:r>
      <w:r>
        <w:rPr>
          <w:rFonts w:ascii="Times New Roman" w:hAnsi="Times New Roman" w:cs="Times New Roman"/>
          <w:i/>
          <w:sz w:val="24"/>
          <w:szCs w:val="24"/>
          <w:lang w:val="en-GB"/>
        </w:rPr>
        <w:t xml:space="preserve">commoditization </w:t>
      </w:r>
      <w:r>
        <w:rPr>
          <w:rFonts w:ascii="Times New Roman" w:hAnsi="Times New Roman" w:cs="Times New Roman"/>
          <w:sz w:val="24"/>
          <w:szCs w:val="24"/>
          <w:lang w:val="en-GB"/>
        </w:rPr>
        <w:t xml:space="preserve">of labour and foster humanism as the core value underpinning the labour process.   </w:t>
      </w:r>
    </w:p>
    <w:p w:rsidR="00BA3484" w:rsidRDefault="0049223D">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Devoid of the critical context, the work setting is uncontested and is thus the conquered terrain, corrupted to stop variety of values. Unions offer vistas of securities including of work, jobs, income, employment, career growth etc. Scandinavia unions facilitate the Ghent unemployment security broadening coverage of the forte of social responsibilities of business and enterprise. In forging associational power resource, unions enhance heterogeneous membership as their principal resource. Based on the provision of Section 40 of Nigeria’s 1999 constitution, it is trite that Nigerian workers are free to choose union membership. Furthermore, section 3(6) of the Trade Union (amendment) Act 2005 specifies that at least 50 prosposing members are required to form and then register trade unions. Check-off systems assure union’s financial viability to service, renew, recruit, administer and to boost membership strengths.  </w:t>
      </w:r>
    </w:p>
    <w:p w:rsidR="00BA3484" w:rsidRDefault="0049223D">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According to Murray &amp; Levesque (2010) unions’ social capital i.e. networks shield workers against exploitation. Fajana (2006) opines that employers alter work patterns at will, such as their deferring employing to keep low production costs. On the other hand, job seekers are not able to defer basic needs which only wages earning can assuage. While theoretically, employment parties are assumed to possess equal power, in practice, it is only by unionizing that the skewed power balance become modified to deter exploitation, dehumanization and demeaning working standards. </w:t>
      </w:r>
    </w:p>
    <w:p w:rsidR="00BA3484" w:rsidRDefault="0049223D">
      <w:pPr>
        <w:spacing w:before="24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Hyman (2001) contends that capital restructuring follows technological shifts and alters union powerargues unions must be strategic to check declining membership, to stall diminishing relevance. Such strategies to grow membership – recruiting and establishing new branches in hitherto non-unionized locales revitalize industrial relations. Also, functionally understanding differentials of members and non-members perceiving of workplace and industrial conflict (Ringqvist, 2020) can revive unionism.  </w:t>
      </w:r>
    </w:p>
    <w:p w:rsidR="00BA3484" w:rsidRDefault="0049223D">
      <w:pPr>
        <w:tabs>
          <w:tab w:val="left" w:pos="709"/>
        </w:tabs>
        <w:spacing w:line="240" w:lineRule="auto"/>
        <w:jc w:val="both"/>
        <w:rPr>
          <w:rFonts w:ascii="Times New Roman" w:hAnsi="Times New Roman" w:cs="Times New Roman"/>
          <w:b/>
          <w:i/>
          <w:sz w:val="24"/>
          <w:szCs w:val="24"/>
          <w:lang w:val="en-GB"/>
        </w:rPr>
      </w:pPr>
      <w:r>
        <w:rPr>
          <w:rFonts w:ascii="Times New Roman" w:hAnsi="Times New Roman" w:cs="Times New Roman"/>
          <w:b/>
          <w:i/>
          <w:sz w:val="24"/>
          <w:szCs w:val="24"/>
          <w:lang w:val="en-GB"/>
        </w:rPr>
        <w:t xml:space="preserve">Empirical Review </w:t>
      </w:r>
    </w:p>
    <w:p w:rsidR="00BA3484" w:rsidRDefault="0049223D">
      <w:pPr>
        <w:tabs>
          <w:tab w:val="left" w:pos="709"/>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Adamska &amp; Samuel (2019) surveyed individual workers differences in perception of workplace conflict by age and gender. It was found that young and old workers as well, male and female members perceived workplace and industrial conflicts differently. An India study carried out by Nandakumar &amp; Ravishandar (1994) found that committed union members are higher in perceiving workplace conflict than other workers. Poor communication (Wilson, 2014), labour management miscommunications (Wilson, 2015), incapacity of handling workplace conflicts (Adewole et al, 2019), and perceptual differentials among union and non-union staff (Okotoni &amp; Kugbani, 2024) exists and compoundsdysfunction of conflict management practices in Nigeria. According to Seidu et al (2016), there is link among workplace conflicts anticipation, management’s anti-union posturing and under-performance of Ghanaian banks. </w:t>
      </w:r>
    </w:p>
    <w:p w:rsidR="00BA3484" w:rsidRDefault="0049223D">
      <w:pPr>
        <w:tabs>
          <w:tab w:val="left" w:pos="709"/>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In an empirical study, Hameed et al (2020) found that workplace conflict is dependent on trade unionism. Ringqvist, (2020) found that trade union membership affects perception of workplace conflict. This study involved fitting hierarchical multi-level models to data from the international social survey programme. According to the study, continued de-unionization tended to increase the perception of workplace conflicts.  Analysing a panel data of the UK and Switzerland, Hadziabdic &amp; Baccoro (2020) found unions had limited effects on their members’ political attitude. The effects differed according to types of members. How social capital moderated individual’s perception of workplace conflict was the subject of the study by Avgar, et al (2014).  Kenedy, Homant &amp; Homant (2004) studied perceived injustice as basis for aggressive behaviour in work setting.</w:t>
      </w:r>
    </w:p>
    <w:p w:rsidR="00BA3484" w:rsidRDefault="0049223D">
      <w:pPr>
        <w:spacing w:line="240" w:lineRule="auto"/>
        <w:jc w:val="both"/>
        <w:rPr>
          <w:rFonts w:ascii="Times New Roman" w:hAnsi="Times New Roman" w:cs="Times New Roman"/>
          <w:b/>
          <w:i/>
          <w:sz w:val="24"/>
          <w:szCs w:val="24"/>
          <w:lang w:val="en-GB"/>
        </w:rPr>
      </w:pPr>
      <w:r>
        <w:rPr>
          <w:rFonts w:ascii="Times New Roman" w:hAnsi="Times New Roman" w:cs="Times New Roman"/>
          <w:b/>
          <w:i/>
          <w:sz w:val="24"/>
          <w:szCs w:val="24"/>
          <w:lang w:val="en-GB"/>
        </w:rPr>
        <w:t>Union member’s perception of workplace conflict</w:t>
      </w:r>
    </w:p>
    <w:p w:rsidR="00BA3484" w:rsidRDefault="0049223D">
      <w:pPr>
        <w:tabs>
          <w:tab w:val="left" w:pos="709"/>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In unionized workplaces, industries and nations, perceptions of workplace experiences goes under the unionism screens, hence are filtered and coloured (White, 2015). Messages are blurred and class oriented frames and imageries (Beall, J. Et al 2021)give distorted meanings, and slogans like ‘injustice to one is an injustice to all’ are rife. Supports are lend to the extreme, condoning, defending and justifying wrongs of union members, including undue aggressions and hard stance against employers positions on common ground matters.   </w:t>
      </w:r>
    </w:p>
    <w:p w:rsidR="00BA3484" w:rsidRDefault="0049223D">
      <w:pPr>
        <w:tabs>
          <w:tab w:val="left" w:pos="709"/>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summary, the perception of unionized workers of workplace relations is prominently subjective (Bellemare, 2009; Gilchrist, 2012). Irrational collective mental framing apparently underlie workplace conflicts behaviours of union members. Systematic soldering is at the root of experiences of unions’ members, and sometimes these are without bearing to intentions and actions of managers. Misconstrued intentions develop from prisms of the unions that are biased and prejudiced. Generalizations such as managers are selfish, greedy and oppressive influence simple minded members to behave aberrantly.   </w:t>
      </w:r>
    </w:p>
    <w:p w:rsidR="00BA3484" w:rsidRDefault="0049223D">
      <w:pPr>
        <w:tabs>
          <w:tab w:val="left" w:pos="709"/>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Explicit union communications, whether verbal or written overemphasize ‘profits is at the expense of workers welfare’ (</w:t>
      </w:r>
      <w:r>
        <w:rPr>
          <w:rFonts w:ascii="Times New Roman" w:hAnsi="Times New Roman" w:cs="Times New Roman"/>
          <w:sz w:val="24"/>
          <w:szCs w:val="24"/>
          <w:shd w:val="clear" w:color="auto" w:fill="FFFFFF"/>
        </w:rPr>
        <w:t>Addison, J. &amp; Belfield, C. (2004)</w:t>
      </w:r>
      <w:r>
        <w:rPr>
          <w:rFonts w:ascii="Times New Roman" w:hAnsi="Times New Roman" w:cs="Times New Roman"/>
          <w:sz w:val="24"/>
          <w:szCs w:val="24"/>
          <w:lang w:val="en-GB"/>
        </w:rPr>
        <w:t xml:space="preserve">. During meetings as well as conveyed contents of union publications - banners, leaflets and posters, managers tarring as disfavourable and disavowing of workers welfare are prevalent. Union leaders vocalize managers to members as monsters. They grandstand and posture irreconcilability of union struggles.  Constricted workplace conflict are approximates of certain workers disadvantage. Unionism therefore ingrains perceived deliberateness of </w:t>
      </w:r>
      <w:r>
        <w:rPr>
          <w:rFonts w:ascii="Times New Roman" w:hAnsi="Times New Roman" w:cs="Times New Roman"/>
          <w:i/>
          <w:sz w:val="24"/>
          <w:szCs w:val="24"/>
          <w:lang w:val="en-GB"/>
        </w:rPr>
        <w:t xml:space="preserve">relative deprivation </w:t>
      </w:r>
      <w:r>
        <w:rPr>
          <w:rFonts w:ascii="Times New Roman" w:hAnsi="Times New Roman" w:cs="Times New Roman"/>
          <w:sz w:val="24"/>
          <w:szCs w:val="24"/>
          <w:lang w:val="en-GB"/>
        </w:rPr>
        <w:t xml:space="preserve">which the American Psychological Association (APA) submit is the ‘perception that amount of desired resource of an individual is less than some comparative standard i.e. the amount expected or that is owned by others in the same situation’. Also the </w:t>
      </w:r>
      <w:r>
        <w:rPr>
          <w:rFonts w:ascii="Times New Roman" w:hAnsi="Times New Roman" w:cs="Times New Roman"/>
          <w:i/>
          <w:sz w:val="24"/>
          <w:szCs w:val="24"/>
          <w:lang w:val="en-GB"/>
        </w:rPr>
        <w:t>greed-grievance</w:t>
      </w:r>
      <w:r>
        <w:rPr>
          <w:rFonts w:ascii="Times New Roman" w:hAnsi="Times New Roman" w:cs="Times New Roman"/>
          <w:sz w:val="24"/>
          <w:szCs w:val="24"/>
          <w:lang w:val="en-GB"/>
        </w:rPr>
        <w:t xml:space="preserve"> theory projects that the wage differentials between managerial workers underscore unions’ members’ perception of grievances. The argument is from the fixed value of organizational benefits, where much is given as managers’ compensations, bonuses and perks what remains for workers welfare is crumps. Again, the</w:t>
      </w:r>
      <w:r>
        <w:rPr>
          <w:rFonts w:ascii="Times New Roman" w:hAnsi="Times New Roman" w:cs="Times New Roman"/>
          <w:i/>
          <w:sz w:val="24"/>
          <w:szCs w:val="24"/>
          <w:lang w:val="en-GB"/>
        </w:rPr>
        <w:t>frustration-aggression hypothesis</w:t>
      </w:r>
      <w:r>
        <w:rPr>
          <w:rFonts w:ascii="Times New Roman" w:hAnsi="Times New Roman" w:cs="Times New Roman"/>
          <w:sz w:val="24"/>
          <w:szCs w:val="24"/>
          <w:lang w:val="en-GB"/>
        </w:rPr>
        <w:t xml:space="preserve"> (Breuer &amp; Elson, 2017) states that ‘occurrence of aggressive behaviours presupposes frustration and contrariwise, occurrence of frustration leads to aggressive behaviours’ offers a relevant explanation of unions effects on perception of workplace and industrial conflicts. The implication is denying employees decent living and </w:t>
      </w:r>
      <w:r>
        <w:rPr>
          <w:rFonts w:ascii="Times New Roman" w:hAnsi="Times New Roman" w:cs="Times New Roman"/>
          <w:sz w:val="24"/>
          <w:szCs w:val="24"/>
          <w:lang w:val="en-GB"/>
        </w:rPr>
        <w:lastRenderedPageBreak/>
        <w:t xml:space="preserve">working conditions triggers aggression and opposing tendencies; and enervates activism to change from prevailing oppression of workers.  </w:t>
      </w:r>
    </w:p>
    <w:p w:rsidR="00BA3484" w:rsidRDefault="0049223D">
      <w:pPr>
        <w:tabs>
          <w:tab w:val="left" w:pos="709"/>
        </w:tabs>
        <w:spacing w:line="240" w:lineRule="auto"/>
        <w:jc w:val="both"/>
        <w:rPr>
          <w:rFonts w:ascii="Times New Roman" w:hAnsi="Times New Roman" w:cs="Times New Roman"/>
          <w:b/>
          <w:i/>
          <w:sz w:val="24"/>
          <w:szCs w:val="24"/>
          <w:lang w:val="en-GB"/>
        </w:rPr>
      </w:pPr>
      <w:r>
        <w:rPr>
          <w:rFonts w:ascii="Times New Roman" w:hAnsi="Times New Roman" w:cs="Times New Roman"/>
          <w:b/>
          <w:i/>
          <w:sz w:val="24"/>
          <w:szCs w:val="24"/>
          <w:lang w:val="en-GB"/>
        </w:rPr>
        <w:t>Non-unionized workers perception of workplace conflict</w:t>
      </w:r>
    </w:p>
    <w:p w:rsidR="00BA3484" w:rsidRDefault="0049223D">
      <w:pPr>
        <w:tabs>
          <w:tab w:val="left" w:pos="709"/>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Non-unionized workforces perception of conflict with management is supported by the sub-theory, </w:t>
      </w:r>
      <w:r>
        <w:rPr>
          <w:rFonts w:ascii="Times New Roman" w:hAnsi="Times New Roman" w:cs="Times New Roman"/>
          <w:i/>
          <w:sz w:val="24"/>
          <w:szCs w:val="24"/>
          <w:lang w:val="en-GB"/>
        </w:rPr>
        <w:t>unitarism</w:t>
      </w:r>
      <w:r>
        <w:rPr>
          <w:rFonts w:ascii="Times New Roman" w:hAnsi="Times New Roman" w:cs="Times New Roman"/>
          <w:sz w:val="24"/>
          <w:szCs w:val="24"/>
          <w:lang w:val="en-GB"/>
        </w:rPr>
        <w:t>. This is based on the argument that average employee’s perception of realities matches or aligns with that of enterprise owners (Shabi, 2003). However, the endemic or inevitable nature of workplace conflict gives rise to varied, differentiated, individualized, disaggregated conflicts and conflict non-politicisation in employment relations. This extremity is much desired by employers as detached, passive, individualized responses wherein workers unconsciousness of exploitative labour arrangement stays so, not exposed to class orientated consciousness arousals often inherent in</w:t>
      </w:r>
      <w:r w:rsidR="00C6258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unions communication and activities.  </w:t>
      </w:r>
    </w:p>
    <w:p w:rsidR="00BA3484" w:rsidRDefault="0049223D">
      <w:pPr>
        <w:tabs>
          <w:tab w:val="left" w:pos="709"/>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Workers perceiving conflicts of rights and of interests remains low as they are not guided through unionism to openly or subtly interrogate, debate, and argue and to hardened position and opposition to management. Unions are not in such settings to instigate the symbolism of employers’ centred quests for more as source of conflict. Non-aroused class based explanations sidesteps coloration and only individualized lenses which is personal experiences, background, and uniqueness form or model realities of workplace relations. The perspective is about commonness of interest/goals, non-polarity of employers and workers perception. Called the paternalistic framework, the aura of persisting mutuality is deemed to underpin managerial behavioural reciprocity towards individual employee. </w:t>
      </w:r>
    </w:p>
    <w:p w:rsidR="00BA3484" w:rsidRDefault="0049223D">
      <w:pPr>
        <w:tabs>
          <w:tab w:val="left" w:pos="709"/>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How a non-unionized worker perceives conflict in a unionized workplace is presumably without the distortion of extenuated frames theorized by union leadership, conveyed by union members to non-participants at union programmes or functions. Assumedly, high-rated managers (maturity-immaturity continuum scale) tend towards less likelihood for selfishness. Rather altruistic, pursuance of broad good in managerial choice making assumes greater importance, foisting trusts whereby managers prioritize employees’ welfare which is vital to achieving highly productive enterprises. Union agitation and aggressive acts are deemed as unwarranted disruptions against generalized benefits desired by claimants of healthy enterprises and economies. </w:t>
      </w:r>
    </w:p>
    <w:p w:rsidR="00BA3484" w:rsidRDefault="0049223D">
      <w:pPr>
        <w:tabs>
          <w:tab w:val="left" w:pos="709"/>
        </w:tabs>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Relying on the above theoretical frames of reference, the hypotheses of the study are postulated </w:t>
      </w:r>
    </w:p>
    <w:p w:rsidR="00BA3484" w:rsidRDefault="0049223D">
      <w:pPr>
        <w:tabs>
          <w:tab w:val="left" w:pos="709"/>
        </w:tabs>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thus: </w:t>
      </w:r>
    </w:p>
    <w:p w:rsidR="00BA3484" w:rsidRDefault="0049223D">
      <w:pPr>
        <w:tabs>
          <w:tab w:val="left" w:pos="709"/>
        </w:tabs>
        <w:spacing w:line="240" w:lineRule="auto"/>
        <w:jc w:val="both"/>
        <w:rPr>
          <w:rFonts w:ascii="Times New Roman" w:hAnsi="Times New Roman" w:cs="Times New Roman"/>
          <w:i/>
          <w:sz w:val="24"/>
          <w:szCs w:val="24"/>
          <w:lang w:val="en-GB"/>
        </w:rPr>
      </w:pPr>
      <w:r>
        <w:rPr>
          <w:rFonts w:ascii="Times New Roman" w:hAnsi="Times New Roman" w:cs="Times New Roman"/>
          <w:sz w:val="24"/>
          <w:szCs w:val="24"/>
          <w:lang w:val="en-GB"/>
        </w:rPr>
        <w:t>H</w:t>
      </w:r>
      <w:r>
        <w:rPr>
          <w:rFonts w:ascii="Times New Roman" w:hAnsi="Times New Roman" w:cs="Times New Roman"/>
          <w:sz w:val="24"/>
          <w:szCs w:val="24"/>
          <w:vertAlign w:val="subscript"/>
          <w:lang w:val="en-GB"/>
        </w:rPr>
        <w:t>o</w:t>
      </w:r>
      <w:r>
        <w:rPr>
          <w:rFonts w:ascii="Times New Roman" w:hAnsi="Times New Roman" w:cs="Times New Roman"/>
          <w:i/>
          <w:sz w:val="24"/>
          <w:szCs w:val="24"/>
          <w:vertAlign w:val="subscript"/>
          <w:lang w:val="en-GB"/>
        </w:rPr>
        <w:t xml:space="preserve">1: </w:t>
      </w:r>
      <w:r>
        <w:rPr>
          <w:rFonts w:ascii="Times New Roman" w:hAnsi="Times New Roman" w:cs="Times New Roman"/>
          <w:i/>
          <w:sz w:val="24"/>
          <w:szCs w:val="24"/>
          <w:lang w:val="en-GB"/>
        </w:rPr>
        <w:t>perception of workplace and industrial conflict is higher for active union members than for inactive union members</w:t>
      </w:r>
      <w:r w:rsidR="00C6258A">
        <w:rPr>
          <w:rFonts w:ascii="Times New Roman" w:hAnsi="Times New Roman" w:cs="Times New Roman"/>
          <w:i/>
          <w:sz w:val="24"/>
          <w:szCs w:val="24"/>
          <w:lang w:val="en-GB"/>
        </w:rPr>
        <w:t xml:space="preserve"> </w:t>
      </w:r>
      <w:r>
        <w:rPr>
          <w:rFonts w:ascii="Times New Roman" w:hAnsi="Times New Roman" w:cs="Times New Roman"/>
          <w:i/>
          <w:sz w:val="24"/>
          <w:szCs w:val="24"/>
          <w:lang w:val="en-GB"/>
        </w:rPr>
        <w:t>in Nigeria’s organizations.</w:t>
      </w:r>
    </w:p>
    <w:p w:rsidR="00BA3484" w:rsidRDefault="0049223D">
      <w:pPr>
        <w:tabs>
          <w:tab w:val="left" w:pos="709"/>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Differences among trade union members can be in terms of activeness or passiveness of the members. An active member could perceive workplace and industrial conflict differently from a passive trade union member. Also, the sector where the union operates could moderate the degree to which activeness levels influence workplace and industrial conflict perceptions. This is taken to mean that the section where the union operates could be an intervening variable between activeness of the members and the effect of unionism on perception of workplace and industrial conflict. </w:t>
      </w:r>
    </w:p>
    <w:p w:rsidR="00BA3484" w:rsidRDefault="0049223D">
      <w:pPr>
        <w:tabs>
          <w:tab w:val="left" w:pos="709"/>
        </w:tabs>
        <w:spacing w:line="24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Hence the second hypothesis is stated thus: </w:t>
      </w:r>
    </w:p>
    <w:p w:rsidR="00BA3484" w:rsidRDefault="0049223D">
      <w:pPr>
        <w:tabs>
          <w:tab w:val="left" w:pos="709"/>
        </w:tabs>
        <w:spacing w:line="240" w:lineRule="auto"/>
        <w:jc w:val="both"/>
        <w:rPr>
          <w:rFonts w:ascii="Times New Roman" w:hAnsi="Times New Roman" w:cs="Times New Roman"/>
          <w:i/>
          <w:sz w:val="24"/>
          <w:szCs w:val="24"/>
          <w:lang w:val="en-GB"/>
        </w:rPr>
      </w:pPr>
      <w:r>
        <w:rPr>
          <w:rFonts w:ascii="Times New Roman" w:hAnsi="Times New Roman" w:cs="Times New Roman"/>
          <w:i/>
          <w:sz w:val="24"/>
          <w:szCs w:val="24"/>
          <w:lang w:val="en-GB"/>
        </w:rPr>
        <w:t>H</w:t>
      </w:r>
      <w:r>
        <w:rPr>
          <w:rFonts w:ascii="Times New Roman" w:hAnsi="Times New Roman" w:cs="Times New Roman"/>
          <w:i/>
          <w:sz w:val="24"/>
          <w:szCs w:val="24"/>
          <w:vertAlign w:val="subscript"/>
          <w:lang w:val="en-GB"/>
        </w:rPr>
        <w:t xml:space="preserve">o2 </w:t>
      </w:r>
      <w:r>
        <w:rPr>
          <w:rFonts w:ascii="Times New Roman" w:hAnsi="Times New Roman" w:cs="Times New Roman"/>
          <w:i/>
          <w:sz w:val="24"/>
          <w:szCs w:val="24"/>
          <w:lang w:val="en-GB"/>
        </w:rPr>
        <w:t xml:space="preserve">: the effect of member’s activeness on their perception of workplace and industrial conflict is not significantly different for public and private sector unions. </w:t>
      </w:r>
    </w:p>
    <w:p w:rsidR="00BA3484" w:rsidRDefault="0049223D">
      <w:pPr>
        <w:tabs>
          <w:tab w:val="left" w:pos="709"/>
        </w:tabs>
        <w:spacing w:line="360" w:lineRule="auto"/>
        <w:jc w:val="both"/>
        <w:rPr>
          <w:rFonts w:ascii="Times New Roman" w:hAnsi="Times New Roman" w:cs="Times New Roman"/>
          <w:iCs/>
          <w:sz w:val="24"/>
          <w:szCs w:val="24"/>
          <w:lang w:val="en-GB"/>
        </w:rPr>
      </w:pPr>
      <w:r>
        <w:rPr>
          <w:rFonts w:ascii="Times New Roman" w:hAnsi="Times New Roman" w:cs="Times New Roman"/>
          <w:iCs/>
          <w:sz w:val="24"/>
          <w:szCs w:val="24"/>
          <w:lang w:val="en-GB"/>
        </w:rPr>
        <w:t xml:space="preserve">Also, it is hypthesized that the size of unions moderate how their members’activeness influence their perception of workplace and industrial conflict thus: </w:t>
      </w:r>
    </w:p>
    <w:p w:rsidR="00BA3484" w:rsidRDefault="0049223D">
      <w:pPr>
        <w:tabs>
          <w:tab w:val="left" w:pos="709"/>
        </w:tabs>
        <w:spacing w:line="240" w:lineRule="auto"/>
        <w:jc w:val="both"/>
        <w:rPr>
          <w:rFonts w:ascii="Times New Roman" w:hAnsi="Times New Roman" w:cs="Times New Roman"/>
          <w:i/>
          <w:sz w:val="24"/>
          <w:szCs w:val="24"/>
          <w:lang w:val="en-GB"/>
        </w:rPr>
      </w:pPr>
      <w:r>
        <w:rPr>
          <w:rFonts w:ascii="Times New Roman" w:hAnsi="Times New Roman" w:cs="Times New Roman"/>
          <w:i/>
          <w:sz w:val="24"/>
          <w:szCs w:val="24"/>
          <w:lang w:val="en-GB"/>
        </w:rPr>
        <w:t>H</w:t>
      </w:r>
      <w:r>
        <w:rPr>
          <w:rFonts w:ascii="Times New Roman" w:hAnsi="Times New Roman" w:cs="Times New Roman"/>
          <w:i/>
          <w:sz w:val="24"/>
          <w:szCs w:val="24"/>
          <w:vertAlign w:val="subscript"/>
          <w:lang w:val="en-GB"/>
        </w:rPr>
        <w:t>o3</w:t>
      </w:r>
      <w:r>
        <w:rPr>
          <w:rFonts w:ascii="Times New Roman" w:hAnsi="Times New Roman" w:cs="Times New Roman"/>
          <w:i/>
          <w:sz w:val="24"/>
          <w:szCs w:val="24"/>
          <w:lang w:val="en-GB"/>
        </w:rPr>
        <w:t xml:space="preserve"> : the effect of activeness of members on their perception of workplace and industrial conflict is not significantly different with unions sizes. </w:t>
      </w:r>
    </w:p>
    <w:p w:rsidR="00BA3484" w:rsidRDefault="0049223D">
      <w:pPr>
        <w:tabs>
          <w:tab w:val="left" w:pos="709"/>
        </w:tabs>
        <w:spacing w:line="240" w:lineRule="auto"/>
        <w:jc w:val="both"/>
        <w:rPr>
          <w:rFonts w:ascii="Times New Roman" w:hAnsi="Times New Roman" w:cs="Times New Roman"/>
          <w:b/>
          <w:i/>
          <w:sz w:val="24"/>
          <w:szCs w:val="24"/>
          <w:lang w:val="en-GB"/>
        </w:rPr>
      </w:pPr>
      <w:r>
        <w:rPr>
          <w:rFonts w:ascii="Times New Roman" w:hAnsi="Times New Roman" w:cs="Times New Roman"/>
          <w:b/>
          <w:i/>
          <w:sz w:val="24"/>
          <w:szCs w:val="24"/>
          <w:lang w:val="en-GB"/>
        </w:rPr>
        <w:t>Methodology</w:t>
      </w:r>
    </w:p>
    <w:p w:rsidR="00BA3484" w:rsidRDefault="0049223D">
      <w:pPr>
        <w:tabs>
          <w:tab w:val="left" w:pos="709"/>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Survey design was used for the collection of primary data in this study. A self constructed electronic-questionnaire was administered to generate primary data from respondents that represented the population of the study. The population of the study is the entire Nigeria’s workforce which is estimated as 75.5 million Nigerian workforce (NBS, 2023). This comprises both union and non-union workers and there are self-employed individuals among them. Unionized workers in Nigeria either belong to unions that are affiliated to the Nigerian Labour Congress (NLC) or unions that are affiliated to the Trade Union Congress (TUC). NLC, established in 1978 in the then Federal Military Government’s redirection initiative of the labour movement has 53 affiliates (NLC, 2024). On the other hand, the Trade Union Congress in Nigeria was formed as a federation of trade unions in 2005. This followed the passage into law of the Trade Union (Amendment Act), 2005. TUC had 29 affiliates and approximately 3.5 </w:t>
      </w:r>
      <w:r>
        <w:rPr>
          <w:rFonts w:ascii="Times New Roman" w:hAnsi="Times New Roman" w:cs="Times New Roman"/>
          <w:sz w:val="24"/>
          <w:szCs w:val="24"/>
          <w:lang w:val="en-GB"/>
        </w:rPr>
        <w:lastRenderedPageBreak/>
        <w:t xml:space="preserve">million members (TUC, 2020). The population for this study is what comprises the total number of trade unions in the country (NLC: 53 and TUC: 29) and their approximated 12 million members. </w:t>
      </w:r>
    </w:p>
    <w:p w:rsidR="00BA3484" w:rsidRDefault="0049223D">
      <w:pPr>
        <w:tabs>
          <w:tab w:val="left" w:pos="709"/>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Data analysis of the study was done using ANOVA (Analysis of Variance). Tests were on relationships between dependent variable (union activeness of members) and independent variable (perception of workplace and industrial conflicts). There were two moderating variables of the study, namely a. sector the respondents union belongs and b. the size of the respondents union. Variables analysed were all on the ordinal scale and simple percentages provided descriptive findings of the study.The research instrument had  a reliability rating of </w:t>
      </w:r>
      <w:r>
        <w:rPr>
          <w:rFonts w:ascii="Arial" w:hAnsi="Arial" w:cs="Arial"/>
          <w:sz w:val="24"/>
          <w:szCs w:val="24"/>
          <w:lang w:val="en-GB"/>
        </w:rPr>
        <w:t>α</w:t>
      </w:r>
      <w:r>
        <w:rPr>
          <w:rFonts w:ascii="Times New Roman" w:hAnsi="Times New Roman" w:cs="Times New Roman"/>
          <w:sz w:val="24"/>
          <w:szCs w:val="24"/>
          <w:lang w:val="en-GB"/>
        </w:rPr>
        <w:t xml:space="preserve"> =0.714 with all 18 items on the scale found to be both internally and externally consistent.  </w:t>
      </w:r>
    </w:p>
    <w:p w:rsidR="00BA3484" w:rsidRDefault="0049223D">
      <w:pPr>
        <w:tabs>
          <w:tab w:val="left" w:pos="709"/>
        </w:tabs>
        <w:spacing w:line="240" w:lineRule="auto"/>
        <w:jc w:val="both"/>
        <w:rPr>
          <w:rFonts w:ascii="Times New Roman" w:hAnsi="Times New Roman" w:cs="Times New Roman"/>
          <w:sz w:val="24"/>
          <w:szCs w:val="24"/>
          <w:lang w:val="en-GB"/>
        </w:rPr>
      </w:pPr>
      <w:r>
        <w:rPr>
          <w:rFonts w:ascii="Times New Roman" w:hAnsi="Times New Roman" w:cs="Times New Roman"/>
          <w:b/>
          <w:bCs/>
          <w:i/>
          <w:iCs/>
          <w:sz w:val="24"/>
          <w:szCs w:val="24"/>
          <w:lang w:val="en-GB"/>
        </w:rPr>
        <w:t>Findings of the study</w:t>
      </w:r>
    </w:p>
    <w:p w:rsidR="00BA3484" w:rsidRDefault="0049223D">
      <w:pPr>
        <w:tabs>
          <w:tab w:val="left" w:pos="709"/>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Ninety four (94) % of the respondents were union members leaving six (6) % as non-union members. Responses for public and private sectors unions was 58 % and 42 % respectively. Size of respondents’ unions are: 50-2000 members = 38 %; 2, 001 - 5, 000 members = 11 %; 5001-10, 000 members = 19 %; and 10001 - and above members = 32.6 % respectively. The result shows that 57 % of respondents attend union meetings not when they are pressured to do so by union officials. With 69.7 % favourable response to contest future elections in unions, most respondents exhibited high activeness.  </w:t>
      </w:r>
    </w:p>
    <w:p w:rsidR="00BA3484" w:rsidRDefault="0049223D">
      <w:pPr>
        <w:tabs>
          <w:tab w:val="left" w:pos="709"/>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 total of 69 % responses affirm that the unions are workers collective voice for better living and working standards.  This is supported with a strong 86% responses that individually weak workers are in need of unions protections. Most responses also affirm that union presence in workplaces and societies reduce incidence of unfair and unjust labour practices. The favourable response rate for the related questionnaire item was 90 %. Also a high response rate of 82.5% reflected that unions narrations focuses on exploitations in workplace and industries. When union slogan of ‘injury to one is injury to all’ is echoed, 75.6% of the respondents view this as indicating distrust of management. Also response rate of 75.6% reflect that unions presence raises consciousness about class delineation in every society. </w:t>
      </w:r>
    </w:p>
    <w:p w:rsidR="00BA3484" w:rsidRDefault="0049223D">
      <w:pPr>
        <w:tabs>
          <w:tab w:val="left" w:pos="709"/>
        </w:tabs>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responses to ‘unions create distrust of employers and managers by their members’ were not widespread as 53% did not affirm as against 27.9% affirming the claim. However a significant </w:t>
      </w:r>
      <w:r>
        <w:rPr>
          <w:rFonts w:ascii="Times New Roman" w:hAnsi="Times New Roman" w:cs="Times New Roman"/>
          <w:sz w:val="24"/>
          <w:szCs w:val="24"/>
          <w:lang w:val="en-GB"/>
        </w:rPr>
        <w:lastRenderedPageBreak/>
        <w:t xml:space="preserve">88.6% responses affirm that unions highlight relative deprivation in income gap in workplaces and industries. Unions do not militarize the workplaces against employers. This is according to a significant 54.7% responses as against an 18% neutral responses.  According to 45.3% responses, union leaders do not portray management as haters of unions and their members. The neutral response for this is 24.4%.  </w:t>
      </w:r>
    </w:p>
    <w:p w:rsidR="00BA3484" w:rsidRDefault="0049223D">
      <w:pPr>
        <w:tabs>
          <w:tab w:val="left" w:pos="709"/>
        </w:tabs>
        <w:spacing w:line="240" w:lineRule="auto"/>
        <w:jc w:val="both"/>
        <w:rPr>
          <w:rFonts w:ascii="Times New Roman" w:hAnsi="Times New Roman" w:cs="Times New Roman"/>
          <w:b/>
          <w:bCs/>
          <w:i/>
          <w:iCs/>
          <w:sz w:val="24"/>
          <w:szCs w:val="24"/>
          <w:lang w:val="en-GB"/>
        </w:rPr>
      </w:pPr>
      <w:r>
        <w:rPr>
          <w:rFonts w:ascii="Times New Roman" w:hAnsi="Times New Roman" w:cs="Times New Roman"/>
          <w:b/>
          <w:bCs/>
          <w:i/>
          <w:iCs/>
          <w:sz w:val="24"/>
          <w:szCs w:val="24"/>
          <w:lang w:val="en-GB"/>
        </w:rPr>
        <w:t>Test of Hypotheses</w:t>
      </w:r>
    </w:p>
    <w:p w:rsidR="00BA3484" w:rsidRDefault="0049223D">
      <w:pPr>
        <w:tabs>
          <w:tab w:val="left" w:pos="709"/>
        </w:tabs>
        <w:spacing w:line="360" w:lineRule="auto"/>
        <w:jc w:val="both"/>
        <w:rPr>
          <w:rFonts w:ascii="Times New Roman" w:hAnsi="Times New Roman" w:cs="Times New Roman"/>
          <w:iCs/>
          <w:sz w:val="24"/>
          <w:szCs w:val="24"/>
          <w:lang w:val="en-GB"/>
        </w:rPr>
      </w:pPr>
      <w:r>
        <w:rPr>
          <w:rFonts w:ascii="Times New Roman" w:hAnsi="Times New Roman" w:cs="Times New Roman"/>
          <w:iCs/>
          <w:sz w:val="24"/>
          <w:szCs w:val="24"/>
          <w:lang w:val="en-GB"/>
        </w:rPr>
        <w:t xml:space="preserve">Table 1 is presentation of descriptive statistics related to hypothesis 1. Hypothesis 1 states that   </w:t>
      </w:r>
    </w:p>
    <w:p w:rsidR="00BA3484" w:rsidRDefault="0049223D">
      <w:pPr>
        <w:tabs>
          <w:tab w:val="left" w:pos="709"/>
        </w:tabs>
        <w:spacing w:line="360" w:lineRule="auto"/>
        <w:jc w:val="both"/>
        <w:rPr>
          <w:rFonts w:ascii="Times New Roman" w:hAnsi="Times New Roman" w:cs="Times New Roman"/>
          <w:iCs/>
          <w:sz w:val="24"/>
          <w:szCs w:val="24"/>
          <w:lang w:val="en-GB"/>
        </w:rPr>
      </w:pPr>
      <w:r>
        <w:rPr>
          <w:rFonts w:ascii="Times New Roman" w:hAnsi="Times New Roman" w:cs="Times New Roman"/>
          <w:sz w:val="24"/>
          <w:szCs w:val="24"/>
          <w:lang w:val="en-GB"/>
        </w:rPr>
        <w:t>H</w:t>
      </w:r>
      <w:r>
        <w:rPr>
          <w:rFonts w:ascii="Times New Roman" w:hAnsi="Times New Roman" w:cs="Times New Roman"/>
          <w:sz w:val="24"/>
          <w:szCs w:val="24"/>
          <w:vertAlign w:val="subscript"/>
          <w:lang w:val="en-GB"/>
        </w:rPr>
        <w:t>o</w:t>
      </w:r>
      <w:r>
        <w:rPr>
          <w:rFonts w:ascii="Times New Roman" w:hAnsi="Times New Roman" w:cs="Times New Roman"/>
          <w:i/>
          <w:sz w:val="24"/>
          <w:szCs w:val="24"/>
          <w:vertAlign w:val="subscript"/>
          <w:lang w:val="en-GB"/>
        </w:rPr>
        <w:t>1</w:t>
      </w:r>
      <w:r>
        <w:rPr>
          <w:rFonts w:ascii="Times New Roman" w:hAnsi="Times New Roman" w:cs="Times New Roman"/>
          <w:iCs/>
          <w:sz w:val="24"/>
          <w:szCs w:val="24"/>
          <w:vertAlign w:val="subscript"/>
          <w:lang w:val="en-GB"/>
        </w:rPr>
        <w:t xml:space="preserve">: </w:t>
      </w:r>
      <w:r>
        <w:rPr>
          <w:rFonts w:ascii="Times New Roman" w:hAnsi="Times New Roman" w:cs="Times New Roman"/>
          <w:iCs/>
          <w:sz w:val="24"/>
          <w:szCs w:val="24"/>
          <w:lang w:val="en-GB"/>
        </w:rPr>
        <w:t>perception of workplace and industrial conflict is not higher for active union members than for inactive union members</w:t>
      </w:r>
      <w:r w:rsidR="00C6258A">
        <w:rPr>
          <w:rFonts w:ascii="Times New Roman" w:hAnsi="Times New Roman" w:cs="Times New Roman"/>
          <w:iCs/>
          <w:sz w:val="24"/>
          <w:szCs w:val="24"/>
          <w:lang w:val="en-GB"/>
        </w:rPr>
        <w:t xml:space="preserve"> </w:t>
      </w:r>
      <w:r>
        <w:rPr>
          <w:rFonts w:ascii="Times New Roman" w:hAnsi="Times New Roman" w:cs="Times New Roman"/>
          <w:iCs/>
          <w:sz w:val="24"/>
          <w:szCs w:val="24"/>
          <w:lang w:val="en-GB"/>
        </w:rPr>
        <w:t xml:space="preserve">in Nigeria organizations. </w:t>
      </w:r>
    </w:p>
    <w:tbl>
      <w:tblPr>
        <w:tblW w:w="93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tblPr>
      <w:tblGrid>
        <w:gridCol w:w="737"/>
        <w:gridCol w:w="2368"/>
        <w:gridCol w:w="1155"/>
        <w:gridCol w:w="1380"/>
        <w:gridCol w:w="900"/>
        <w:gridCol w:w="2775"/>
      </w:tblGrid>
      <w:tr w:rsidR="00BA3484">
        <w:trPr>
          <w:cantSplit/>
        </w:trPr>
        <w:tc>
          <w:tcPr>
            <w:tcW w:w="9315" w:type="dxa"/>
            <w:gridSpan w:val="6"/>
            <w:tcBorders>
              <w:top w:val="nil"/>
              <w:left w:val="nil"/>
              <w:bottom w:val="nil"/>
              <w:right w:val="nil"/>
              <w:tl2br w:val="nil"/>
              <w:tr2bl w:val="nil"/>
            </w:tcBorders>
            <w:shd w:val="clear" w:color="auto" w:fill="FFFFFF"/>
            <w:noWrap/>
            <w:vAlign w:val="center"/>
          </w:tcPr>
          <w:p w:rsidR="00BA3484" w:rsidRDefault="0049223D">
            <w:pPr>
              <w:spacing w:line="320" w:lineRule="atLeast"/>
              <w:ind w:left="60" w:right="60"/>
              <w:jc w:val="center"/>
              <w:rPr>
                <w:rFonts w:ascii="Bookman Old Style" w:hAnsi="Bookman Old Style" w:cs="Bookman Old Style"/>
                <w:b/>
                <w:sz w:val="24"/>
                <w:szCs w:val="24"/>
              </w:rPr>
            </w:pPr>
            <w:r>
              <w:rPr>
                <w:rFonts w:ascii="Times New Roman" w:hAnsi="Times New Roman" w:cs="Times New Roman"/>
                <w:b/>
                <w:sz w:val="24"/>
                <w:szCs w:val="24"/>
              </w:rPr>
              <w:t xml:space="preserve">Table </w:t>
            </w:r>
            <w:r>
              <w:rPr>
                <w:rFonts w:ascii="Times New Roman" w:hAnsi="Times New Roman" w:cs="Times New Roman"/>
                <w:b/>
                <w:sz w:val="24"/>
                <w:szCs w:val="24"/>
                <w:lang w:val="en-GB"/>
              </w:rPr>
              <w:t>1</w:t>
            </w:r>
            <w:r>
              <w:rPr>
                <w:rFonts w:ascii="Times New Roman" w:hAnsi="Times New Roman" w:cs="Times New Roman"/>
                <w:b/>
                <w:sz w:val="24"/>
                <w:szCs w:val="24"/>
              </w:rPr>
              <w:t>. Descriptive Statistics of Activeness of members in union</w:t>
            </w:r>
          </w:p>
        </w:tc>
      </w:tr>
      <w:tr w:rsidR="00BA3484">
        <w:trPr>
          <w:cantSplit/>
        </w:trPr>
        <w:tc>
          <w:tcPr>
            <w:tcW w:w="3105" w:type="dxa"/>
            <w:gridSpan w:val="2"/>
            <w:tcBorders>
              <w:top w:val="single" w:sz="16" w:space="0" w:color="000000"/>
              <w:left w:val="single" w:sz="16" w:space="0" w:color="000000"/>
              <w:bottom w:val="single" w:sz="16" w:space="0" w:color="000000"/>
              <w:right w:val="nil"/>
              <w:tl2br w:val="nil"/>
              <w:tr2bl w:val="nil"/>
            </w:tcBorders>
            <w:shd w:val="clear" w:color="auto" w:fill="FFFFFF"/>
            <w:noWrap/>
            <w:vAlign w:val="bottom"/>
          </w:tcPr>
          <w:p w:rsidR="00BA3484" w:rsidRDefault="00BA3484">
            <w:pPr>
              <w:rPr>
                <w:rFonts w:ascii="Times New Roman" w:hAnsi="Times New Roman" w:cs="Times New Roman"/>
                <w:sz w:val="18"/>
                <w:szCs w:val="18"/>
              </w:rPr>
            </w:pPr>
          </w:p>
        </w:tc>
        <w:tc>
          <w:tcPr>
            <w:tcW w:w="1155" w:type="dxa"/>
            <w:tcBorders>
              <w:top w:val="single" w:sz="16" w:space="0" w:color="000000"/>
              <w:left w:val="single" w:sz="16" w:space="0" w:color="000000"/>
              <w:bottom w:val="single" w:sz="16" w:space="0" w:color="000000"/>
              <w:right w:val="single" w:sz="8" w:space="0" w:color="000000"/>
              <w:tl2br w:val="nil"/>
              <w:tr2bl w:val="nil"/>
            </w:tcBorders>
            <w:shd w:val="clear" w:color="auto" w:fill="FFFFFF"/>
            <w:noWrap/>
            <w:vAlign w:val="bottom"/>
          </w:tcPr>
          <w:p w:rsidR="00BA3484" w:rsidRDefault="0049223D">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Frequency</w:t>
            </w:r>
          </w:p>
        </w:tc>
        <w:tc>
          <w:tcPr>
            <w:tcW w:w="1380" w:type="dxa"/>
            <w:tcBorders>
              <w:top w:val="single" w:sz="16" w:space="0" w:color="000000"/>
              <w:left w:val="single" w:sz="8" w:space="0" w:color="000000"/>
              <w:bottom w:val="single" w:sz="16" w:space="0" w:color="000000"/>
              <w:right w:val="single" w:sz="8" w:space="0" w:color="000000"/>
              <w:tl2br w:val="nil"/>
              <w:tr2bl w:val="nil"/>
            </w:tcBorders>
            <w:shd w:val="clear" w:color="auto" w:fill="FFFFFF"/>
            <w:noWrap/>
            <w:vAlign w:val="bottom"/>
          </w:tcPr>
          <w:p w:rsidR="00BA3484" w:rsidRDefault="0049223D">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Percent</w:t>
            </w:r>
          </w:p>
        </w:tc>
        <w:tc>
          <w:tcPr>
            <w:tcW w:w="900" w:type="dxa"/>
            <w:tcBorders>
              <w:top w:val="single" w:sz="16" w:space="0" w:color="000000"/>
              <w:left w:val="single" w:sz="8" w:space="0" w:color="000000"/>
              <w:bottom w:val="single" w:sz="16" w:space="0" w:color="000000"/>
              <w:right w:val="single" w:sz="8" w:space="0" w:color="000000"/>
              <w:tl2br w:val="nil"/>
              <w:tr2bl w:val="nil"/>
            </w:tcBorders>
            <w:shd w:val="clear" w:color="auto" w:fill="FFFFFF"/>
            <w:noWrap/>
            <w:vAlign w:val="bottom"/>
          </w:tcPr>
          <w:p w:rsidR="00BA3484" w:rsidRDefault="0049223D">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Valid Percent</w:t>
            </w:r>
          </w:p>
        </w:tc>
        <w:tc>
          <w:tcPr>
            <w:tcW w:w="2775" w:type="dxa"/>
            <w:tcBorders>
              <w:top w:val="single" w:sz="16" w:space="0" w:color="000000"/>
              <w:left w:val="single" w:sz="8" w:space="0" w:color="000000"/>
              <w:bottom w:val="single" w:sz="16" w:space="0" w:color="000000"/>
              <w:right w:val="single" w:sz="16" w:space="0" w:color="000000"/>
              <w:tl2br w:val="nil"/>
              <w:tr2bl w:val="nil"/>
            </w:tcBorders>
            <w:shd w:val="clear" w:color="auto" w:fill="FFFFFF"/>
            <w:noWrap/>
            <w:vAlign w:val="bottom"/>
          </w:tcPr>
          <w:p w:rsidR="00BA3484" w:rsidRDefault="0049223D">
            <w:pPr>
              <w:spacing w:line="320" w:lineRule="atLeast"/>
              <w:ind w:left="60" w:right="60"/>
              <w:jc w:val="center"/>
              <w:rPr>
                <w:rFonts w:ascii="Times New Roman" w:hAnsi="Times New Roman" w:cs="Times New Roman"/>
                <w:sz w:val="18"/>
                <w:szCs w:val="18"/>
              </w:rPr>
            </w:pPr>
            <w:r>
              <w:rPr>
                <w:rFonts w:ascii="Times New Roman" w:hAnsi="Times New Roman" w:cs="Times New Roman"/>
                <w:sz w:val="18"/>
                <w:szCs w:val="18"/>
              </w:rPr>
              <w:t>Cumulative Percent</w:t>
            </w:r>
          </w:p>
        </w:tc>
      </w:tr>
      <w:tr w:rsidR="00BA3484">
        <w:trPr>
          <w:cantSplit/>
        </w:trPr>
        <w:tc>
          <w:tcPr>
            <w:tcW w:w="737" w:type="dxa"/>
            <w:vMerge w:val="restart"/>
            <w:tcBorders>
              <w:top w:val="single" w:sz="16" w:space="0" w:color="000000"/>
              <w:left w:val="single" w:sz="16" w:space="0" w:color="000000"/>
              <w:bottom w:val="single" w:sz="16" w:space="0" w:color="000000"/>
              <w:right w:val="nil"/>
              <w:tl2br w:val="nil"/>
              <w:tr2bl w:val="nil"/>
            </w:tcBorders>
            <w:shd w:val="clear" w:color="auto" w:fill="FFFFFF"/>
            <w:noWrap/>
          </w:tcPr>
          <w:p w:rsidR="00BA3484" w:rsidRDefault="0049223D">
            <w:pPr>
              <w:spacing w:line="320" w:lineRule="atLeast"/>
              <w:ind w:left="60" w:right="60"/>
              <w:rPr>
                <w:rFonts w:ascii="Times New Roman" w:hAnsi="Times New Roman" w:cs="Times New Roman"/>
                <w:sz w:val="18"/>
                <w:szCs w:val="18"/>
              </w:rPr>
            </w:pPr>
            <w:r>
              <w:rPr>
                <w:rFonts w:ascii="Times New Roman" w:hAnsi="Times New Roman" w:cs="Times New Roman"/>
                <w:sz w:val="18"/>
                <w:szCs w:val="18"/>
              </w:rPr>
              <w:t>Valid</w:t>
            </w:r>
          </w:p>
        </w:tc>
        <w:tc>
          <w:tcPr>
            <w:tcW w:w="2368" w:type="dxa"/>
            <w:tcBorders>
              <w:top w:val="single" w:sz="16" w:space="0" w:color="000000"/>
              <w:left w:val="nil"/>
              <w:bottom w:val="nil"/>
              <w:right w:val="single" w:sz="16" w:space="0" w:color="000000"/>
              <w:tl2br w:val="nil"/>
              <w:tr2bl w:val="nil"/>
            </w:tcBorders>
            <w:shd w:val="clear" w:color="auto" w:fill="FFFFFF"/>
            <w:noWrap/>
          </w:tcPr>
          <w:p w:rsidR="00BA3484" w:rsidRDefault="0049223D">
            <w:pPr>
              <w:spacing w:line="320" w:lineRule="atLeast"/>
              <w:ind w:left="60" w:right="60"/>
              <w:rPr>
                <w:rFonts w:ascii="Times New Roman" w:hAnsi="Times New Roman" w:cs="Times New Roman"/>
                <w:sz w:val="18"/>
                <w:szCs w:val="18"/>
              </w:rPr>
            </w:pPr>
            <w:r>
              <w:rPr>
                <w:rFonts w:ascii="Times New Roman" w:hAnsi="Times New Roman" w:cs="Times New Roman"/>
                <w:sz w:val="18"/>
                <w:szCs w:val="18"/>
              </w:rPr>
              <w:t>Active Members</w:t>
            </w:r>
          </w:p>
        </w:tc>
        <w:tc>
          <w:tcPr>
            <w:tcW w:w="1155" w:type="dxa"/>
            <w:tcBorders>
              <w:top w:val="single" w:sz="16" w:space="0" w:color="000000"/>
              <w:left w:val="single" w:sz="16" w:space="0" w:color="000000"/>
              <w:bottom w:val="nil"/>
              <w:right w:val="single" w:sz="8" w:space="0" w:color="000000"/>
              <w:tl2br w:val="nil"/>
              <w:tr2bl w:val="nil"/>
            </w:tcBorders>
            <w:shd w:val="clear" w:color="auto" w:fill="FFFFFF"/>
            <w:noWrap/>
            <w:vAlign w:val="center"/>
          </w:tcPr>
          <w:p w:rsidR="00BA3484" w:rsidRDefault="0049223D">
            <w:pPr>
              <w:spacing w:line="320" w:lineRule="atLeast"/>
              <w:ind w:left="60" w:right="60"/>
              <w:jc w:val="right"/>
              <w:rPr>
                <w:rFonts w:ascii="Times New Roman" w:hAnsi="Times New Roman" w:cs="Times New Roman"/>
                <w:sz w:val="18"/>
                <w:szCs w:val="18"/>
              </w:rPr>
            </w:pPr>
            <w:r>
              <w:rPr>
                <w:rFonts w:ascii="Times New Roman" w:hAnsi="Times New Roman" w:cs="Times New Roman"/>
                <w:sz w:val="18"/>
                <w:szCs w:val="18"/>
              </w:rPr>
              <w:t>60</w:t>
            </w:r>
          </w:p>
        </w:tc>
        <w:tc>
          <w:tcPr>
            <w:tcW w:w="1380" w:type="dxa"/>
            <w:tcBorders>
              <w:top w:val="single" w:sz="16" w:space="0" w:color="000000"/>
              <w:left w:val="single" w:sz="8" w:space="0" w:color="000000"/>
              <w:bottom w:val="nil"/>
              <w:right w:val="single" w:sz="8" w:space="0" w:color="000000"/>
              <w:tl2br w:val="nil"/>
              <w:tr2bl w:val="nil"/>
            </w:tcBorders>
            <w:shd w:val="clear" w:color="auto" w:fill="FFFFFF"/>
            <w:noWrap/>
            <w:vAlign w:val="center"/>
          </w:tcPr>
          <w:p w:rsidR="00BA3484" w:rsidRDefault="0049223D">
            <w:pPr>
              <w:spacing w:line="320" w:lineRule="atLeast"/>
              <w:ind w:left="60" w:right="60"/>
              <w:jc w:val="right"/>
              <w:rPr>
                <w:rFonts w:ascii="Times New Roman" w:hAnsi="Times New Roman" w:cs="Times New Roman"/>
                <w:sz w:val="18"/>
                <w:szCs w:val="18"/>
              </w:rPr>
            </w:pPr>
            <w:r>
              <w:rPr>
                <w:rFonts w:ascii="Times New Roman" w:hAnsi="Times New Roman" w:cs="Times New Roman"/>
                <w:sz w:val="18"/>
                <w:szCs w:val="18"/>
              </w:rPr>
              <w:t>69.8</w:t>
            </w:r>
          </w:p>
        </w:tc>
        <w:tc>
          <w:tcPr>
            <w:tcW w:w="900" w:type="dxa"/>
            <w:tcBorders>
              <w:top w:val="single" w:sz="16" w:space="0" w:color="000000"/>
              <w:left w:val="single" w:sz="8" w:space="0" w:color="000000"/>
              <w:bottom w:val="nil"/>
              <w:right w:val="single" w:sz="8" w:space="0" w:color="000000"/>
              <w:tl2br w:val="nil"/>
              <w:tr2bl w:val="nil"/>
            </w:tcBorders>
            <w:shd w:val="clear" w:color="auto" w:fill="FFFFFF"/>
            <w:noWrap/>
            <w:vAlign w:val="center"/>
          </w:tcPr>
          <w:p w:rsidR="00BA3484" w:rsidRDefault="0049223D">
            <w:pPr>
              <w:spacing w:line="320" w:lineRule="atLeast"/>
              <w:ind w:left="60" w:right="60"/>
              <w:jc w:val="right"/>
              <w:rPr>
                <w:rFonts w:ascii="Times New Roman" w:hAnsi="Times New Roman" w:cs="Times New Roman"/>
                <w:sz w:val="18"/>
                <w:szCs w:val="18"/>
              </w:rPr>
            </w:pPr>
            <w:r>
              <w:rPr>
                <w:rFonts w:ascii="Times New Roman" w:hAnsi="Times New Roman" w:cs="Times New Roman"/>
                <w:sz w:val="18"/>
                <w:szCs w:val="18"/>
              </w:rPr>
              <w:t>69.8</w:t>
            </w:r>
          </w:p>
        </w:tc>
        <w:tc>
          <w:tcPr>
            <w:tcW w:w="2775" w:type="dxa"/>
            <w:tcBorders>
              <w:top w:val="single" w:sz="16" w:space="0" w:color="000000"/>
              <w:left w:val="single" w:sz="8" w:space="0" w:color="000000"/>
              <w:bottom w:val="nil"/>
              <w:right w:val="single" w:sz="16" w:space="0" w:color="000000"/>
              <w:tl2br w:val="nil"/>
              <w:tr2bl w:val="nil"/>
            </w:tcBorders>
            <w:shd w:val="clear" w:color="auto" w:fill="FFFFFF"/>
            <w:noWrap/>
            <w:vAlign w:val="center"/>
          </w:tcPr>
          <w:p w:rsidR="00BA3484" w:rsidRDefault="0049223D">
            <w:pPr>
              <w:spacing w:line="320" w:lineRule="atLeast"/>
              <w:ind w:left="60" w:right="60"/>
              <w:jc w:val="right"/>
              <w:rPr>
                <w:rFonts w:ascii="Times New Roman" w:hAnsi="Times New Roman" w:cs="Times New Roman"/>
                <w:sz w:val="18"/>
                <w:szCs w:val="18"/>
              </w:rPr>
            </w:pPr>
            <w:r>
              <w:rPr>
                <w:rFonts w:ascii="Times New Roman" w:hAnsi="Times New Roman" w:cs="Times New Roman"/>
                <w:sz w:val="18"/>
                <w:szCs w:val="18"/>
              </w:rPr>
              <w:t>69.8</w:t>
            </w:r>
          </w:p>
        </w:tc>
      </w:tr>
      <w:tr w:rsidR="00BA3484">
        <w:trPr>
          <w:cantSplit/>
        </w:trPr>
        <w:tc>
          <w:tcPr>
            <w:tcW w:w="737" w:type="dxa"/>
            <w:vMerge/>
            <w:tcBorders>
              <w:top w:val="single" w:sz="16" w:space="0" w:color="000000"/>
              <w:left w:val="single" w:sz="16" w:space="0" w:color="000000"/>
              <w:bottom w:val="single" w:sz="16" w:space="0" w:color="000000"/>
              <w:right w:val="nil"/>
              <w:tl2br w:val="nil"/>
              <w:tr2bl w:val="nil"/>
            </w:tcBorders>
            <w:shd w:val="clear" w:color="auto" w:fill="FFFFFF"/>
            <w:noWrap/>
          </w:tcPr>
          <w:p w:rsidR="00BA3484" w:rsidRDefault="00BA3484">
            <w:pPr>
              <w:rPr>
                <w:rFonts w:ascii="Times New Roman" w:hAnsi="Times New Roman" w:cs="Times New Roman"/>
                <w:sz w:val="18"/>
                <w:szCs w:val="18"/>
              </w:rPr>
            </w:pPr>
          </w:p>
        </w:tc>
        <w:tc>
          <w:tcPr>
            <w:tcW w:w="2368" w:type="dxa"/>
            <w:tcBorders>
              <w:top w:val="nil"/>
              <w:left w:val="nil"/>
              <w:bottom w:val="nil"/>
              <w:right w:val="single" w:sz="16" w:space="0" w:color="000000"/>
              <w:tl2br w:val="nil"/>
              <w:tr2bl w:val="nil"/>
            </w:tcBorders>
            <w:shd w:val="clear" w:color="auto" w:fill="FFFFFF"/>
            <w:noWrap/>
          </w:tcPr>
          <w:p w:rsidR="00BA3484" w:rsidRDefault="0049223D">
            <w:pPr>
              <w:spacing w:line="320" w:lineRule="atLeast"/>
              <w:ind w:left="60" w:right="60"/>
              <w:rPr>
                <w:rFonts w:ascii="Times New Roman" w:hAnsi="Times New Roman" w:cs="Times New Roman"/>
                <w:sz w:val="18"/>
                <w:szCs w:val="18"/>
              </w:rPr>
            </w:pPr>
            <w:r>
              <w:rPr>
                <w:rFonts w:ascii="Times New Roman" w:hAnsi="Times New Roman" w:cs="Times New Roman"/>
                <w:sz w:val="18"/>
                <w:szCs w:val="18"/>
              </w:rPr>
              <w:t>Non active  Members</w:t>
            </w:r>
          </w:p>
        </w:tc>
        <w:tc>
          <w:tcPr>
            <w:tcW w:w="1155" w:type="dxa"/>
            <w:tcBorders>
              <w:top w:val="nil"/>
              <w:left w:val="single" w:sz="16" w:space="0" w:color="000000"/>
              <w:bottom w:val="nil"/>
              <w:right w:val="single" w:sz="8" w:space="0" w:color="000000"/>
              <w:tl2br w:val="nil"/>
              <w:tr2bl w:val="nil"/>
            </w:tcBorders>
            <w:shd w:val="clear" w:color="auto" w:fill="FFFFFF"/>
            <w:noWrap/>
            <w:vAlign w:val="center"/>
          </w:tcPr>
          <w:p w:rsidR="00BA3484" w:rsidRDefault="0049223D">
            <w:pPr>
              <w:spacing w:line="320" w:lineRule="atLeast"/>
              <w:ind w:left="60" w:right="60"/>
              <w:jc w:val="right"/>
              <w:rPr>
                <w:rFonts w:ascii="Times New Roman" w:hAnsi="Times New Roman" w:cs="Times New Roman"/>
                <w:sz w:val="18"/>
                <w:szCs w:val="18"/>
              </w:rPr>
            </w:pPr>
            <w:r>
              <w:rPr>
                <w:rFonts w:ascii="Times New Roman" w:hAnsi="Times New Roman" w:cs="Times New Roman"/>
                <w:sz w:val="18"/>
                <w:szCs w:val="18"/>
              </w:rPr>
              <w:t>26</w:t>
            </w:r>
          </w:p>
        </w:tc>
        <w:tc>
          <w:tcPr>
            <w:tcW w:w="1380" w:type="dxa"/>
            <w:tcBorders>
              <w:top w:val="nil"/>
              <w:left w:val="single" w:sz="8" w:space="0" w:color="000000"/>
              <w:bottom w:val="nil"/>
              <w:right w:val="single" w:sz="8" w:space="0" w:color="000000"/>
              <w:tl2br w:val="nil"/>
              <w:tr2bl w:val="nil"/>
            </w:tcBorders>
            <w:shd w:val="clear" w:color="auto" w:fill="FFFFFF"/>
            <w:noWrap/>
            <w:vAlign w:val="center"/>
          </w:tcPr>
          <w:p w:rsidR="00BA3484" w:rsidRDefault="0049223D">
            <w:pPr>
              <w:spacing w:line="320" w:lineRule="atLeast"/>
              <w:ind w:left="60" w:right="60"/>
              <w:jc w:val="right"/>
              <w:rPr>
                <w:rFonts w:ascii="Times New Roman" w:hAnsi="Times New Roman" w:cs="Times New Roman"/>
                <w:sz w:val="18"/>
                <w:szCs w:val="18"/>
              </w:rPr>
            </w:pPr>
            <w:r>
              <w:rPr>
                <w:rFonts w:ascii="Times New Roman" w:hAnsi="Times New Roman" w:cs="Times New Roman"/>
                <w:sz w:val="18"/>
                <w:szCs w:val="18"/>
              </w:rPr>
              <w:t>30.2</w:t>
            </w:r>
          </w:p>
        </w:tc>
        <w:tc>
          <w:tcPr>
            <w:tcW w:w="900" w:type="dxa"/>
            <w:tcBorders>
              <w:top w:val="nil"/>
              <w:left w:val="single" w:sz="8" w:space="0" w:color="000000"/>
              <w:bottom w:val="nil"/>
              <w:right w:val="single" w:sz="8" w:space="0" w:color="000000"/>
              <w:tl2br w:val="nil"/>
              <w:tr2bl w:val="nil"/>
            </w:tcBorders>
            <w:shd w:val="clear" w:color="auto" w:fill="FFFFFF"/>
            <w:noWrap/>
            <w:vAlign w:val="center"/>
          </w:tcPr>
          <w:p w:rsidR="00BA3484" w:rsidRDefault="0049223D">
            <w:pPr>
              <w:spacing w:line="320" w:lineRule="atLeast"/>
              <w:ind w:left="60" w:right="60"/>
              <w:jc w:val="right"/>
              <w:rPr>
                <w:rFonts w:ascii="Times New Roman" w:hAnsi="Times New Roman" w:cs="Times New Roman"/>
                <w:sz w:val="18"/>
                <w:szCs w:val="18"/>
              </w:rPr>
            </w:pPr>
            <w:r>
              <w:rPr>
                <w:rFonts w:ascii="Times New Roman" w:hAnsi="Times New Roman" w:cs="Times New Roman"/>
                <w:sz w:val="18"/>
                <w:szCs w:val="18"/>
              </w:rPr>
              <w:t>30.2</w:t>
            </w:r>
          </w:p>
        </w:tc>
        <w:tc>
          <w:tcPr>
            <w:tcW w:w="2775" w:type="dxa"/>
            <w:tcBorders>
              <w:top w:val="nil"/>
              <w:left w:val="single" w:sz="8" w:space="0" w:color="000000"/>
              <w:bottom w:val="nil"/>
              <w:right w:val="single" w:sz="16" w:space="0" w:color="000000"/>
              <w:tl2br w:val="nil"/>
              <w:tr2bl w:val="nil"/>
            </w:tcBorders>
            <w:shd w:val="clear" w:color="auto" w:fill="FFFFFF"/>
            <w:noWrap/>
            <w:vAlign w:val="center"/>
          </w:tcPr>
          <w:p w:rsidR="00BA3484" w:rsidRDefault="0049223D">
            <w:pPr>
              <w:spacing w:line="320" w:lineRule="atLeast"/>
              <w:ind w:left="60" w:right="60"/>
              <w:jc w:val="right"/>
              <w:rPr>
                <w:rFonts w:ascii="Times New Roman" w:hAnsi="Times New Roman" w:cs="Times New Roman"/>
                <w:sz w:val="18"/>
                <w:szCs w:val="18"/>
              </w:rPr>
            </w:pPr>
            <w:r>
              <w:rPr>
                <w:rFonts w:ascii="Times New Roman" w:hAnsi="Times New Roman" w:cs="Times New Roman"/>
                <w:sz w:val="18"/>
                <w:szCs w:val="18"/>
              </w:rPr>
              <w:t>100.0</w:t>
            </w:r>
          </w:p>
        </w:tc>
      </w:tr>
      <w:tr w:rsidR="00BA3484">
        <w:trPr>
          <w:cantSplit/>
        </w:trPr>
        <w:tc>
          <w:tcPr>
            <w:tcW w:w="737" w:type="dxa"/>
            <w:vMerge/>
            <w:tcBorders>
              <w:top w:val="single" w:sz="16" w:space="0" w:color="000000"/>
              <w:left w:val="single" w:sz="16" w:space="0" w:color="000000"/>
              <w:bottom w:val="single" w:sz="16" w:space="0" w:color="000000"/>
              <w:right w:val="nil"/>
              <w:tl2br w:val="nil"/>
              <w:tr2bl w:val="nil"/>
            </w:tcBorders>
            <w:shd w:val="clear" w:color="auto" w:fill="FFFFFF"/>
            <w:noWrap/>
          </w:tcPr>
          <w:p w:rsidR="00BA3484" w:rsidRDefault="00BA3484">
            <w:pPr>
              <w:rPr>
                <w:rFonts w:ascii="Times New Roman" w:hAnsi="Times New Roman" w:cs="Times New Roman"/>
                <w:sz w:val="18"/>
                <w:szCs w:val="18"/>
              </w:rPr>
            </w:pPr>
          </w:p>
        </w:tc>
        <w:tc>
          <w:tcPr>
            <w:tcW w:w="2368" w:type="dxa"/>
            <w:tcBorders>
              <w:top w:val="nil"/>
              <w:left w:val="nil"/>
              <w:bottom w:val="single" w:sz="16" w:space="0" w:color="000000"/>
              <w:right w:val="single" w:sz="16" w:space="0" w:color="000000"/>
              <w:tl2br w:val="nil"/>
              <w:tr2bl w:val="nil"/>
            </w:tcBorders>
            <w:shd w:val="clear" w:color="auto" w:fill="FFFFFF"/>
            <w:noWrap/>
          </w:tcPr>
          <w:p w:rsidR="00BA3484" w:rsidRDefault="0049223D">
            <w:pPr>
              <w:spacing w:line="320" w:lineRule="atLeast"/>
              <w:ind w:left="60" w:right="60"/>
              <w:rPr>
                <w:rFonts w:ascii="Times New Roman" w:hAnsi="Times New Roman" w:cs="Times New Roman"/>
                <w:sz w:val="18"/>
                <w:szCs w:val="18"/>
              </w:rPr>
            </w:pPr>
            <w:r>
              <w:rPr>
                <w:rFonts w:ascii="Times New Roman" w:hAnsi="Times New Roman" w:cs="Times New Roman"/>
                <w:sz w:val="18"/>
                <w:szCs w:val="18"/>
              </w:rPr>
              <w:t>Total</w:t>
            </w:r>
          </w:p>
        </w:tc>
        <w:tc>
          <w:tcPr>
            <w:tcW w:w="1155" w:type="dxa"/>
            <w:tcBorders>
              <w:top w:val="nil"/>
              <w:left w:val="single" w:sz="16" w:space="0" w:color="000000"/>
              <w:bottom w:val="single" w:sz="16" w:space="0" w:color="000000"/>
              <w:right w:val="single" w:sz="8" w:space="0" w:color="000000"/>
              <w:tl2br w:val="nil"/>
              <w:tr2bl w:val="nil"/>
            </w:tcBorders>
            <w:shd w:val="clear" w:color="auto" w:fill="FFFFFF"/>
            <w:noWrap/>
            <w:vAlign w:val="center"/>
          </w:tcPr>
          <w:p w:rsidR="00BA3484" w:rsidRDefault="0049223D">
            <w:pPr>
              <w:spacing w:line="320" w:lineRule="atLeast"/>
              <w:ind w:left="60" w:right="60"/>
              <w:jc w:val="right"/>
              <w:rPr>
                <w:rFonts w:ascii="Times New Roman" w:hAnsi="Times New Roman" w:cs="Times New Roman"/>
                <w:sz w:val="18"/>
                <w:szCs w:val="18"/>
              </w:rPr>
            </w:pPr>
            <w:r>
              <w:rPr>
                <w:rFonts w:ascii="Times New Roman" w:hAnsi="Times New Roman" w:cs="Times New Roman"/>
                <w:sz w:val="18"/>
                <w:szCs w:val="18"/>
              </w:rPr>
              <w:t>86</w:t>
            </w:r>
          </w:p>
        </w:tc>
        <w:tc>
          <w:tcPr>
            <w:tcW w:w="1380" w:type="dxa"/>
            <w:tcBorders>
              <w:top w:val="nil"/>
              <w:left w:val="single" w:sz="8" w:space="0" w:color="000000"/>
              <w:bottom w:val="single" w:sz="16" w:space="0" w:color="000000"/>
              <w:right w:val="single" w:sz="8" w:space="0" w:color="000000"/>
              <w:tl2br w:val="nil"/>
              <w:tr2bl w:val="nil"/>
            </w:tcBorders>
            <w:shd w:val="clear" w:color="auto" w:fill="FFFFFF"/>
            <w:noWrap/>
            <w:vAlign w:val="center"/>
          </w:tcPr>
          <w:p w:rsidR="00BA3484" w:rsidRDefault="0049223D">
            <w:pPr>
              <w:spacing w:line="320" w:lineRule="atLeast"/>
              <w:ind w:left="60" w:right="60"/>
              <w:jc w:val="right"/>
              <w:rPr>
                <w:rFonts w:ascii="Times New Roman" w:hAnsi="Times New Roman" w:cs="Times New Roman"/>
                <w:sz w:val="18"/>
                <w:szCs w:val="18"/>
              </w:rPr>
            </w:pPr>
            <w:r>
              <w:rPr>
                <w:rFonts w:ascii="Times New Roman" w:hAnsi="Times New Roman" w:cs="Times New Roman"/>
                <w:sz w:val="18"/>
                <w:szCs w:val="18"/>
              </w:rPr>
              <w:t>100.0</w:t>
            </w:r>
          </w:p>
        </w:tc>
        <w:tc>
          <w:tcPr>
            <w:tcW w:w="900" w:type="dxa"/>
            <w:tcBorders>
              <w:top w:val="nil"/>
              <w:left w:val="single" w:sz="8" w:space="0" w:color="000000"/>
              <w:bottom w:val="single" w:sz="16" w:space="0" w:color="000000"/>
              <w:right w:val="single" w:sz="8" w:space="0" w:color="000000"/>
              <w:tl2br w:val="nil"/>
              <w:tr2bl w:val="nil"/>
            </w:tcBorders>
            <w:shd w:val="clear" w:color="auto" w:fill="FFFFFF"/>
            <w:noWrap/>
            <w:vAlign w:val="center"/>
          </w:tcPr>
          <w:p w:rsidR="00BA3484" w:rsidRDefault="0049223D">
            <w:pPr>
              <w:spacing w:line="320" w:lineRule="atLeast"/>
              <w:ind w:left="60" w:right="60"/>
              <w:jc w:val="right"/>
              <w:rPr>
                <w:rFonts w:ascii="Times New Roman" w:hAnsi="Times New Roman" w:cs="Times New Roman"/>
                <w:sz w:val="18"/>
                <w:szCs w:val="18"/>
              </w:rPr>
            </w:pPr>
            <w:r>
              <w:rPr>
                <w:rFonts w:ascii="Times New Roman" w:hAnsi="Times New Roman" w:cs="Times New Roman"/>
                <w:sz w:val="18"/>
                <w:szCs w:val="18"/>
              </w:rPr>
              <w:t>100.0</w:t>
            </w:r>
          </w:p>
        </w:tc>
        <w:tc>
          <w:tcPr>
            <w:tcW w:w="2775" w:type="dxa"/>
            <w:tcBorders>
              <w:top w:val="nil"/>
              <w:left w:val="single" w:sz="8" w:space="0" w:color="000000"/>
              <w:bottom w:val="single" w:sz="16" w:space="0" w:color="000000"/>
              <w:right w:val="single" w:sz="16" w:space="0" w:color="000000"/>
              <w:tl2br w:val="nil"/>
              <w:tr2bl w:val="nil"/>
            </w:tcBorders>
            <w:shd w:val="clear" w:color="auto" w:fill="FFFFFF"/>
            <w:noWrap/>
            <w:vAlign w:val="center"/>
          </w:tcPr>
          <w:p w:rsidR="00BA3484" w:rsidRDefault="00BA3484">
            <w:pPr>
              <w:rPr>
                <w:rFonts w:ascii="Times New Roman" w:hAnsi="Times New Roman" w:cs="Times New Roman"/>
                <w:sz w:val="18"/>
                <w:szCs w:val="18"/>
              </w:rPr>
            </w:pPr>
          </w:p>
        </w:tc>
      </w:tr>
    </w:tbl>
    <w:p w:rsidR="00BA3484" w:rsidRDefault="0049223D">
      <w:pPr>
        <w:tabs>
          <w:tab w:val="left" w:pos="709"/>
        </w:tabs>
        <w:spacing w:line="240" w:lineRule="auto"/>
        <w:jc w:val="both"/>
        <w:rPr>
          <w:rFonts w:ascii="Times New Roman" w:hAnsi="Times New Roman" w:cs="Times New Roman"/>
          <w:b/>
          <w:bCs/>
          <w:i/>
          <w:sz w:val="24"/>
          <w:szCs w:val="24"/>
          <w:lang w:val="en-GB"/>
        </w:rPr>
      </w:pPr>
      <w:r>
        <w:rPr>
          <w:rFonts w:ascii="Times New Roman" w:hAnsi="Times New Roman" w:cs="Times New Roman"/>
          <w:b/>
          <w:bCs/>
          <w:i/>
          <w:sz w:val="24"/>
          <w:szCs w:val="24"/>
          <w:lang w:val="en-GB"/>
        </w:rPr>
        <w:t>Source: Researcher’s Analysis 2024</w:t>
      </w:r>
    </w:p>
    <w:p w:rsidR="00BA3484" w:rsidRDefault="0049223D">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model summary indicate </w:t>
      </w:r>
      <w:r>
        <w:rPr>
          <w:rFonts w:ascii="Times New Roman" w:hAnsi="Times New Roman" w:cs="Times New Roman"/>
          <w:sz w:val="24"/>
          <w:szCs w:val="24"/>
        </w:rPr>
        <w:t xml:space="preserve">R (.269) </w:t>
      </w:r>
      <w:r>
        <w:rPr>
          <w:rFonts w:ascii="Times New Roman" w:hAnsi="Times New Roman" w:cs="Times New Roman"/>
          <w:sz w:val="24"/>
          <w:szCs w:val="24"/>
          <w:lang w:val="en-GB"/>
        </w:rPr>
        <w:t xml:space="preserve">indicating a weak relationship </w:t>
      </w:r>
      <w:r>
        <w:rPr>
          <w:rFonts w:ascii="Times New Roman" w:hAnsi="Times New Roman" w:cs="Times New Roman"/>
          <w:sz w:val="24"/>
          <w:szCs w:val="24"/>
        </w:rPr>
        <w:t>between perception of workplace and industrial conflict and activeness of members in union</w:t>
      </w:r>
      <w:r>
        <w:rPr>
          <w:rFonts w:ascii="Times New Roman" w:hAnsi="Times New Roman" w:cs="Times New Roman"/>
          <w:sz w:val="24"/>
          <w:szCs w:val="24"/>
          <w:lang w:val="en-GB"/>
        </w:rPr>
        <w:t xml:space="preserve">s. </w:t>
      </w:r>
      <w:r>
        <w:rPr>
          <w:rFonts w:ascii="Times New Roman" w:hAnsi="Times New Roman" w:cs="Times New Roman"/>
          <w:sz w:val="24"/>
          <w:szCs w:val="24"/>
        </w:rPr>
        <w:t xml:space="preserve">Also, R square </w:t>
      </w:r>
      <w:r>
        <w:rPr>
          <w:rFonts w:ascii="Times New Roman" w:hAnsi="Times New Roman" w:cs="Times New Roman"/>
          <w:sz w:val="24"/>
          <w:szCs w:val="24"/>
          <w:lang w:val="en-GB"/>
        </w:rPr>
        <w:t xml:space="preserve">which is </w:t>
      </w:r>
      <w:r>
        <w:rPr>
          <w:rFonts w:ascii="Times New Roman" w:hAnsi="Times New Roman" w:cs="Times New Roman"/>
          <w:sz w:val="24"/>
          <w:szCs w:val="24"/>
        </w:rPr>
        <w:t xml:space="preserve">the proportion of variance in the dependent variable </w:t>
      </w:r>
      <w:r w:rsidR="009B1DFD">
        <w:rPr>
          <w:rFonts w:ascii="Times New Roman" w:hAnsi="Times New Roman" w:cs="Times New Roman"/>
          <w:sz w:val="24"/>
          <w:szCs w:val="24"/>
        </w:rPr>
        <w:t>predictable</w:t>
      </w:r>
      <w:r>
        <w:rPr>
          <w:rFonts w:ascii="Times New Roman" w:hAnsi="Times New Roman" w:cs="Times New Roman"/>
          <w:sz w:val="24"/>
          <w:szCs w:val="24"/>
        </w:rPr>
        <w:t xml:space="preserve"> from the independent variable</w:t>
      </w:r>
      <w:r>
        <w:rPr>
          <w:rFonts w:ascii="Times New Roman" w:hAnsi="Times New Roman" w:cs="Times New Roman"/>
          <w:sz w:val="24"/>
          <w:szCs w:val="24"/>
          <w:lang w:val="en-GB"/>
        </w:rPr>
        <w:t xml:space="preserve"> was .072</w:t>
      </w:r>
      <w:r>
        <w:rPr>
          <w:rFonts w:ascii="Times New Roman" w:hAnsi="Times New Roman" w:cs="Times New Roman"/>
          <w:sz w:val="24"/>
          <w:szCs w:val="24"/>
        </w:rPr>
        <w:t xml:space="preserve">. This </w:t>
      </w:r>
      <w:r>
        <w:rPr>
          <w:rFonts w:ascii="Times New Roman" w:hAnsi="Times New Roman" w:cs="Times New Roman"/>
          <w:sz w:val="24"/>
          <w:szCs w:val="24"/>
          <w:lang w:val="en-GB"/>
        </w:rPr>
        <w:t xml:space="preserve">implied that </w:t>
      </w:r>
      <w:r>
        <w:rPr>
          <w:rFonts w:ascii="Times New Roman" w:hAnsi="Times New Roman" w:cs="Times New Roman"/>
          <w:sz w:val="24"/>
          <w:szCs w:val="24"/>
        </w:rPr>
        <w:t>the independent variable</w:t>
      </w:r>
      <w:r w:rsidR="009B1DFD">
        <w:rPr>
          <w:rFonts w:ascii="Times New Roman" w:hAnsi="Times New Roman" w:cs="Times New Roman"/>
          <w:sz w:val="24"/>
          <w:szCs w:val="24"/>
        </w:rPr>
        <w:t xml:space="preserve"> </w:t>
      </w:r>
      <w:r>
        <w:rPr>
          <w:rFonts w:ascii="Times New Roman" w:hAnsi="Times New Roman" w:cs="Times New Roman"/>
          <w:sz w:val="24"/>
          <w:szCs w:val="24"/>
        </w:rPr>
        <w:t>could only explain or account for about 7.2% of the variance in the dependent variable (activeness of members in union)</w:t>
      </w:r>
      <w:r>
        <w:rPr>
          <w:rFonts w:ascii="Times New Roman" w:hAnsi="Times New Roman" w:cs="Times New Roman"/>
          <w:sz w:val="24"/>
          <w:szCs w:val="24"/>
          <w:lang w:val="en-GB"/>
        </w:rPr>
        <w:t xml:space="preserve">. The remaining </w:t>
      </w:r>
      <w:r>
        <w:rPr>
          <w:rFonts w:ascii="Times New Roman" w:hAnsi="Times New Roman" w:cs="Times New Roman"/>
          <w:sz w:val="24"/>
          <w:szCs w:val="24"/>
        </w:rPr>
        <w:t xml:space="preserve">92.8% </w:t>
      </w:r>
      <w:r>
        <w:rPr>
          <w:rFonts w:ascii="Times New Roman" w:hAnsi="Times New Roman" w:cs="Times New Roman"/>
          <w:sz w:val="24"/>
          <w:szCs w:val="24"/>
          <w:lang w:val="en-GB"/>
        </w:rPr>
        <w:t>were unexplained by t</w:t>
      </w:r>
      <w:r>
        <w:rPr>
          <w:rFonts w:ascii="Times New Roman" w:hAnsi="Times New Roman" w:cs="Times New Roman"/>
          <w:sz w:val="24"/>
          <w:szCs w:val="24"/>
        </w:rPr>
        <w:t>he model.</w:t>
      </w:r>
      <w:r>
        <w:rPr>
          <w:rFonts w:ascii="Times New Roman" w:hAnsi="Times New Roman" w:cs="Times New Roman"/>
          <w:sz w:val="24"/>
          <w:szCs w:val="24"/>
          <w:lang w:val="en-GB"/>
        </w:rPr>
        <w:t xml:space="preserve"> Inferential statistics of ANOVA for the above hypothesis generated the results shown in table 2. </w:t>
      </w:r>
    </w:p>
    <w:p w:rsidR="00BA3484" w:rsidRDefault="00BA3484">
      <w:pPr>
        <w:spacing w:line="360" w:lineRule="auto"/>
        <w:jc w:val="both"/>
        <w:rPr>
          <w:rFonts w:ascii="Times New Roman" w:hAnsi="Times New Roman" w:cs="Times New Roman"/>
          <w:sz w:val="24"/>
          <w:szCs w:val="24"/>
          <w:lang w:val="en-GB"/>
        </w:rPr>
      </w:pPr>
    </w:p>
    <w:p w:rsidR="00BA3484" w:rsidRDefault="00BA3484">
      <w:pPr>
        <w:spacing w:line="360" w:lineRule="auto"/>
        <w:jc w:val="both"/>
        <w:rPr>
          <w:rFonts w:ascii="Times New Roman" w:hAnsi="Times New Roman" w:cs="Times New Roman"/>
          <w:sz w:val="24"/>
          <w:szCs w:val="24"/>
          <w:lang w:val="en-GB"/>
        </w:rPr>
      </w:pPr>
    </w:p>
    <w:p w:rsidR="00BA3484" w:rsidRDefault="00BA3484">
      <w:pPr>
        <w:spacing w:line="360" w:lineRule="auto"/>
        <w:jc w:val="both"/>
        <w:rPr>
          <w:rFonts w:ascii="Times New Roman" w:hAnsi="Times New Roman" w:cs="Times New Roman"/>
          <w:sz w:val="24"/>
          <w:szCs w:val="24"/>
          <w:lang w:val="en-GB"/>
        </w:rPr>
      </w:pPr>
    </w:p>
    <w:p w:rsidR="00BA3484" w:rsidRDefault="0049223D">
      <w:pPr>
        <w:spacing w:line="400" w:lineRule="atLeast"/>
        <w:jc w:val="center"/>
        <w:rPr>
          <w:rFonts w:ascii="Bookman Old Style" w:eastAsia="Times New Roman" w:hAnsi="Bookman Old Style" w:cs="Bookman Old Style"/>
          <w:sz w:val="24"/>
          <w:szCs w:val="24"/>
        </w:rPr>
      </w:pPr>
      <w:r>
        <w:rPr>
          <w:rFonts w:ascii="Times New Roman" w:hAnsi="Times New Roman" w:cs="Times New Roman"/>
          <w:b/>
          <w:sz w:val="24"/>
          <w:szCs w:val="24"/>
        </w:rPr>
        <w:lastRenderedPageBreak/>
        <w:t xml:space="preserve">Table </w:t>
      </w:r>
      <w:r>
        <w:rPr>
          <w:rFonts w:ascii="Times New Roman" w:hAnsi="Times New Roman" w:cs="Times New Roman"/>
          <w:b/>
          <w:sz w:val="24"/>
          <w:szCs w:val="24"/>
          <w:lang w:val="en-GB"/>
        </w:rPr>
        <w:t>2</w:t>
      </w:r>
      <w:r>
        <w:rPr>
          <w:rFonts w:ascii="Times New Roman" w:hAnsi="Times New Roman" w:cs="Times New Roman"/>
          <w:b/>
          <w:sz w:val="24"/>
          <w:szCs w:val="24"/>
        </w:rPr>
        <w:t>. ANOVA</w:t>
      </w:r>
      <w:r>
        <w:rPr>
          <w:rFonts w:ascii="Times New Roman" w:hAnsi="Times New Roman" w:cs="Times New Roman"/>
          <w:b/>
          <w:sz w:val="24"/>
          <w:szCs w:val="24"/>
          <w:vertAlign w:val="superscript"/>
        </w:rPr>
        <w:t>a</w:t>
      </w:r>
    </w:p>
    <w:tbl>
      <w:tblPr>
        <w:tblW w:w="0" w:type="auto"/>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96"/>
      </w:tblGrid>
      <w:tr w:rsidR="00BA3484">
        <w:trPr>
          <w:trHeight w:val="776"/>
        </w:trPr>
        <w:tc>
          <w:tcPr>
            <w:tcW w:w="9180" w:type="dxa"/>
            <w:tcBorders>
              <w:left w:val="nil"/>
              <w:right w:val="nil"/>
            </w:tcBorders>
          </w:tcPr>
          <w:p w:rsidR="00BA3484" w:rsidRDefault="00BA3484">
            <w:pPr>
              <w:rPr>
                <w:rFonts w:ascii="Times New Roman" w:hAnsi="Times New Roman" w:cs="Times New Roman"/>
                <w:sz w:val="18"/>
                <w:szCs w:val="18"/>
              </w:rPr>
            </w:pPr>
          </w:p>
          <w:p w:rsidR="00BA3484" w:rsidRDefault="0049223D">
            <w:pPr>
              <w:rPr>
                <w:rFonts w:ascii="Times New Roman" w:hAnsi="Times New Roman" w:cs="Times New Roman"/>
                <w:sz w:val="18"/>
                <w:szCs w:val="18"/>
              </w:rPr>
            </w:pPr>
            <w:r>
              <w:rPr>
                <w:rFonts w:ascii="Times New Roman" w:hAnsi="Times New Roman" w:cs="Times New Roman"/>
                <w:sz w:val="18"/>
                <w:szCs w:val="18"/>
              </w:rPr>
              <w:t>Model                       Sum of Squares       df        Mean Square      F        Sig.        Decision</w:t>
            </w:r>
          </w:p>
        </w:tc>
      </w:tr>
      <w:tr w:rsidR="00BA3484">
        <w:trPr>
          <w:trHeight w:val="765"/>
        </w:trPr>
        <w:tc>
          <w:tcPr>
            <w:tcW w:w="9180" w:type="dxa"/>
            <w:tcBorders>
              <w:left w:val="nil"/>
              <w:right w:val="nil"/>
            </w:tcBorders>
          </w:tcPr>
          <w:p w:rsidR="00BA3484" w:rsidRDefault="0049223D">
            <w:pPr>
              <w:rPr>
                <w:rFonts w:ascii="Times New Roman" w:hAnsi="Times New Roman" w:cs="Times New Roman"/>
                <w:sz w:val="18"/>
                <w:szCs w:val="18"/>
                <w:lang w:val="en-GB"/>
              </w:rPr>
            </w:pPr>
            <w:r>
              <w:rPr>
                <w:rFonts w:ascii="Times New Roman" w:hAnsi="Times New Roman" w:cs="Times New Roman"/>
                <w:sz w:val="18"/>
                <w:szCs w:val="18"/>
              </w:rPr>
              <w:t xml:space="preserve">  1       Regression        .341                        1              .341                       6.565                  .012</w:t>
            </w:r>
            <w:r>
              <w:rPr>
                <w:rFonts w:ascii="Times New Roman" w:hAnsi="Times New Roman" w:cs="Times New Roman"/>
                <w:sz w:val="18"/>
                <w:szCs w:val="18"/>
                <w:vertAlign w:val="superscript"/>
              </w:rPr>
              <w:t>b</w:t>
            </w:r>
            <w:r>
              <w:rPr>
                <w:rFonts w:ascii="Times New Roman" w:hAnsi="Times New Roman" w:cs="Times New Roman"/>
                <w:sz w:val="18"/>
                <w:szCs w:val="18"/>
              </w:rPr>
              <w:t xml:space="preserve">Ho </w:t>
            </w:r>
            <w:r>
              <w:rPr>
                <w:rFonts w:ascii="Times New Roman" w:hAnsi="Times New Roman" w:cs="Times New Roman"/>
                <w:sz w:val="18"/>
                <w:szCs w:val="18"/>
                <w:lang w:val="en-GB"/>
              </w:rPr>
              <w:t xml:space="preserve">Rejected </w:t>
            </w:r>
          </w:p>
          <w:p w:rsidR="00BA3484" w:rsidRDefault="0049223D">
            <w:pPr>
              <w:rPr>
                <w:rFonts w:ascii="Times New Roman" w:hAnsi="Times New Roman" w:cs="Times New Roman"/>
                <w:sz w:val="18"/>
                <w:szCs w:val="18"/>
              </w:rPr>
            </w:pPr>
            <w:r>
              <w:rPr>
                <w:rFonts w:ascii="Times New Roman" w:hAnsi="Times New Roman" w:cs="Times New Roman"/>
                <w:sz w:val="18"/>
                <w:szCs w:val="18"/>
              </w:rPr>
              <w:t xml:space="preserve">           Residual             4.368                       84             .052</w:t>
            </w:r>
          </w:p>
          <w:p w:rsidR="00BA3484" w:rsidRDefault="0049223D">
            <w:pPr>
              <w:rPr>
                <w:rFonts w:ascii="Times New Roman" w:hAnsi="Times New Roman" w:cs="Times New Roman"/>
                <w:sz w:val="18"/>
                <w:szCs w:val="18"/>
              </w:rPr>
            </w:pPr>
            <w:r>
              <w:rPr>
                <w:rFonts w:ascii="Times New Roman" w:hAnsi="Times New Roman" w:cs="Times New Roman"/>
                <w:sz w:val="18"/>
                <w:szCs w:val="18"/>
              </w:rPr>
              <w:t xml:space="preserve">           Total               4.709                       85</w:t>
            </w:r>
          </w:p>
        </w:tc>
      </w:tr>
      <w:tr w:rsidR="00BA3484">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PrEx>
        <w:trPr>
          <w:cantSplit/>
        </w:trPr>
        <w:tc>
          <w:tcPr>
            <w:tcW w:w="9180" w:type="dxa"/>
            <w:tcBorders>
              <w:top w:val="nil"/>
              <w:left w:val="nil"/>
              <w:bottom w:val="nil"/>
              <w:right w:val="nil"/>
              <w:tl2br w:val="nil"/>
              <w:tr2bl w:val="nil"/>
            </w:tcBorders>
            <w:shd w:val="clear" w:color="auto" w:fill="FFFFFF"/>
            <w:noWrap/>
          </w:tcPr>
          <w:p w:rsidR="00BA3484" w:rsidRDefault="0049223D">
            <w:pPr>
              <w:spacing w:line="320" w:lineRule="atLeast"/>
              <w:ind w:left="60" w:right="60"/>
              <w:rPr>
                <w:rFonts w:ascii="Times New Roman" w:hAnsi="Times New Roman" w:cs="Times New Roman"/>
                <w:sz w:val="18"/>
                <w:szCs w:val="18"/>
              </w:rPr>
            </w:pPr>
            <w:r>
              <w:rPr>
                <w:rFonts w:ascii="Times New Roman" w:hAnsi="Times New Roman" w:cs="Times New Roman"/>
                <w:sz w:val="18"/>
                <w:szCs w:val="18"/>
              </w:rPr>
              <w:t>a. Dependent Variable: Are you a union member</w:t>
            </w:r>
          </w:p>
        </w:tc>
      </w:tr>
      <w:tr w:rsidR="00BA3484">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PrEx>
        <w:trPr>
          <w:cantSplit/>
        </w:trPr>
        <w:tc>
          <w:tcPr>
            <w:tcW w:w="9180" w:type="dxa"/>
            <w:tcBorders>
              <w:top w:val="nil"/>
              <w:left w:val="nil"/>
              <w:bottom w:val="nil"/>
              <w:right w:val="nil"/>
              <w:tl2br w:val="nil"/>
              <w:tr2bl w:val="nil"/>
            </w:tcBorders>
            <w:shd w:val="clear" w:color="auto" w:fill="FFFFFF"/>
            <w:noWrap/>
          </w:tcPr>
          <w:p w:rsidR="00BA3484" w:rsidRDefault="0049223D">
            <w:pPr>
              <w:spacing w:line="320" w:lineRule="atLeast"/>
              <w:ind w:left="60" w:right="60"/>
              <w:rPr>
                <w:rFonts w:ascii="Times New Roman" w:hAnsi="Times New Roman" w:cs="Times New Roman"/>
                <w:sz w:val="18"/>
                <w:szCs w:val="18"/>
              </w:rPr>
            </w:pPr>
            <w:r>
              <w:rPr>
                <w:rFonts w:ascii="Times New Roman" w:hAnsi="Times New Roman" w:cs="Times New Roman"/>
                <w:sz w:val="18"/>
                <w:szCs w:val="18"/>
              </w:rPr>
              <w:t>b. Predictors: (Constant), Activeness of members</w:t>
            </w:r>
          </w:p>
        </w:tc>
      </w:tr>
    </w:tbl>
    <w:p w:rsidR="00BA3484" w:rsidRDefault="0049223D">
      <w:pPr>
        <w:spacing w:line="240" w:lineRule="auto"/>
        <w:jc w:val="both"/>
        <w:rPr>
          <w:rFonts w:ascii="Times New Roman" w:eastAsia="Times New Roman" w:hAnsi="Times New Roman" w:cs="Times New Roman"/>
          <w:b/>
          <w:bCs/>
          <w:i/>
          <w:iCs/>
          <w:sz w:val="24"/>
          <w:szCs w:val="24"/>
          <w:lang w:val="en-GB"/>
        </w:rPr>
      </w:pPr>
      <w:r>
        <w:rPr>
          <w:rFonts w:ascii="Times New Roman" w:eastAsia="Times New Roman" w:hAnsi="Times New Roman" w:cs="Times New Roman"/>
          <w:b/>
          <w:bCs/>
          <w:i/>
          <w:iCs/>
          <w:sz w:val="24"/>
          <w:szCs w:val="24"/>
          <w:lang w:val="en-GB"/>
        </w:rPr>
        <w:t>Source: Researcher’s Analysis, 2024</w:t>
      </w:r>
    </w:p>
    <w:p w:rsidR="00BA3484" w:rsidRDefault="0049223D">
      <w:pPr>
        <w:spacing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 xml:space="preserve">Table </w:t>
      </w:r>
      <w:r>
        <w:rPr>
          <w:rFonts w:ascii="Times New Roman" w:hAnsi="Times New Roman" w:cs="Times New Roman"/>
          <w:sz w:val="24"/>
          <w:szCs w:val="24"/>
          <w:lang w:val="en-GB"/>
        </w:rPr>
        <w:t>2</w:t>
      </w:r>
      <w:r>
        <w:rPr>
          <w:rFonts w:ascii="Times New Roman" w:hAnsi="Times New Roman" w:cs="Times New Roman"/>
          <w:sz w:val="24"/>
          <w:szCs w:val="24"/>
        </w:rPr>
        <w:t xml:space="preserve"> shows F-value of 6.565 with a significance value of .012</w:t>
      </w:r>
      <w:r>
        <w:rPr>
          <w:rFonts w:ascii="Times New Roman" w:hAnsi="Times New Roman" w:cs="Times New Roman"/>
          <w:sz w:val="24"/>
          <w:szCs w:val="24"/>
          <w:lang w:val="en-GB"/>
        </w:rPr>
        <w:t xml:space="preserve">which </w:t>
      </w:r>
      <w:r>
        <w:rPr>
          <w:rFonts w:ascii="Times New Roman" w:hAnsi="Times New Roman" w:cs="Times New Roman"/>
          <w:sz w:val="24"/>
          <w:szCs w:val="24"/>
        </w:rPr>
        <w:t xml:space="preserve">is greater than of 0.05 alpha level with a 1 and 84 degrees of freedom. </w:t>
      </w:r>
      <w:r>
        <w:rPr>
          <w:rFonts w:ascii="Times New Roman" w:hAnsi="Times New Roman" w:cs="Times New Roman"/>
          <w:sz w:val="24"/>
          <w:szCs w:val="24"/>
          <w:lang w:val="en-GB"/>
        </w:rPr>
        <w:t xml:space="preserve">This supports the </w:t>
      </w:r>
      <w:r>
        <w:rPr>
          <w:rFonts w:ascii="Times New Roman" w:hAnsi="Times New Roman" w:cs="Times New Roman"/>
          <w:sz w:val="24"/>
          <w:szCs w:val="24"/>
        </w:rPr>
        <w:t>reject</w:t>
      </w:r>
      <w:r>
        <w:rPr>
          <w:rFonts w:ascii="Times New Roman" w:hAnsi="Times New Roman" w:cs="Times New Roman"/>
          <w:sz w:val="24"/>
          <w:szCs w:val="24"/>
          <w:lang w:val="en-GB"/>
        </w:rPr>
        <w:t xml:space="preserve">ion of the </w:t>
      </w:r>
      <w:r>
        <w:rPr>
          <w:rFonts w:ascii="Times New Roman" w:hAnsi="Times New Roman" w:cs="Times New Roman"/>
          <w:sz w:val="24"/>
          <w:szCs w:val="24"/>
        </w:rPr>
        <w:t xml:space="preserve">null hypothesis and </w:t>
      </w:r>
      <w:r>
        <w:rPr>
          <w:rFonts w:ascii="Times New Roman" w:hAnsi="Times New Roman" w:cs="Times New Roman"/>
          <w:sz w:val="24"/>
          <w:szCs w:val="24"/>
          <w:lang w:val="en-GB"/>
        </w:rPr>
        <w:t xml:space="preserve">acceptance of </w:t>
      </w:r>
      <w:r>
        <w:rPr>
          <w:rFonts w:ascii="Times New Roman" w:hAnsi="Times New Roman" w:cs="Times New Roman"/>
          <w:i/>
          <w:iCs/>
          <w:sz w:val="24"/>
          <w:szCs w:val="24"/>
          <w:lang w:val="en-GB"/>
        </w:rPr>
        <w:t>H</w:t>
      </w:r>
      <w:r>
        <w:rPr>
          <w:rFonts w:ascii="Times New Roman" w:hAnsi="Times New Roman" w:cs="Times New Roman"/>
          <w:i/>
          <w:iCs/>
          <w:sz w:val="24"/>
          <w:szCs w:val="24"/>
          <w:vertAlign w:val="subscript"/>
          <w:lang w:val="en-GB"/>
        </w:rPr>
        <w:t xml:space="preserve">o1a </w:t>
      </w:r>
      <w:r>
        <w:rPr>
          <w:rFonts w:ascii="Times New Roman" w:hAnsi="Times New Roman" w:cs="Times New Roman"/>
          <w:sz w:val="24"/>
          <w:szCs w:val="24"/>
          <w:lang w:val="en-GB"/>
        </w:rPr>
        <w:t xml:space="preserve">that </w:t>
      </w:r>
      <w:r>
        <w:rPr>
          <w:rFonts w:ascii="Times New Roman" w:hAnsi="Times New Roman" w:cs="Times New Roman"/>
          <w:sz w:val="24"/>
          <w:szCs w:val="24"/>
        </w:rPr>
        <w:t>perception of workplace and industrial conflict by union members significantly differbased on activeness in union</w:t>
      </w:r>
      <w:r>
        <w:rPr>
          <w:rFonts w:ascii="Times New Roman" w:hAnsi="Times New Roman" w:cs="Times New Roman"/>
          <w:sz w:val="24"/>
          <w:szCs w:val="24"/>
          <w:lang w:val="en-GB"/>
        </w:rPr>
        <w:t xml:space="preserve"> by workers. </w:t>
      </w:r>
    </w:p>
    <w:p w:rsidR="00BA3484" w:rsidRDefault="0049223D">
      <w:pPr>
        <w:spacing w:line="360" w:lineRule="auto"/>
        <w:ind w:left="60" w:right="6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Table 3 shows the results of test of hypothesis 2 which is  </w:t>
      </w:r>
    </w:p>
    <w:p w:rsidR="00BA3484" w:rsidRDefault="0049223D">
      <w:pPr>
        <w:spacing w:line="360" w:lineRule="auto"/>
        <w:ind w:left="60" w:right="60"/>
        <w:jc w:val="both"/>
        <w:rPr>
          <w:rFonts w:ascii="Times New Roman" w:hAnsi="Times New Roman" w:cs="Times New Roman"/>
          <w:i/>
          <w:iCs/>
          <w:sz w:val="24"/>
          <w:szCs w:val="24"/>
          <w:lang w:val="en-GB"/>
        </w:rPr>
      </w:pPr>
      <w:r>
        <w:rPr>
          <w:rFonts w:ascii="Times New Roman" w:hAnsi="Times New Roman" w:cs="Times New Roman"/>
          <w:b/>
          <w:bCs/>
          <w:sz w:val="24"/>
          <w:szCs w:val="24"/>
          <w:lang w:val="en-GB"/>
        </w:rPr>
        <w:t>H</w:t>
      </w:r>
      <w:r>
        <w:rPr>
          <w:rFonts w:ascii="Times New Roman" w:hAnsi="Times New Roman" w:cs="Times New Roman"/>
          <w:b/>
          <w:bCs/>
          <w:sz w:val="24"/>
          <w:szCs w:val="24"/>
          <w:vertAlign w:val="subscript"/>
          <w:lang w:val="en-GB"/>
        </w:rPr>
        <w:t>02i</w:t>
      </w:r>
      <w:r>
        <w:rPr>
          <w:rFonts w:ascii="Times New Roman" w:hAnsi="Times New Roman" w:cs="Times New Roman"/>
          <w:b/>
          <w:bCs/>
          <w:i/>
          <w:iCs/>
          <w:sz w:val="24"/>
          <w:szCs w:val="24"/>
          <w:vertAlign w:val="subscript"/>
          <w:lang w:val="en-GB"/>
        </w:rPr>
        <w:t xml:space="preserve"> : </w:t>
      </w:r>
      <w:r>
        <w:rPr>
          <w:rFonts w:ascii="Times New Roman" w:hAnsi="Times New Roman" w:cs="Times New Roman"/>
          <w:i/>
          <w:iCs/>
          <w:sz w:val="24"/>
          <w:szCs w:val="24"/>
        </w:rPr>
        <w:t>The effect of members activeness on their perception of workplace and industrial conflict i</w:t>
      </w:r>
      <w:r>
        <w:rPr>
          <w:rFonts w:ascii="Times New Roman" w:hAnsi="Times New Roman" w:cs="Times New Roman"/>
          <w:i/>
          <w:iCs/>
          <w:sz w:val="24"/>
          <w:szCs w:val="24"/>
          <w:lang w:val="en-GB"/>
        </w:rPr>
        <w:t>s</w:t>
      </w:r>
      <w:r>
        <w:rPr>
          <w:rFonts w:ascii="Times New Roman" w:hAnsi="Times New Roman" w:cs="Times New Roman"/>
          <w:i/>
          <w:iCs/>
          <w:sz w:val="24"/>
          <w:szCs w:val="24"/>
        </w:rPr>
        <w:t xml:space="preserve"> not significantly different for public and private sectors unions</w:t>
      </w:r>
      <w:r>
        <w:rPr>
          <w:rFonts w:ascii="Times New Roman" w:hAnsi="Times New Roman" w:cs="Times New Roman"/>
          <w:i/>
          <w:iCs/>
          <w:sz w:val="24"/>
          <w:szCs w:val="24"/>
          <w:lang w:val="en-GB"/>
        </w:rPr>
        <w:t xml:space="preserve">. </w:t>
      </w:r>
    </w:p>
    <w:p w:rsidR="00BA3484" w:rsidRDefault="0049223D">
      <w:pPr>
        <w:spacing w:line="320" w:lineRule="atLeast"/>
        <w:ind w:left="60" w:right="60"/>
        <w:jc w:val="center"/>
        <w:rPr>
          <w:rFonts w:ascii="Times New Roman" w:hAnsi="Times New Roman" w:cs="Times New Roman"/>
          <w:sz w:val="24"/>
          <w:szCs w:val="24"/>
        </w:rPr>
      </w:pPr>
      <w:r>
        <w:rPr>
          <w:rFonts w:ascii="Times New Roman" w:hAnsi="Times New Roman" w:cs="Times New Roman"/>
          <w:b/>
          <w:sz w:val="24"/>
          <w:szCs w:val="24"/>
        </w:rPr>
        <w:t xml:space="preserve">Table </w:t>
      </w:r>
      <w:r>
        <w:rPr>
          <w:rFonts w:ascii="Times New Roman" w:hAnsi="Times New Roman" w:cs="Times New Roman"/>
          <w:b/>
          <w:sz w:val="24"/>
          <w:szCs w:val="24"/>
          <w:lang w:val="en-GB"/>
        </w:rPr>
        <w:t>3</w:t>
      </w:r>
      <w:r>
        <w:rPr>
          <w:rFonts w:ascii="Times New Roman" w:hAnsi="Times New Roman" w:cs="Times New Roman"/>
          <w:b/>
          <w:sz w:val="24"/>
          <w:szCs w:val="24"/>
        </w:rPr>
        <w:t>. ANOVA</w:t>
      </w:r>
      <w:r>
        <w:rPr>
          <w:rFonts w:ascii="Times New Roman" w:hAnsi="Times New Roman" w:cs="Times New Roman"/>
          <w:b/>
          <w:sz w:val="24"/>
          <w:szCs w:val="24"/>
          <w:vertAlign w:val="superscript"/>
        </w:rPr>
        <w:t>a</w:t>
      </w:r>
    </w:p>
    <w:tbl>
      <w:tblPr>
        <w:tblW w:w="9180"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80"/>
      </w:tblGrid>
      <w:tr w:rsidR="00BA3484">
        <w:trPr>
          <w:trHeight w:val="481"/>
        </w:trPr>
        <w:tc>
          <w:tcPr>
            <w:tcW w:w="9180" w:type="dxa"/>
            <w:tcBorders>
              <w:left w:val="nil"/>
              <w:right w:val="nil"/>
            </w:tcBorders>
          </w:tcPr>
          <w:p w:rsidR="00BA3484" w:rsidRDefault="00BA3484">
            <w:pPr>
              <w:rPr>
                <w:rFonts w:ascii="Times New Roman" w:hAnsi="Times New Roman" w:cs="Times New Roman"/>
                <w:sz w:val="18"/>
                <w:szCs w:val="18"/>
              </w:rPr>
            </w:pPr>
          </w:p>
          <w:p w:rsidR="00BA3484" w:rsidRDefault="0049223D">
            <w:pPr>
              <w:rPr>
                <w:rFonts w:ascii="Times New Roman" w:hAnsi="Times New Roman" w:cs="Times New Roman"/>
                <w:sz w:val="18"/>
                <w:szCs w:val="18"/>
              </w:rPr>
            </w:pPr>
            <w:r>
              <w:rPr>
                <w:rFonts w:ascii="Times New Roman" w:hAnsi="Times New Roman" w:cs="Times New Roman"/>
                <w:sz w:val="18"/>
                <w:szCs w:val="18"/>
              </w:rPr>
              <w:t>Model         Sum of Squares   df      Mean Square     F        Sig.        Decision</w:t>
            </w:r>
          </w:p>
        </w:tc>
      </w:tr>
      <w:tr w:rsidR="00BA3484">
        <w:trPr>
          <w:trHeight w:val="765"/>
        </w:trPr>
        <w:tc>
          <w:tcPr>
            <w:tcW w:w="9180" w:type="dxa"/>
            <w:tcBorders>
              <w:left w:val="nil"/>
              <w:right w:val="nil"/>
            </w:tcBorders>
          </w:tcPr>
          <w:p w:rsidR="00BA3484" w:rsidRDefault="0049223D">
            <w:pPr>
              <w:rPr>
                <w:rFonts w:ascii="Times New Roman" w:hAnsi="Times New Roman" w:cs="Times New Roman"/>
                <w:sz w:val="18"/>
                <w:szCs w:val="18"/>
              </w:rPr>
            </w:pPr>
            <w:r>
              <w:rPr>
                <w:rFonts w:ascii="Times New Roman" w:hAnsi="Times New Roman" w:cs="Times New Roman"/>
                <w:sz w:val="18"/>
                <w:szCs w:val="18"/>
              </w:rPr>
              <w:t>Between Groups  2.264                1          2.264            11.979      .001  Ho Rejected</w:t>
            </w:r>
          </w:p>
          <w:p w:rsidR="00BA3484" w:rsidRDefault="0049223D">
            <w:pPr>
              <w:rPr>
                <w:rFonts w:ascii="Times New Roman" w:hAnsi="Times New Roman" w:cs="Times New Roman"/>
                <w:sz w:val="18"/>
                <w:szCs w:val="18"/>
              </w:rPr>
            </w:pPr>
            <w:r>
              <w:rPr>
                <w:rFonts w:ascii="Times New Roman" w:hAnsi="Times New Roman" w:cs="Times New Roman"/>
                <w:sz w:val="18"/>
                <w:szCs w:val="18"/>
              </w:rPr>
              <w:t>Within Groups  15.876               84          .189</w:t>
            </w:r>
          </w:p>
          <w:p w:rsidR="00BA3484" w:rsidRDefault="0049223D">
            <w:pPr>
              <w:rPr>
                <w:rFonts w:ascii="Times New Roman" w:hAnsi="Times New Roman" w:cs="Times New Roman"/>
                <w:sz w:val="18"/>
                <w:szCs w:val="18"/>
              </w:rPr>
            </w:pPr>
            <w:r>
              <w:rPr>
                <w:rFonts w:ascii="Times New Roman" w:hAnsi="Times New Roman" w:cs="Times New Roman"/>
                <w:sz w:val="18"/>
                <w:szCs w:val="18"/>
              </w:rPr>
              <w:t xml:space="preserve">   Total                       18.140               85</w:t>
            </w:r>
          </w:p>
        </w:tc>
      </w:tr>
    </w:tbl>
    <w:p w:rsidR="00BA3484" w:rsidRDefault="0049223D">
      <w:pP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Dependent Activeness of union members</w:t>
      </w:r>
    </w:p>
    <w:p w:rsidR="00BA3484" w:rsidRDefault="0049223D">
      <w:pPr>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Independent: :Sectors union members belong (Private and Public)</w:t>
      </w:r>
    </w:p>
    <w:p w:rsidR="00BA3484" w:rsidRDefault="0049223D">
      <w:pPr>
        <w:rPr>
          <w:rFonts w:ascii="Times New Roman" w:hAnsi="Times New Roman" w:cs="Times New Roman"/>
          <w:b/>
          <w:bCs/>
          <w:i/>
          <w:iCs/>
          <w:sz w:val="24"/>
          <w:szCs w:val="24"/>
          <w:shd w:val="clear" w:color="auto" w:fill="FFFFFF"/>
          <w:lang w:val="en-GB"/>
        </w:rPr>
      </w:pPr>
      <w:r>
        <w:rPr>
          <w:rFonts w:ascii="Times New Roman" w:hAnsi="Times New Roman" w:cs="Times New Roman"/>
          <w:b/>
          <w:bCs/>
          <w:i/>
          <w:iCs/>
          <w:sz w:val="24"/>
          <w:szCs w:val="24"/>
          <w:shd w:val="clear" w:color="auto" w:fill="FFFFFF"/>
          <w:lang w:val="en-GB"/>
        </w:rPr>
        <w:t>Source: Researcher’s Analysis, 2024</w:t>
      </w:r>
    </w:p>
    <w:p w:rsidR="00BA3484" w:rsidRDefault="0049223D">
      <w:pPr>
        <w:spacing w:line="360" w:lineRule="auto"/>
        <w:jc w:val="both"/>
        <w:rPr>
          <w:rFonts w:ascii="Times New Roman" w:hAnsi="Times New Roman" w:cs="Times New Roman"/>
          <w:iCs/>
          <w:sz w:val="24"/>
          <w:szCs w:val="24"/>
          <w:lang w:val="en-GB"/>
        </w:rPr>
      </w:pPr>
      <w:r>
        <w:rPr>
          <w:rFonts w:ascii="Times New Roman" w:hAnsi="Times New Roman" w:cs="Times New Roman"/>
          <w:sz w:val="24"/>
          <w:szCs w:val="24"/>
        </w:rPr>
        <w:t>Table</w:t>
      </w:r>
      <w:r>
        <w:rPr>
          <w:rFonts w:ascii="Times New Roman" w:hAnsi="Times New Roman" w:cs="Times New Roman"/>
          <w:sz w:val="24"/>
          <w:szCs w:val="24"/>
          <w:lang w:val="en-GB"/>
        </w:rPr>
        <w:t>3</w:t>
      </w:r>
      <w:r>
        <w:rPr>
          <w:rFonts w:ascii="Times New Roman" w:hAnsi="Times New Roman" w:cs="Times New Roman"/>
          <w:sz w:val="24"/>
          <w:szCs w:val="24"/>
        </w:rPr>
        <w:t xml:space="preserve"> shows F-value of 11.979 with a significance value of .001which is less than 0.05 alpha level </w:t>
      </w:r>
      <w:r>
        <w:rPr>
          <w:rFonts w:ascii="Times New Roman" w:hAnsi="Times New Roman" w:cs="Times New Roman"/>
          <w:sz w:val="24"/>
          <w:szCs w:val="24"/>
          <w:lang w:val="en-GB"/>
        </w:rPr>
        <w:t xml:space="preserve">at the </w:t>
      </w:r>
      <w:r>
        <w:rPr>
          <w:rFonts w:ascii="Times New Roman" w:hAnsi="Times New Roman" w:cs="Times New Roman"/>
          <w:sz w:val="24"/>
          <w:szCs w:val="24"/>
        </w:rPr>
        <w:t xml:space="preserve">1 and 82 degrees of freedom. </w:t>
      </w:r>
      <w:r>
        <w:rPr>
          <w:rFonts w:ascii="Times New Roman" w:hAnsi="Times New Roman" w:cs="Times New Roman"/>
          <w:sz w:val="24"/>
          <w:szCs w:val="24"/>
          <w:lang w:val="en-GB"/>
        </w:rPr>
        <w:t xml:space="preserve">The null hypothesis i..e. </w:t>
      </w:r>
      <w:r>
        <w:rPr>
          <w:rFonts w:ascii="Times New Roman" w:hAnsi="Times New Roman" w:cs="Times New Roman"/>
          <w:i/>
          <w:iCs/>
          <w:sz w:val="24"/>
          <w:szCs w:val="24"/>
          <w:lang w:val="en-GB"/>
        </w:rPr>
        <w:t>H</w:t>
      </w:r>
      <w:r>
        <w:rPr>
          <w:rFonts w:ascii="Times New Roman" w:hAnsi="Times New Roman" w:cs="Times New Roman"/>
          <w:i/>
          <w:iCs/>
          <w:sz w:val="24"/>
          <w:szCs w:val="24"/>
          <w:vertAlign w:val="subscript"/>
          <w:lang w:val="en-GB"/>
        </w:rPr>
        <w:t xml:space="preserve">o2i </w:t>
      </w:r>
      <w:r>
        <w:rPr>
          <w:rFonts w:ascii="Times New Roman" w:hAnsi="Times New Roman" w:cs="Times New Roman"/>
          <w:sz w:val="24"/>
          <w:szCs w:val="24"/>
          <w:lang w:val="en-GB"/>
        </w:rPr>
        <w:t xml:space="preserve">is equal to the alternative </w:t>
      </w:r>
      <w:r>
        <w:rPr>
          <w:rFonts w:ascii="Times New Roman" w:hAnsi="Times New Roman" w:cs="Times New Roman"/>
          <w:sz w:val="24"/>
          <w:szCs w:val="24"/>
          <w:lang w:val="en-GB"/>
        </w:rPr>
        <w:lastRenderedPageBreak/>
        <w:t xml:space="preserve">hypothesis i.e. </w:t>
      </w:r>
      <w:r>
        <w:rPr>
          <w:rFonts w:ascii="Times New Roman" w:hAnsi="Times New Roman" w:cs="Times New Roman"/>
          <w:i/>
          <w:iCs/>
          <w:sz w:val="24"/>
          <w:szCs w:val="24"/>
          <w:lang w:val="en-GB"/>
        </w:rPr>
        <w:t>H</w:t>
      </w:r>
      <w:r>
        <w:rPr>
          <w:rFonts w:ascii="Times New Roman" w:hAnsi="Times New Roman" w:cs="Times New Roman"/>
          <w:i/>
          <w:iCs/>
          <w:sz w:val="24"/>
          <w:szCs w:val="24"/>
          <w:vertAlign w:val="subscript"/>
          <w:lang w:val="en-GB"/>
        </w:rPr>
        <w:t xml:space="preserve">o2A. </w:t>
      </w:r>
      <w:r>
        <w:rPr>
          <w:rFonts w:ascii="Times New Roman" w:hAnsi="Times New Roman" w:cs="Times New Roman"/>
          <w:sz w:val="24"/>
          <w:szCs w:val="24"/>
          <w:lang w:val="en-GB"/>
        </w:rPr>
        <w:t xml:space="preserve">Hence it is concluded </w:t>
      </w:r>
      <w:r>
        <w:rPr>
          <w:rFonts w:ascii="Times New Roman" w:hAnsi="Times New Roman" w:cs="Times New Roman"/>
          <w:iCs/>
          <w:sz w:val="24"/>
          <w:szCs w:val="24"/>
          <w:lang w:val="en-GB"/>
        </w:rPr>
        <w:t>the effect of member’s activeness on their perception of workplace and industrial conflict is not significantly different for public and private sector unions.</w:t>
      </w:r>
    </w:p>
    <w:p w:rsidR="00BA3484" w:rsidRDefault="0049223D">
      <w:pPr>
        <w:spacing w:line="360" w:lineRule="auto"/>
        <w:jc w:val="both"/>
        <w:rPr>
          <w:rFonts w:ascii="Times New Roman" w:hAnsi="Times New Roman" w:cs="Times New Roman"/>
          <w:sz w:val="18"/>
          <w:szCs w:val="18"/>
        </w:rPr>
      </w:pPr>
      <w:r>
        <w:rPr>
          <w:rFonts w:ascii="Times New Roman" w:hAnsi="Times New Roman" w:cs="Times New Roman"/>
          <w:sz w:val="24"/>
          <w:szCs w:val="24"/>
          <w:lang w:val="en-GB"/>
        </w:rPr>
        <w:t xml:space="preserve">The test of hypothesis 3 is shown in table 4. </w:t>
      </w:r>
      <w:r>
        <w:rPr>
          <w:rFonts w:ascii="Times New Roman" w:hAnsi="Times New Roman" w:cs="Times New Roman"/>
          <w:b/>
          <w:bCs/>
          <w:sz w:val="18"/>
          <w:szCs w:val="18"/>
        </w:rPr>
        <w:t>Hypothesis 3</w:t>
      </w:r>
      <w:r>
        <w:rPr>
          <w:rFonts w:ascii="Times New Roman" w:hAnsi="Times New Roman" w:cs="Times New Roman"/>
          <w:b/>
          <w:bCs/>
          <w:sz w:val="18"/>
          <w:szCs w:val="18"/>
          <w:lang w:val="en-GB"/>
        </w:rPr>
        <w:t xml:space="preserve"> (</w:t>
      </w:r>
      <w:r>
        <w:rPr>
          <w:rFonts w:ascii="Times New Roman" w:hAnsi="Times New Roman" w:cs="Times New Roman"/>
          <w:b/>
          <w:bCs/>
          <w:sz w:val="24"/>
          <w:szCs w:val="24"/>
          <w:lang w:val="en-GB"/>
        </w:rPr>
        <w:t>H</w:t>
      </w:r>
      <w:r>
        <w:rPr>
          <w:rFonts w:ascii="Times New Roman" w:hAnsi="Times New Roman" w:cs="Times New Roman"/>
          <w:b/>
          <w:bCs/>
          <w:sz w:val="24"/>
          <w:szCs w:val="24"/>
          <w:vertAlign w:val="subscript"/>
          <w:lang w:val="en-GB"/>
        </w:rPr>
        <w:t>03i</w:t>
      </w:r>
      <w:r>
        <w:rPr>
          <w:rFonts w:ascii="Times New Roman" w:hAnsi="Times New Roman" w:cs="Times New Roman"/>
          <w:b/>
          <w:bCs/>
          <w:sz w:val="24"/>
          <w:szCs w:val="24"/>
          <w:lang w:val="en-GB"/>
        </w:rPr>
        <w:t>)</w:t>
      </w:r>
      <w:r>
        <w:rPr>
          <w:rFonts w:ascii="Times New Roman" w:hAnsi="Times New Roman" w:cs="Times New Roman"/>
          <w:sz w:val="24"/>
          <w:szCs w:val="24"/>
          <w:lang w:val="en-GB"/>
        </w:rPr>
        <w:t xml:space="preserve">states thus: </w:t>
      </w:r>
      <w:r>
        <w:rPr>
          <w:rFonts w:ascii="Times New Roman" w:hAnsi="Times New Roman" w:cs="Times New Roman"/>
          <w:sz w:val="24"/>
          <w:szCs w:val="24"/>
        </w:rPr>
        <w:t>The effect of activeness of members on their perception of workplace and industrial conflict is not significantly different for unions of various sizes</w:t>
      </w:r>
      <w:r>
        <w:rPr>
          <w:rFonts w:ascii="Times New Roman" w:hAnsi="Times New Roman" w:cs="Times New Roman"/>
          <w:sz w:val="18"/>
          <w:szCs w:val="18"/>
        </w:rPr>
        <w:t>.</w:t>
      </w:r>
    </w:p>
    <w:p w:rsidR="00BA3484" w:rsidRDefault="0049223D">
      <w:pPr>
        <w:jc w:val="center"/>
        <w:rPr>
          <w:rFonts w:ascii="Times New Roman" w:hAnsi="Times New Roman" w:cs="Times New Roman"/>
          <w:sz w:val="24"/>
          <w:szCs w:val="24"/>
        </w:rPr>
      </w:pPr>
      <w:r>
        <w:rPr>
          <w:rFonts w:ascii="Times New Roman" w:hAnsi="Times New Roman" w:cs="Times New Roman"/>
          <w:b/>
          <w:sz w:val="24"/>
          <w:szCs w:val="24"/>
        </w:rPr>
        <w:t xml:space="preserve">Table </w:t>
      </w:r>
      <w:r>
        <w:rPr>
          <w:rFonts w:ascii="Times New Roman" w:hAnsi="Times New Roman" w:cs="Times New Roman"/>
          <w:b/>
          <w:sz w:val="24"/>
          <w:szCs w:val="24"/>
          <w:lang w:val="en-GB"/>
        </w:rPr>
        <w:t>4</w:t>
      </w:r>
      <w:r>
        <w:rPr>
          <w:rFonts w:ascii="Times New Roman" w:hAnsi="Times New Roman" w:cs="Times New Roman"/>
          <w:b/>
          <w:sz w:val="24"/>
          <w:szCs w:val="24"/>
        </w:rPr>
        <w:t>. Analysis of Variance</w:t>
      </w:r>
    </w:p>
    <w:tbl>
      <w:tblPr>
        <w:tblW w:w="8800" w:type="dxa"/>
        <w:tblInd w:w="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00"/>
      </w:tblGrid>
      <w:tr w:rsidR="00BA3484">
        <w:trPr>
          <w:trHeight w:val="298"/>
        </w:trPr>
        <w:tc>
          <w:tcPr>
            <w:tcW w:w="8800" w:type="dxa"/>
            <w:tcBorders>
              <w:left w:val="nil"/>
              <w:right w:val="nil"/>
            </w:tcBorders>
          </w:tcPr>
          <w:p w:rsidR="00BA3484" w:rsidRDefault="0049223D">
            <w:pPr>
              <w:rPr>
                <w:rFonts w:ascii="Times New Roman" w:hAnsi="Times New Roman" w:cs="Times New Roman"/>
                <w:sz w:val="18"/>
                <w:szCs w:val="18"/>
              </w:rPr>
            </w:pPr>
            <w:r>
              <w:rPr>
                <w:rFonts w:ascii="Times New Roman" w:hAnsi="Times New Roman" w:cs="Times New Roman"/>
                <w:sz w:val="18"/>
                <w:szCs w:val="18"/>
              </w:rPr>
              <w:t>Model         Sum of Squares   df      Mean Square     F        Sig.        Decision</w:t>
            </w:r>
          </w:p>
        </w:tc>
      </w:tr>
      <w:tr w:rsidR="00BA3484">
        <w:trPr>
          <w:trHeight w:val="885"/>
        </w:trPr>
        <w:tc>
          <w:tcPr>
            <w:tcW w:w="8800" w:type="dxa"/>
            <w:tcBorders>
              <w:left w:val="nil"/>
              <w:right w:val="nil"/>
            </w:tcBorders>
          </w:tcPr>
          <w:p w:rsidR="00BA3484" w:rsidRDefault="0049223D">
            <w:pPr>
              <w:rPr>
                <w:rFonts w:ascii="Times New Roman" w:hAnsi="Times New Roman" w:cs="Times New Roman"/>
                <w:sz w:val="18"/>
                <w:szCs w:val="18"/>
              </w:rPr>
            </w:pPr>
            <w:r>
              <w:rPr>
                <w:rFonts w:ascii="Times New Roman" w:hAnsi="Times New Roman" w:cs="Times New Roman"/>
                <w:sz w:val="18"/>
                <w:szCs w:val="18"/>
              </w:rPr>
              <w:t>Between Groups  2.245                3          .748              3.861      .012  Ho Rejected</w:t>
            </w:r>
          </w:p>
          <w:p w:rsidR="00BA3484" w:rsidRDefault="0049223D">
            <w:pPr>
              <w:rPr>
                <w:rFonts w:ascii="Times New Roman" w:hAnsi="Times New Roman" w:cs="Times New Roman"/>
                <w:sz w:val="18"/>
                <w:szCs w:val="18"/>
              </w:rPr>
            </w:pPr>
            <w:r>
              <w:rPr>
                <w:rFonts w:ascii="Times New Roman" w:hAnsi="Times New Roman" w:cs="Times New Roman"/>
                <w:sz w:val="18"/>
                <w:szCs w:val="18"/>
              </w:rPr>
              <w:t>Within Groups  15.894               82         .194</w:t>
            </w:r>
          </w:p>
          <w:p w:rsidR="00BA3484" w:rsidRDefault="0049223D">
            <w:pPr>
              <w:rPr>
                <w:rFonts w:ascii="Times New Roman" w:hAnsi="Times New Roman" w:cs="Times New Roman"/>
                <w:sz w:val="18"/>
                <w:szCs w:val="18"/>
              </w:rPr>
            </w:pPr>
            <w:r>
              <w:rPr>
                <w:rFonts w:ascii="Times New Roman" w:hAnsi="Times New Roman" w:cs="Times New Roman"/>
                <w:sz w:val="18"/>
                <w:szCs w:val="18"/>
              </w:rPr>
              <w:t xml:space="preserve">  Total                        18.140               85</w:t>
            </w:r>
          </w:p>
        </w:tc>
      </w:tr>
    </w:tbl>
    <w:p w:rsidR="00BA3484" w:rsidRDefault="0049223D">
      <w:pPr>
        <w:spacing w:line="240" w:lineRule="auto"/>
        <w:rPr>
          <w:rFonts w:ascii="Times New Roman" w:hAnsi="Times New Roman" w:cs="Times New Roman"/>
          <w:sz w:val="18"/>
          <w:szCs w:val="18"/>
          <w:shd w:val="clear" w:color="auto" w:fill="FFFFFF"/>
        </w:rPr>
      </w:pPr>
      <w:r>
        <w:rPr>
          <w:rFonts w:ascii="Times New Roman" w:hAnsi="Times New Roman" w:cs="Times New Roman"/>
          <w:sz w:val="18"/>
          <w:szCs w:val="18"/>
          <w:shd w:val="clear" w:color="auto" w:fill="FFFFFF"/>
        </w:rPr>
        <w:t>Dependent : Activeness of union members</w:t>
      </w:r>
    </w:p>
    <w:p w:rsidR="00BA3484" w:rsidRDefault="0049223D">
      <w:pPr>
        <w:spacing w:line="240" w:lineRule="auto"/>
        <w:rPr>
          <w:rFonts w:ascii="Times New Roman" w:hAnsi="Times New Roman" w:cs="Times New Roman"/>
          <w:sz w:val="18"/>
          <w:szCs w:val="18"/>
        </w:rPr>
      </w:pPr>
      <w:r>
        <w:rPr>
          <w:rFonts w:ascii="Times New Roman" w:hAnsi="Times New Roman" w:cs="Times New Roman"/>
          <w:sz w:val="18"/>
          <w:szCs w:val="18"/>
          <w:shd w:val="clear" w:color="auto" w:fill="FFFFFF"/>
        </w:rPr>
        <w:t>Independent</w:t>
      </w:r>
      <w:r>
        <w:rPr>
          <w:rFonts w:ascii="Times New Roman" w:hAnsi="Times New Roman" w:cs="Times New Roman"/>
          <w:i/>
          <w:iCs/>
          <w:sz w:val="18"/>
          <w:szCs w:val="18"/>
          <w:shd w:val="clear" w:color="auto" w:fill="FFFFFF"/>
        </w:rPr>
        <w:t xml:space="preserve">: </w:t>
      </w:r>
      <w:r>
        <w:rPr>
          <w:rFonts w:ascii="Times New Roman" w:hAnsi="Times New Roman" w:cs="Times New Roman"/>
          <w:sz w:val="18"/>
          <w:szCs w:val="18"/>
          <w:shd w:val="clear" w:color="auto" w:fill="FFFFFF"/>
        </w:rPr>
        <w:t>membership strength/sizes</w:t>
      </w:r>
    </w:p>
    <w:p w:rsidR="00BA3484" w:rsidRDefault="0049223D">
      <w:pPr>
        <w:spacing w:line="360" w:lineRule="auto"/>
        <w:jc w:val="both"/>
        <w:rPr>
          <w:rFonts w:ascii="Times New Roman" w:hAnsi="Times New Roman" w:cs="Times New Roman"/>
          <w:b/>
          <w:bCs/>
          <w:i/>
          <w:iCs/>
          <w:sz w:val="18"/>
          <w:szCs w:val="18"/>
          <w:lang w:val="en-GB"/>
        </w:rPr>
      </w:pPr>
      <w:r>
        <w:rPr>
          <w:rFonts w:ascii="Times New Roman" w:hAnsi="Times New Roman" w:cs="Times New Roman"/>
          <w:b/>
          <w:bCs/>
          <w:i/>
          <w:iCs/>
          <w:sz w:val="18"/>
          <w:szCs w:val="18"/>
          <w:lang w:val="en-GB"/>
        </w:rPr>
        <w:t>Source: Researcher’s Analysis  2024</w:t>
      </w:r>
    </w:p>
    <w:p w:rsidR="00BA3484" w:rsidRDefault="0049223D">
      <w:pPr>
        <w:spacing w:line="360" w:lineRule="auto"/>
        <w:jc w:val="both"/>
        <w:rPr>
          <w:rFonts w:ascii="Times New Roman" w:hAnsi="Times New Roman" w:cs="Times New Roman"/>
          <w:sz w:val="24"/>
          <w:szCs w:val="24"/>
          <w:lang w:val="en-GB"/>
        </w:rPr>
      </w:pPr>
      <w:r>
        <w:rPr>
          <w:rFonts w:ascii="Times New Roman" w:hAnsi="Times New Roman" w:cs="Times New Roman"/>
          <w:sz w:val="24"/>
          <w:szCs w:val="24"/>
        </w:rPr>
        <w:t xml:space="preserve">Table 3 shows F-value of 3.861 with a significance value of .012which is less than 0.05 alpha level with a 1 and 82 degrees of freedom. </w:t>
      </w:r>
      <w:r>
        <w:rPr>
          <w:rFonts w:ascii="Times New Roman" w:hAnsi="Times New Roman" w:cs="Times New Roman"/>
          <w:sz w:val="24"/>
          <w:szCs w:val="24"/>
          <w:lang w:val="en-GB"/>
        </w:rPr>
        <w:t>This suggests the rejection of H</w:t>
      </w:r>
      <w:r>
        <w:rPr>
          <w:rFonts w:ascii="Times New Roman" w:hAnsi="Times New Roman" w:cs="Times New Roman"/>
          <w:sz w:val="24"/>
          <w:szCs w:val="24"/>
          <w:vertAlign w:val="subscript"/>
          <w:lang w:val="en-GB"/>
        </w:rPr>
        <w:t>03i</w:t>
      </w:r>
      <w:r>
        <w:rPr>
          <w:rFonts w:ascii="Times New Roman" w:hAnsi="Times New Roman" w:cs="Times New Roman"/>
          <w:sz w:val="24"/>
          <w:szCs w:val="24"/>
          <w:lang w:val="en-GB"/>
        </w:rPr>
        <w:t xml:space="preserve">and its replacement with:  </w:t>
      </w:r>
    </w:p>
    <w:p w:rsidR="00BA3484" w:rsidRDefault="0049223D">
      <w:pPr>
        <w:spacing w:line="240" w:lineRule="auto"/>
        <w:jc w:val="both"/>
        <w:rPr>
          <w:rFonts w:ascii="Times New Roman" w:hAnsi="Times New Roman" w:cs="Times New Roman"/>
          <w:sz w:val="24"/>
          <w:szCs w:val="24"/>
        </w:rPr>
      </w:pPr>
      <w:r>
        <w:rPr>
          <w:rFonts w:ascii="Times New Roman" w:hAnsi="Times New Roman" w:cs="Times New Roman"/>
          <w:b/>
          <w:bCs/>
          <w:sz w:val="24"/>
          <w:szCs w:val="24"/>
          <w:lang w:val="en-GB"/>
        </w:rPr>
        <w:t>H</w:t>
      </w:r>
      <w:r>
        <w:rPr>
          <w:rFonts w:ascii="Times New Roman" w:hAnsi="Times New Roman" w:cs="Times New Roman"/>
          <w:b/>
          <w:bCs/>
          <w:sz w:val="24"/>
          <w:szCs w:val="24"/>
          <w:vertAlign w:val="subscript"/>
          <w:lang w:val="en-GB"/>
        </w:rPr>
        <w:t xml:space="preserve">03A: </w:t>
      </w:r>
      <w:r>
        <w:rPr>
          <w:rFonts w:ascii="Times New Roman" w:hAnsi="Times New Roman" w:cs="Times New Roman"/>
          <w:sz w:val="24"/>
          <w:szCs w:val="24"/>
        </w:rPr>
        <w:t>the effect of activeness of members on their perception of workplace and industrial conflict is significantly different for unions of various sizes.</w:t>
      </w:r>
    </w:p>
    <w:p w:rsidR="00BA3484" w:rsidRDefault="0049223D">
      <w:pPr>
        <w:spacing w:line="400" w:lineRule="atLeast"/>
        <w:rPr>
          <w:rFonts w:ascii="Times New Roman" w:eastAsia="Times New Roman" w:hAnsi="Times New Roman" w:cs="Times New Roman"/>
          <w:b/>
          <w:bCs/>
          <w:i/>
          <w:iCs/>
          <w:sz w:val="24"/>
          <w:szCs w:val="24"/>
          <w:lang w:val="en-GB"/>
        </w:rPr>
      </w:pPr>
      <w:r>
        <w:rPr>
          <w:rFonts w:ascii="Times New Roman" w:eastAsia="Times New Roman" w:hAnsi="Times New Roman" w:cs="Times New Roman"/>
          <w:b/>
          <w:bCs/>
          <w:i/>
          <w:iCs/>
          <w:sz w:val="24"/>
          <w:szCs w:val="24"/>
          <w:lang w:val="en-GB"/>
        </w:rPr>
        <w:t>Discussion of findings</w:t>
      </w:r>
    </w:p>
    <w:p w:rsidR="00BA3484" w:rsidRDefault="0049223D">
      <w:pPr>
        <w:tabs>
          <w:tab w:val="left" w:pos="709"/>
        </w:tabs>
        <w:spacing w:line="36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Unions communicate perspectives highlighting class consciousness and divisions. Thus, they shape power dynamics in workplace and industrial relations. The favourable responses to ‘an injury to one is an injury to all’ as reflecting distrust of management points to unions effect on perception of workplace and industrial conflicts in Nigeria. This aligns with the theory of </w:t>
      </w:r>
      <w:r>
        <w:rPr>
          <w:rFonts w:ascii="Times New Roman" w:eastAsia="Times New Roman" w:hAnsi="Times New Roman" w:cs="Times New Roman"/>
          <w:i/>
          <w:iCs/>
          <w:sz w:val="24"/>
          <w:szCs w:val="24"/>
          <w:lang w:val="en-GB"/>
        </w:rPr>
        <w:t>relative deprivation</w:t>
      </w:r>
      <w:r>
        <w:rPr>
          <w:rFonts w:ascii="Times New Roman" w:eastAsia="Times New Roman" w:hAnsi="Times New Roman" w:cs="Times New Roman"/>
          <w:sz w:val="24"/>
          <w:szCs w:val="24"/>
          <w:lang w:val="en-GB"/>
        </w:rPr>
        <w:t xml:space="preserve"> by the APA (America</w:t>
      </w:r>
      <w:r w:rsidR="00C6258A">
        <w:rPr>
          <w:rFonts w:ascii="Times New Roman" w:eastAsia="Times New Roman" w:hAnsi="Times New Roman" w:cs="Times New Roman"/>
          <w:sz w:val="24"/>
          <w:szCs w:val="24"/>
          <w:lang w:val="en-GB"/>
        </w:rPr>
        <w:t>n Psychological Association)(</w:t>
      </w:r>
      <w:r>
        <w:rPr>
          <w:rFonts w:ascii="Times New Roman" w:hAnsi="Times New Roman" w:cs="Times New Roman"/>
          <w:lang w:val="en-GB"/>
        </w:rPr>
        <w:t>Collier &amp; Hoefflier, 2002)</w:t>
      </w:r>
      <w:r w:rsidR="00C6258A">
        <w:rPr>
          <w:rFonts w:ascii="Times New Roman" w:eastAsia="Times New Roman" w:hAnsi="Times New Roman" w:cs="Times New Roman"/>
          <w:sz w:val="24"/>
          <w:szCs w:val="24"/>
          <w:lang w:val="en-GB"/>
        </w:rPr>
        <w:t>. The empirical results</w:t>
      </w:r>
      <w:r>
        <w:rPr>
          <w:rFonts w:ascii="Times New Roman" w:eastAsia="Times New Roman" w:hAnsi="Times New Roman" w:cs="Times New Roman"/>
          <w:sz w:val="24"/>
          <w:szCs w:val="24"/>
          <w:lang w:val="en-GB"/>
        </w:rPr>
        <w:t xml:space="preserve"> of this study s</w:t>
      </w:r>
      <w:r w:rsidR="00C6258A">
        <w:rPr>
          <w:rFonts w:ascii="Times New Roman" w:eastAsia="Times New Roman" w:hAnsi="Times New Roman" w:cs="Times New Roman"/>
          <w:sz w:val="24"/>
          <w:szCs w:val="24"/>
          <w:lang w:val="en-GB"/>
        </w:rPr>
        <w:t>how</w:t>
      </w:r>
      <w:r>
        <w:rPr>
          <w:rFonts w:ascii="Times New Roman" w:eastAsia="Times New Roman" w:hAnsi="Times New Roman" w:cs="Times New Roman"/>
          <w:sz w:val="24"/>
          <w:szCs w:val="24"/>
          <w:lang w:val="en-GB"/>
        </w:rPr>
        <w:t xml:space="preserve"> that unions do not militarize unionized workplaces and settings. Management’s fear of unionization as posturing violence at work may therefore is displaced, and not reflecting the reality in industrial relations practices involving trade unionism. While workers desire membership of unions, the objectives is not after</w:t>
      </w:r>
      <w:r w:rsidR="00C6258A">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 xml:space="preserve">all to pull down the house </w:t>
      </w:r>
      <w:r>
        <w:rPr>
          <w:rFonts w:ascii="Times New Roman" w:eastAsia="Times New Roman" w:hAnsi="Times New Roman" w:cs="Times New Roman"/>
          <w:sz w:val="24"/>
          <w:szCs w:val="24"/>
          <w:lang w:val="en-GB"/>
        </w:rPr>
        <w:lastRenderedPageBreak/>
        <w:t>that is the employment structure provided by existing employing organizations. The study shows that unions do not deliberately portray management as haters of unions and the workforce. This finding exhibits the rational and conti</w:t>
      </w:r>
      <w:r w:rsidR="00C6258A">
        <w:rPr>
          <w:rFonts w:ascii="Times New Roman" w:eastAsia="Times New Roman" w:hAnsi="Times New Roman" w:cs="Times New Roman"/>
          <w:sz w:val="24"/>
          <w:szCs w:val="24"/>
          <w:lang w:val="en-GB"/>
        </w:rPr>
        <w:t>n</w:t>
      </w:r>
      <w:r>
        <w:rPr>
          <w:rFonts w:ascii="Times New Roman" w:eastAsia="Times New Roman" w:hAnsi="Times New Roman" w:cs="Times New Roman"/>
          <w:sz w:val="24"/>
          <w:szCs w:val="24"/>
          <w:lang w:val="en-GB"/>
        </w:rPr>
        <w:t xml:space="preserve">gency framework of management. Truth is that management and workers interests are intertwined as proposed in the unitary theory of industrial relations (Shabi, 2003). Hence, union members activeness reflects a variety of characterizing whether a member would in future seek to be elected to occupy union posts.  </w:t>
      </w:r>
    </w:p>
    <w:p w:rsidR="00BA3484" w:rsidRDefault="0049223D">
      <w:pPr>
        <w:tabs>
          <w:tab w:val="left" w:pos="709"/>
        </w:tabs>
        <w:spacing w:line="36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The finding of most members not ruling out their participation in future election points to how impressive union effect is on them. As a means to forestall unfair labour practices, the finding in this study reflects perception by unionized workers that unions shelter disadvantaged workers, thus reduces unfair labour practices (Murra</w:t>
      </w:r>
      <w:r w:rsidR="00C6258A">
        <w:rPr>
          <w:rFonts w:ascii="Times New Roman" w:eastAsia="Times New Roman" w:hAnsi="Times New Roman" w:cs="Times New Roman"/>
          <w:sz w:val="24"/>
          <w:szCs w:val="24"/>
          <w:lang w:val="en-GB"/>
        </w:rPr>
        <w:t>y &amp; Levesque, 2010). This has p</w:t>
      </w:r>
      <w:r>
        <w:rPr>
          <w:rFonts w:ascii="Times New Roman" w:eastAsia="Times New Roman" w:hAnsi="Times New Roman" w:cs="Times New Roman"/>
          <w:sz w:val="24"/>
          <w:szCs w:val="24"/>
          <w:lang w:val="en-GB"/>
        </w:rPr>
        <w:t>ossibility of going either way, after</w:t>
      </w:r>
      <w:r w:rsidR="00C6258A">
        <w:rPr>
          <w:rFonts w:ascii="Times New Roman" w:eastAsia="Times New Roman" w:hAnsi="Times New Roman" w:cs="Times New Roman"/>
          <w:sz w:val="24"/>
          <w:szCs w:val="24"/>
          <w:lang w:val="en-GB"/>
        </w:rPr>
        <w:t xml:space="preserve"> </w:t>
      </w:r>
      <w:r>
        <w:rPr>
          <w:rFonts w:ascii="Times New Roman" w:eastAsia="Times New Roman" w:hAnsi="Times New Roman" w:cs="Times New Roman"/>
          <w:sz w:val="24"/>
          <w:szCs w:val="24"/>
          <w:lang w:val="en-GB"/>
        </w:rPr>
        <w:t xml:space="preserve">all non-unionized workers also take to soldering, which is a social action capable of crippling employers interest. The findings show union members differ in activeness which this study constructed as a possible pointer of perceptual differential. The support of the alternative form of hypothesis one suggests that an effect of unions on perception of workplace and industrial conflict is rooted in differences in members activeness. </w:t>
      </w:r>
    </w:p>
    <w:p w:rsidR="00BA3484" w:rsidRDefault="0049223D">
      <w:pPr>
        <w:tabs>
          <w:tab w:val="left" w:pos="709"/>
        </w:tabs>
        <w:spacing w:line="36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Active members would likely come under the influence of unions approaches and messages reflecting struggles and anti-management sentiments unlike the inactive members (Bellemare, 2009; Ringqvist, 2020). In verisimilitude, non-union members are less likely to be influenced to perceive workplace and industrial conflict in the same token as the union members or as the inactive union members. The empirically establishing of the moderating effect of union size and sector portrays the importance of path specificity to the examination of union effects on perception of workplace and industrial conflict. Public and private sectors unionism i.e. union practices are different and path specific. Likewise is size of each union and what takes place in each union are path specific. As suggested by Hyman (2001), unions reactively take cues from strategizing of the employing organizations and from the subsequent shaping and patterns asssumed by capital. Size being an important variable in organizational study is non</w:t>
      </w:r>
      <w:r w:rsidR="00C6258A">
        <w:rPr>
          <w:rFonts w:ascii="Times New Roman" w:eastAsia="Times New Roman" w:hAnsi="Times New Roman" w:cs="Times New Roman"/>
          <w:sz w:val="24"/>
          <w:szCs w:val="24"/>
          <w:lang w:val="en-GB"/>
        </w:rPr>
        <w:t>e</w:t>
      </w:r>
      <w:r>
        <w:rPr>
          <w:rFonts w:ascii="Times New Roman" w:eastAsia="Times New Roman" w:hAnsi="Times New Roman" w:cs="Times New Roman"/>
          <w:sz w:val="24"/>
          <w:szCs w:val="24"/>
          <w:lang w:val="en-GB"/>
        </w:rPr>
        <w:t xml:space="preserve">theless important in analysing the effects of unions on their members perception of reality including the inevitable workplace and industrial conflict. Unions’ dynamics which incorporates how their members perceive workplace and industrial conflict comes under the prism and colouration of size and location differentials of organizations . </w:t>
      </w:r>
    </w:p>
    <w:p w:rsidR="00BA3484" w:rsidRDefault="0049223D">
      <w:pPr>
        <w:tabs>
          <w:tab w:val="left" w:pos="709"/>
        </w:tabs>
        <w:spacing w:line="360" w:lineRule="auto"/>
        <w:jc w:val="both"/>
        <w:rPr>
          <w:rFonts w:ascii="Times New Roman" w:eastAsia="Times New Roman" w:hAnsi="Times New Roman" w:cs="Times New Roman"/>
          <w:b/>
          <w:bCs/>
          <w:i/>
          <w:iCs/>
          <w:sz w:val="24"/>
          <w:szCs w:val="24"/>
          <w:lang w:val="en-GB"/>
        </w:rPr>
      </w:pPr>
      <w:r>
        <w:rPr>
          <w:rFonts w:ascii="Times New Roman" w:eastAsia="Times New Roman" w:hAnsi="Times New Roman" w:cs="Times New Roman"/>
          <w:b/>
          <w:bCs/>
          <w:i/>
          <w:iCs/>
          <w:sz w:val="24"/>
          <w:szCs w:val="24"/>
          <w:lang w:val="en-GB"/>
        </w:rPr>
        <w:lastRenderedPageBreak/>
        <w:t xml:space="preserve">Conclusion &amp; Recommendations </w:t>
      </w:r>
    </w:p>
    <w:p w:rsidR="00BA3484" w:rsidRDefault="0049223D">
      <w:pPr>
        <w:tabs>
          <w:tab w:val="left" w:pos="709"/>
        </w:tabs>
        <w:spacing w:line="36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Trade unionism has been found empirically in this study to have effects on how workplace and industrial conflicts are perceived. Activeness of union members meant that variables related to perception of workplace and industrial conflicts were related with differently. This </w:t>
      </w:r>
      <w:r w:rsidR="00C6258A">
        <w:rPr>
          <w:rFonts w:ascii="Times New Roman" w:eastAsia="Times New Roman" w:hAnsi="Times New Roman" w:cs="Times New Roman"/>
          <w:sz w:val="24"/>
          <w:szCs w:val="24"/>
          <w:lang w:val="en-GB"/>
        </w:rPr>
        <w:t>holds implication for the extent</w:t>
      </w:r>
      <w:r>
        <w:rPr>
          <w:rFonts w:ascii="Times New Roman" w:eastAsia="Times New Roman" w:hAnsi="Times New Roman" w:cs="Times New Roman"/>
          <w:sz w:val="24"/>
          <w:szCs w:val="24"/>
          <w:lang w:val="en-GB"/>
        </w:rPr>
        <w:t xml:space="preserve"> to which workers are allowed to become active in trade unionism. The flipside of not allowing workers to be active in trade unionism or completely barring or obliterating trade unionism from the workplace and industrial conflict situation is that of employing unitarism. Absence of trade unions mean the removal of union cover, lack of voice, possibly heightened unfair labour practices. While management would mostly have its way on matters of employment and the welfare of workers would remain the exclusive reserve of management, long run consequences have to be something to contemplate and take to </w:t>
      </w:r>
      <w:r w:rsidR="00C6258A">
        <w:rPr>
          <w:rFonts w:ascii="Times New Roman" w:eastAsia="Times New Roman" w:hAnsi="Times New Roman" w:cs="Times New Roman"/>
          <w:sz w:val="24"/>
          <w:szCs w:val="24"/>
          <w:lang w:val="en-GB"/>
        </w:rPr>
        <w:t>cognisance</w:t>
      </w:r>
      <w:r>
        <w:rPr>
          <w:rFonts w:ascii="Times New Roman" w:eastAsia="Times New Roman" w:hAnsi="Times New Roman" w:cs="Times New Roman"/>
          <w:sz w:val="24"/>
          <w:szCs w:val="24"/>
          <w:lang w:val="en-GB"/>
        </w:rPr>
        <w:t xml:space="preserve">. Where management fails consistently to reflect the desires of working people for improved working standards, workers would lean on union leaders opinions, explanations, theorising workplace realities. Where such theorising portrays management as the problem rather than the remedy, members perception could be distorted even where the problems leading to undesirable working standards may not be what management have control over. </w:t>
      </w:r>
    </w:p>
    <w:p w:rsidR="00BA3484" w:rsidRDefault="0049223D">
      <w:pPr>
        <w:tabs>
          <w:tab w:val="left" w:pos="709"/>
        </w:tabs>
        <w:spacing w:line="36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Therefore, managements have to realize that unions are their partners for economic growth and viabi</w:t>
      </w:r>
      <w:r w:rsidR="00C6258A">
        <w:rPr>
          <w:rFonts w:ascii="Times New Roman" w:eastAsia="Times New Roman" w:hAnsi="Times New Roman" w:cs="Times New Roman"/>
          <w:sz w:val="24"/>
          <w:szCs w:val="24"/>
          <w:lang w:val="en-GB"/>
        </w:rPr>
        <w:t xml:space="preserve">lity of enterprises. To stymie </w:t>
      </w:r>
      <w:r>
        <w:rPr>
          <w:rFonts w:ascii="Times New Roman" w:eastAsia="Times New Roman" w:hAnsi="Times New Roman" w:cs="Times New Roman"/>
          <w:sz w:val="24"/>
          <w:szCs w:val="24"/>
          <w:lang w:val="en-GB"/>
        </w:rPr>
        <w:t xml:space="preserve">workplace and industrial conflicts, it is essential for the two actors to pool resources and galvanize around common ground matters of productivity improvements. </w:t>
      </w:r>
    </w:p>
    <w:p w:rsidR="00BA3484" w:rsidRDefault="00BA3484">
      <w:pPr>
        <w:tabs>
          <w:tab w:val="left" w:pos="709"/>
        </w:tabs>
        <w:spacing w:line="360" w:lineRule="auto"/>
        <w:jc w:val="center"/>
        <w:rPr>
          <w:rFonts w:ascii="Times New Roman" w:eastAsia="Times New Roman" w:hAnsi="Times New Roman" w:cs="Times New Roman"/>
          <w:sz w:val="24"/>
          <w:szCs w:val="24"/>
          <w:lang w:val="en-GB"/>
        </w:rPr>
      </w:pPr>
    </w:p>
    <w:p w:rsidR="00BA3484" w:rsidRDefault="00BA3484">
      <w:pPr>
        <w:tabs>
          <w:tab w:val="left" w:pos="709"/>
        </w:tabs>
        <w:spacing w:line="360" w:lineRule="auto"/>
        <w:jc w:val="center"/>
        <w:rPr>
          <w:rFonts w:ascii="Times New Roman" w:eastAsia="Times New Roman" w:hAnsi="Times New Roman" w:cs="Times New Roman"/>
          <w:sz w:val="24"/>
          <w:szCs w:val="24"/>
          <w:lang w:val="en-GB"/>
        </w:rPr>
      </w:pPr>
    </w:p>
    <w:p w:rsidR="00BA3484" w:rsidRDefault="00BA3484">
      <w:pPr>
        <w:tabs>
          <w:tab w:val="left" w:pos="709"/>
        </w:tabs>
        <w:spacing w:line="360" w:lineRule="auto"/>
        <w:jc w:val="center"/>
        <w:rPr>
          <w:rFonts w:ascii="Times New Roman" w:eastAsia="Times New Roman" w:hAnsi="Times New Roman" w:cs="Times New Roman"/>
          <w:sz w:val="24"/>
          <w:szCs w:val="24"/>
          <w:lang w:val="en-GB"/>
        </w:rPr>
      </w:pPr>
    </w:p>
    <w:p w:rsidR="00BA3484" w:rsidRDefault="00BA3484">
      <w:pPr>
        <w:tabs>
          <w:tab w:val="left" w:pos="709"/>
        </w:tabs>
        <w:spacing w:line="360" w:lineRule="auto"/>
        <w:jc w:val="center"/>
        <w:rPr>
          <w:rFonts w:ascii="Times New Roman" w:eastAsia="Times New Roman" w:hAnsi="Times New Roman" w:cs="Times New Roman"/>
          <w:sz w:val="24"/>
          <w:szCs w:val="24"/>
          <w:lang w:val="en-GB"/>
        </w:rPr>
      </w:pPr>
    </w:p>
    <w:p w:rsidR="00BA3484" w:rsidRDefault="00BA3484">
      <w:pPr>
        <w:tabs>
          <w:tab w:val="left" w:pos="709"/>
        </w:tabs>
        <w:spacing w:line="360" w:lineRule="auto"/>
        <w:jc w:val="center"/>
        <w:rPr>
          <w:rFonts w:ascii="Times New Roman" w:eastAsia="Times New Roman" w:hAnsi="Times New Roman" w:cs="Times New Roman"/>
          <w:sz w:val="24"/>
          <w:szCs w:val="24"/>
          <w:lang w:val="en-GB"/>
        </w:rPr>
      </w:pPr>
    </w:p>
    <w:p w:rsidR="00BA3484" w:rsidRDefault="00BA3484">
      <w:pPr>
        <w:tabs>
          <w:tab w:val="left" w:pos="709"/>
        </w:tabs>
        <w:spacing w:line="360" w:lineRule="auto"/>
        <w:jc w:val="center"/>
        <w:rPr>
          <w:rFonts w:ascii="Times New Roman" w:eastAsia="Times New Roman" w:hAnsi="Times New Roman" w:cs="Times New Roman"/>
          <w:sz w:val="24"/>
          <w:szCs w:val="24"/>
          <w:lang w:val="en-GB"/>
        </w:rPr>
      </w:pPr>
    </w:p>
    <w:p w:rsidR="00BA3484" w:rsidRDefault="00BA3484">
      <w:pPr>
        <w:tabs>
          <w:tab w:val="left" w:pos="709"/>
        </w:tabs>
        <w:spacing w:line="360" w:lineRule="auto"/>
        <w:jc w:val="center"/>
        <w:rPr>
          <w:rFonts w:ascii="Times New Roman" w:eastAsia="Times New Roman" w:hAnsi="Times New Roman" w:cs="Times New Roman"/>
          <w:sz w:val="24"/>
          <w:szCs w:val="24"/>
          <w:lang w:val="en-GB"/>
        </w:rPr>
      </w:pPr>
    </w:p>
    <w:p w:rsidR="00BA3484" w:rsidRDefault="0049223D">
      <w:pPr>
        <w:tabs>
          <w:tab w:val="left" w:pos="709"/>
        </w:tabs>
        <w:spacing w:line="360" w:lineRule="auto"/>
        <w:jc w:val="center"/>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lastRenderedPageBreak/>
        <w:t>Reference</w:t>
      </w:r>
    </w:p>
    <w:p w:rsidR="00BA3484" w:rsidRDefault="0049223D">
      <w:pPr>
        <w:pStyle w:val="FootnoteText"/>
        <w:ind w:left="600" w:hangingChars="250" w:hanging="600"/>
        <w:rPr>
          <w:rFonts w:ascii="Times New Roman" w:hAnsi="Times New Roman" w:cs="Times New Roman"/>
          <w:i/>
          <w:sz w:val="24"/>
          <w:szCs w:val="24"/>
          <w:lang w:val="en-GB"/>
        </w:rPr>
      </w:pPr>
      <w:r>
        <w:rPr>
          <w:rFonts w:ascii="Times New Roman" w:hAnsi="Times New Roman" w:cs="Times New Roman"/>
          <w:sz w:val="24"/>
          <w:szCs w:val="24"/>
          <w:lang w:val="en-GB"/>
        </w:rPr>
        <w:t>Adamska, A &amp; Samul, J. (2019), ‘Perception of conflict in the work organization by employees, Academy of Management’,</w:t>
      </w:r>
      <w:r w:rsidR="00C6258A">
        <w:rPr>
          <w:rFonts w:ascii="Times New Roman" w:hAnsi="Times New Roman" w:cs="Times New Roman"/>
          <w:i/>
          <w:sz w:val="24"/>
          <w:szCs w:val="24"/>
          <w:lang w:val="en-GB"/>
        </w:rPr>
        <w:t xml:space="preserve"> Academy of Management,(</w:t>
      </w:r>
      <w:r>
        <w:rPr>
          <w:rFonts w:ascii="Times New Roman" w:hAnsi="Times New Roman" w:cs="Times New Roman"/>
          <w:i/>
          <w:sz w:val="24"/>
          <w:szCs w:val="24"/>
          <w:lang w:val="en-GB"/>
        </w:rPr>
        <w:t>3</w:t>
      </w:r>
      <w:r w:rsidR="00C6258A">
        <w:rPr>
          <w:rFonts w:ascii="Times New Roman" w:hAnsi="Times New Roman" w:cs="Times New Roman"/>
          <w:i/>
          <w:sz w:val="24"/>
          <w:szCs w:val="24"/>
          <w:lang w:val="en-GB"/>
        </w:rPr>
        <w:t>)3,</w:t>
      </w:r>
      <w:r>
        <w:rPr>
          <w:rFonts w:ascii="Times New Roman" w:hAnsi="Times New Roman" w:cs="Times New Roman"/>
          <w:i/>
          <w:sz w:val="24"/>
          <w:szCs w:val="24"/>
          <w:lang w:val="en-GB"/>
        </w:rPr>
        <w:t xml:space="preserve">19-27. </w:t>
      </w:r>
    </w:p>
    <w:p w:rsidR="00BA3484" w:rsidRDefault="00BA3484">
      <w:pPr>
        <w:pStyle w:val="FootnoteText"/>
        <w:rPr>
          <w:rFonts w:ascii="Times New Roman" w:hAnsi="Times New Roman" w:cs="Times New Roman"/>
          <w:i/>
          <w:sz w:val="4"/>
          <w:szCs w:val="4"/>
          <w:lang w:val="en-GB"/>
        </w:rPr>
      </w:pPr>
    </w:p>
    <w:p w:rsidR="00BA3484" w:rsidRDefault="0049223D">
      <w:pPr>
        <w:pStyle w:val="FootnoteText"/>
        <w:ind w:left="600" w:hangingChars="250" w:hanging="600"/>
        <w:rPr>
          <w:rFonts w:ascii="Times New Roman" w:hAnsi="Times New Roman" w:cs="Times New Roman"/>
          <w:sz w:val="24"/>
          <w:szCs w:val="24"/>
          <w:lang w:val="en-GB"/>
        </w:rPr>
      </w:pPr>
      <w:r>
        <w:rPr>
          <w:rFonts w:ascii="Times New Roman" w:hAnsi="Times New Roman" w:cs="Times New Roman"/>
          <w:sz w:val="24"/>
          <w:szCs w:val="24"/>
        </w:rPr>
        <w:t xml:space="preserve">Adewole, A. J., Ogunyemi, K. J., &amp; Otapo, T. W. (2019), </w:t>
      </w:r>
      <w:r>
        <w:rPr>
          <w:rFonts w:ascii="Times New Roman" w:hAnsi="Times New Roman" w:cs="Times New Roman"/>
          <w:sz w:val="24"/>
          <w:szCs w:val="24"/>
          <w:lang w:val="en-GB"/>
        </w:rPr>
        <w:t>‘</w:t>
      </w:r>
      <w:r>
        <w:rPr>
          <w:rFonts w:ascii="Times New Roman" w:hAnsi="Times New Roman" w:cs="Times New Roman"/>
          <w:sz w:val="24"/>
          <w:szCs w:val="24"/>
        </w:rPr>
        <w:t>Implications of Effective Conflict Management on Organizational Performance: Case Study of Nigerian Bottling Company PLC</w:t>
      </w:r>
      <w:r>
        <w:rPr>
          <w:rFonts w:ascii="Times New Roman" w:hAnsi="Times New Roman" w:cs="Times New Roman"/>
          <w:sz w:val="24"/>
          <w:szCs w:val="24"/>
          <w:lang w:val="en-GB"/>
        </w:rPr>
        <w:t xml:space="preserve">’, </w:t>
      </w:r>
      <w:r>
        <w:rPr>
          <w:rFonts w:ascii="Times New Roman" w:hAnsi="Times New Roman" w:cs="Times New Roman"/>
          <w:i/>
          <w:iCs/>
          <w:sz w:val="24"/>
          <w:szCs w:val="24"/>
        </w:rPr>
        <w:t>Marketing and Management of</w:t>
      </w:r>
      <w:r w:rsidR="00C6258A">
        <w:rPr>
          <w:rFonts w:ascii="Times New Roman" w:hAnsi="Times New Roman" w:cs="Times New Roman"/>
          <w:i/>
          <w:iCs/>
          <w:sz w:val="24"/>
          <w:szCs w:val="24"/>
        </w:rPr>
        <w:t xml:space="preserve"> </w:t>
      </w:r>
      <w:r>
        <w:rPr>
          <w:rFonts w:ascii="Times New Roman" w:hAnsi="Times New Roman" w:cs="Times New Roman"/>
          <w:i/>
          <w:iCs/>
          <w:sz w:val="24"/>
          <w:szCs w:val="24"/>
        </w:rPr>
        <w:t>Innovations</w:t>
      </w:r>
      <w:r w:rsidR="00C6258A">
        <w:rPr>
          <w:rFonts w:ascii="Times New Roman" w:hAnsi="Times New Roman" w:cs="Times New Roman"/>
          <w:sz w:val="24"/>
          <w:szCs w:val="24"/>
        </w:rPr>
        <w:t>,</w:t>
      </w:r>
      <w:r>
        <w:rPr>
          <w:rFonts w:ascii="Times New Roman" w:hAnsi="Times New Roman" w:cs="Times New Roman"/>
          <w:sz w:val="24"/>
          <w:szCs w:val="24"/>
          <w:lang w:val="en-GB"/>
        </w:rPr>
        <w:t xml:space="preserve"> </w:t>
      </w:r>
      <w:r w:rsidR="00C6258A">
        <w:rPr>
          <w:rFonts w:ascii="Times New Roman" w:hAnsi="Times New Roman" w:cs="Times New Roman"/>
          <w:sz w:val="24"/>
          <w:szCs w:val="24"/>
          <w:lang w:val="en-GB"/>
        </w:rPr>
        <w:t>(</w:t>
      </w:r>
      <w:r w:rsidR="00C6258A">
        <w:rPr>
          <w:rFonts w:ascii="Times New Roman" w:hAnsi="Times New Roman" w:cs="Times New Roman"/>
          <w:sz w:val="24"/>
          <w:szCs w:val="24"/>
        </w:rPr>
        <w:t xml:space="preserve">1), </w:t>
      </w:r>
      <w:r>
        <w:rPr>
          <w:rFonts w:ascii="Times New Roman" w:hAnsi="Times New Roman" w:cs="Times New Roman"/>
          <w:sz w:val="24"/>
          <w:szCs w:val="24"/>
        </w:rPr>
        <w:t>257-280.</w:t>
      </w:r>
    </w:p>
    <w:p w:rsidR="00BA3484" w:rsidRDefault="00BA3484">
      <w:pPr>
        <w:pStyle w:val="FootnoteText"/>
        <w:rPr>
          <w:rFonts w:ascii="Times New Roman" w:hAnsi="Times New Roman" w:cs="Times New Roman"/>
          <w:i/>
          <w:sz w:val="6"/>
          <w:szCs w:val="6"/>
          <w:lang w:val="en-GB"/>
        </w:rPr>
      </w:pPr>
    </w:p>
    <w:p w:rsidR="00BA3484" w:rsidRDefault="0049223D">
      <w:pPr>
        <w:pStyle w:val="FootnoteText"/>
        <w:rPr>
          <w:rFonts w:ascii="Times New Roman" w:hAnsi="Times New Roman" w:cs="Times New Roman"/>
          <w:sz w:val="24"/>
          <w:szCs w:val="24"/>
          <w:lang w:val="en-GB"/>
        </w:rPr>
      </w:pPr>
      <w:r>
        <w:rPr>
          <w:rFonts w:ascii="Times New Roman" w:hAnsi="Times New Roman" w:cs="Times New Roman"/>
          <w:sz w:val="24"/>
          <w:szCs w:val="24"/>
          <w:shd w:val="clear" w:color="auto" w:fill="FFFFFF"/>
        </w:rPr>
        <w:t xml:space="preserve">Addison, J., &amp; Belfield, C. (2004). </w:t>
      </w:r>
      <w:r>
        <w:rPr>
          <w:rFonts w:ascii="Times New Roman" w:hAnsi="Times New Roman" w:cs="Times New Roman"/>
          <w:sz w:val="24"/>
          <w:szCs w:val="24"/>
          <w:shd w:val="clear" w:color="auto" w:fill="FFFFFF"/>
          <w:lang w:val="en-GB"/>
        </w:rPr>
        <w:t>‘</w:t>
      </w:r>
      <w:r>
        <w:rPr>
          <w:rFonts w:ascii="Times New Roman" w:hAnsi="Times New Roman" w:cs="Times New Roman"/>
          <w:sz w:val="24"/>
          <w:szCs w:val="24"/>
          <w:shd w:val="clear" w:color="auto" w:fill="FFFFFF"/>
        </w:rPr>
        <w:t>Union voice</w:t>
      </w:r>
      <w:r>
        <w:rPr>
          <w:rFonts w:ascii="Times New Roman" w:hAnsi="Times New Roman" w:cs="Times New Roman"/>
          <w:sz w:val="24"/>
          <w:szCs w:val="24"/>
          <w:shd w:val="clear" w:color="auto" w:fill="FFFFFF"/>
          <w:lang w:val="en-GB"/>
        </w:rPr>
        <w:t xml:space="preserve">’; </w:t>
      </w:r>
      <w:r>
        <w:rPr>
          <w:rFonts w:ascii="Times New Roman" w:hAnsi="Times New Roman" w:cs="Times New Roman"/>
          <w:i/>
          <w:iCs/>
          <w:sz w:val="24"/>
          <w:szCs w:val="24"/>
          <w:shd w:val="clear" w:color="auto" w:fill="FFFFFF"/>
        </w:rPr>
        <w:t>Journal of Labor Research</w:t>
      </w:r>
      <w:r>
        <w:rPr>
          <w:rFonts w:ascii="Times New Roman" w:hAnsi="Times New Roman" w:cs="Times New Roman"/>
          <w:sz w:val="24"/>
          <w:szCs w:val="24"/>
          <w:shd w:val="clear" w:color="auto" w:fill="FFFFFF"/>
        </w:rPr>
        <w:t>, 25(4), 563–596</w:t>
      </w:r>
      <w:r>
        <w:rPr>
          <w:rFonts w:ascii="Times New Roman" w:hAnsi="Times New Roman" w:cs="Times New Roman"/>
          <w:sz w:val="24"/>
          <w:szCs w:val="24"/>
          <w:lang w:val="en-GB"/>
        </w:rPr>
        <w:t>)</w:t>
      </w:r>
    </w:p>
    <w:p w:rsidR="00BA3484" w:rsidRDefault="00BA3484">
      <w:pPr>
        <w:pStyle w:val="FootnoteText"/>
        <w:rPr>
          <w:rFonts w:ascii="Times New Roman" w:hAnsi="Times New Roman" w:cs="Times New Roman"/>
          <w:sz w:val="6"/>
          <w:szCs w:val="6"/>
        </w:rPr>
      </w:pPr>
    </w:p>
    <w:p w:rsidR="00BA3484" w:rsidRDefault="00D65C29">
      <w:pPr>
        <w:pStyle w:val="FootnoteText"/>
        <w:ind w:left="600" w:hangingChars="250" w:hanging="600"/>
        <w:rPr>
          <w:rFonts w:ascii="Times New Roman" w:hAnsi="Times New Roman" w:cs="Times New Roman"/>
          <w:sz w:val="24"/>
          <w:szCs w:val="24"/>
        </w:rPr>
      </w:pPr>
      <w:r>
        <w:rPr>
          <w:rFonts w:ascii="Times New Roman" w:hAnsi="Times New Roman" w:cs="Times New Roman"/>
          <w:sz w:val="24"/>
          <w:szCs w:val="24"/>
          <w:lang w:val="en-GB"/>
        </w:rPr>
        <w:t>Avgar, A., Lee, K., &amp;</w:t>
      </w:r>
      <w:r w:rsidR="0049223D">
        <w:rPr>
          <w:rFonts w:ascii="Times New Roman" w:hAnsi="Times New Roman" w:cs="Times New Roman"/>
          <w:sz w:val="24"/>
          <w:szCs w:val="24"/>
          <w:lang w:val="en-GB"/>
        </w:rPr>
        <w:t xml:space="preserve"> Chung, W (2012), ‘Conflict in context: Perceptions of conflict, employees outcomes and the moderating role of discretion and social capital’; </w:t>
      </w:r>
      <w:r w:rsidR="0049223D">
        <w:rPr>
          <w:rFonts w:ascii="Times New Roman" w:hAnsi="Times New Roman" w:cs="Times New Roman"/>
          <w:i/>
          <w:iCs/>
          <w:sz w:val="24"/>
          <w:szCs w:val="24"/>
          <w:lang w:val="en-GB"/>
        </w:rPr>
        <w:t>International Journal of Conflict Management</w:t>
      </w:r>
      <w:r w:rsidR="00C6258A">
        <w:rPr>
          <w:rFonts w:ascii="Times New Roman" w:hAnsi="Times New Roman" w:cs="Times New Roman"/>
          <w:sz w:val="24"/>
          <w:szCs w:val="24"/>
          <w:lang w:val="en-GB"/>
        </w:rPr>
        <w:t>, (</w:t>
      </w:r>
      <w:r w:rsidR="0049223D">
        <w:rPr>
          <w:rFonts w:ascii="Times New Roman" w:hAnsi="Times New Roman" w:cs="Times New Roman"/>
          <w:sz w:val="24"/>
          <w:szCs w:val="24"/>
          <w:lang w:val="en-GB"/>
        </w:rPr>
        <w:t>25</w:t>
      </w:r>
      <w:r w:rsidR="00C6258A">
        <w:rPr>
          <w:rFonts w:ascii="Times New Roman" w:hAnsi="Times New Roman" w:cs="Times New Roman"/>
          <w:sz w:val="24"/>
          <w:szCs w:val="24"/>
          <w:lang w:val="en-GB"/>
        </w:rPr>
        <w:t>)</w:t>
      </w:r>
      <w:r w:rsidR="0049223D">
        <w:rPr>
          <w:rFonts w:ascii="Times New Roman" w:hAnsi="Times New Roman" w:cs="Times New Roman"/>
          <w:sz w:val="24"/>
          <w:szCs w:val="24"/>
          <w:lang w:val="en-GB"/>
        </w:rPr>
        <w:t xml:space="preserve">3, 276-303, </w:t>
      </w:r>
      <w:hyperlink r:id="rId6" w:tooltip="DOI: https://doi.org/10.1108/IJCMA-03-2012-0030" w:history="1">
        <w:r w:rsidR="0049223D">
          <w:rPr>
            <w:rStyle w:val="Hyperlink"/>
            <w:rFonts w:ascii="Times New Roman" w:hAnsi="Times New Roman" w:cs="Times New Roman"/>
            <w:color w:val="00292B"/>
            <w:sz w:val="24"/>
            <w:szCs w:val="24"/>
          </w:rPr>
          <w:t>https://doi.org/10.1108/IJCMA-03-2012-0030</w:t>
        </w:r>
      </w:hyperlink>
      <w:r w:rsidR="0049223D">
        <w:rPr>
          <w:rFonts w:ascii="Times New Roman" w:hAnsi="Times New Roman" w:cs="Times New Roman"/>
          <w:sz w:val="24"/>
          <w:szCs w:val="24"/>
        </w:rPr>
        <w:t>.</w:t>
      </w:r>
    </w:p>
    <w:p w:rsidR="00BA3484" w:rsidRDefault="00BA3484">
      <w:pPr>
        <w:pStyle w:val="FootnoteText"/>
        <w:rPr>
          <w:rFonts w:ascii="Times New Roman" w:hAnsi="Times New Roman" w:cs="Times New Roman"/>
          <w:sz w:val="13"/>
          <w:szCs w:val="13"/>
        </w:rPr>
      </w:pPr>
    </w:p>
    <w:p w:rsidR="00BA3484" w:rsidRDefault="0049223D">
      <w:pPr>
        <w:pStyle w:val="FootnoteText"/>
        <w:ind w:left="600" w:hangingChars="250" w:hanging="600"/>
        <w:rPr>
          <w:rFonts w:ascii="Times New Roman" w:hAnsi="Times New Roman" w:cs="Times New Roman"/>
          <w:sz w:val="24"/>
          <w:szCs w:val="24"/>
          <w:lang w:val="en-GB"/>
        </w:rPr>
      </w:pPr>
      <w:r>
        <w:rPr>
          <w:rFonts w:ascii="Times New Roman" w:hAnsi="Times New Roman" w:cs="Times New Roman"/>
          <w:sz w:val="24"/>
          <w:szCs w:val="24"/>
        </w:rPr>
        <w:t>Beall, J., Casola, W., Peterson, N., Larson, L., Carr,</w:t>
      </w:r>
      <w:r w:rsidR="00D65C29">
        <w:rPr>
          <w:rFonts w:ascii="Times New Roman" w:hAnsi="Times New Roman" w:cs="Times New Roman"/>
          <w:sz w:val="24"/>
          <w:szCs w:val="24"/>
        </w:rPr>
        <w:t xml:space="preserve"> W., Seekamp, E., Stevenson. K.&amp;</w:t>
      </w:r>
      <w:r>
        <w:rPr>
          <w:rFonts w:ascii="Times New Roman" w:hAnsi="Times New Roman" w:cs="Times New Roman"/>
          <w:sz w:val="24"/>
          <w:szCs w:val="24"/>
        </w:rPr>
        <w:t xml:space="preserve"> Jackson, S. (2021), </w:t>
      </w:r>
      <w:r>
        <w:rPr>
          <w:rFonts w:ascii="Times New Roman" w:hAnsi="Times New Roman" w:cs="Times New Roman"/>
          <w:sz w:val="24"/>
          <w:szCs w:val="24"/>
          <w:lang w:val="en-GB"/>
        </w:rPr>
        <w:t>‘</w:t>
      </w:r>
      <w:r>
        <w:rPr>
          <w:rFonts w:ascii="Times New Roman" w:hAnsi="Times New Roman" w:cs="Times New Roman"/>
          <w:sz w:val="24"/>
          <w:szCs w:val="24"/>
        </w:rPr>
        <w:t>Cultural Cognition and Ideological Framing about Zoonotic Diseases in the Era of COVID-19</w:t>
      </w:r>
      <w:r>
        <w:rPr>
          <w:rFonts w:ascii="Times New Roman" w:hAnsi="Times New Roman" w:cs="Times New Roman"/>
          <w:sz w:val="24"/>
          <w:szCs w:val="24"/>
          <w:lang w:val="en-GB"/>
        </w:rPr>
        <w:t>’</w:t>
      </w:r>
      <w:r>
        <w:rPr>
          <w:rFonts w:ascii="Times New Roman" w:hAnsi="Times New Roman" w:cs="Times New Roman"/>
          <w:sz w:val="24"/>
          <w:szCs w:val="24"/>
        </w:rPr>
        <w:t>,</w:t>
      </w:r>
      <w:r>
        <w:rPr>
          <w:rStyle w:val="Emphasis"/>
          <w:rFonts w:ascii="Times New Roman" w:hAnsi="Times New Roman" w:cs="Times New Roman"/>
          <w:color w:val="3E3D40"/>
          <w:sz w:val="24"/>
          <w:szCs w:val="24"/>
          <w:shd w:val="clear" w:color="auto" w:fill="F7F7F7"/>
        </w:rPr>
        <w:t>Front. Commun.</w:t>
      </w:r>
      <w:r>
        <w:rPr>
          <w:rFonts w:ascii="Times New Roman" w:hAnsi="Times New Roman" w:cs="Times New Roman"/>
          <w:color w:val="3E3D40"/>
          <w:sz w:val="24"/>
          <w:szCs w:val="24"/>
          <w:shd w:val="clear" w:color="auto" w:fill="F7F7F7"/>
        </w:rPr>
        <w:t> </w:t>
      </w:r>
      <w:r w:rsidR="00D65C29">
        <w:rPr>
          <w:rFonts w:ascii="Times New Roman" w:hAnsi="Times New Roman" w:cs="Times New Roman"/>
          <w:color w:val="3E3D40"/>
          <w:sz w:val="24"/>
          <w:szCs w:val="24"/>
          <w:shd w:val="clear" w:color="auto" w:fill="F7F7F7"/>
        </w:rPr>
        <w:t>(</w:t>
      </w:r>
      <w:r>
        <w:rPr>
          <w:rFonts w:ascii="Times New Roman" w:hAnsi="Times New Roman" w:cs="Times New Roman"/>
          <w:color w:val="3E3D40"/>
          <w:sz w:val="24"/>
          <w:szCs w:val="24"/>
          <w:shd w:val="clear" w:color="auto" w:fill="F7F7F7"/>
        </w:rPr>
        <w:t>6</w:t>
      </w:r>
      <w:r w:rsidR="00D65C29">
        <w:rPr>
          <w:rFonts w:ascii="Times New Roman" w:hAnsi="Times New Roman" w:cs="Times New Roman"/>
          <w:color w:val="3E3D40"/>
          <w:sz w:val="24"/>
          <w:szCs w:val="24"/>
          <w:shd w:val="clear" w:color="auto" w:fill="F7F7F7"/>
        </w:rPr>
        <w:t xml:space="preserve">), </w:t>
      </w:r>
      <w:r>
        <w:rPr>
          <w:rFonts w:ascii="Times New Roman" w:hAnsi="Times New Roman" w:cs="Times New Roman"/>
          <w:color w:val="3E3D40"/>
          <w:sz w:val="24"/>
          <w:szCs w:val="24"/>
          <w:shd w:val="clear" w:color="auto" w:fill="F7F7F7"/>
        </w:rPr>
        <w:t>645</w:t>
      </w:r>
      <w:r w:rsidR="00D65C29">
        <w:rPr>
          <w:rFonts w:ascii="Times New Roman" w:hAnsi="Times New Roman" w:cs="Times New Roman"/>
          <w:color w:val="3E3D40"/>
          <w:sz w:val="24"/>
          <w:szCs w:val="24"/>
          <w:shd w:val="clear" w:color="auto" w:fill="F7F7F7"/>
        </w:rPr>
        <w:t>-</w:t>
      </w:r>
      <w:r>
        <w:rPr>
          <w:rFonts w:ascii="Times New Roman" w:hAnsi="Times New Roman" w:cs="Times New Roman"/>
          <w:color w:val="3E3D40"/>
          <w:sz w:val="24"/>
          <w:szCs w:val="24"/>
          <w:shd w:val="clear" w:color="auto" w:fill="F7F7F7"/>
        </w:rPr>
        <w:t>692. doi: 10.3389/fcomm.2021.645692</w:t>
      </w:r>
    </w:p>
    <w:p w:rsidR="00BA3484" w:rsidRDefault="00BA3484">
      <w:pPr>
        <w:pStyle w:val="FootnoteText"/>
        <w:rPr>
          <w:rFonts w:ascii="Times New Roman" w:hAnsi="Times New Roman" w:cs="Times New Roman"/>
          <w:sz w:val="4"/>
          <w:szCs w:val="4"/>
        </w:rPr>
      </w:pPr>
    </w:p>
    <w:p w:rsidR="00BA3484" w:rsidRDefault="0049223D" w:rsidP="000F575F">
      <w:pPr>
        <w:pStyle w:val="FootnoteText"/>
        <w:ind w:left="600" w:hangingChars="250" w:hanging="600"/>
        <w:rPr>
          <w:rFonts w:ascii="Times New Roman" w:hAnsi="Times New Roman" w:cs="Times New Roman"/>
          <w:sz w:val="24"/>
          <w:szCs w:val="24"/>
          <w:lang w:val="en-GB"/>
        </w:rPr>
      </w:pPr>
      <w:r>
        <w:rPr>
          <w:rFonts w:ascii="Times New Roman" w:hAnsi="Times New Roman" w:cs="Times New Roman"/>
          <w:sz w:val="24"/>
          <w:szCs w:val="24"/>
          <w:lang w:val="en-GB"/>
        </w:rPr>
        <w:t xml:space="preserve">Bellemare, M. (2009), ‘When Perception is Reality: Subjective expectations and contracting’; </w:t>
      </w:r>
      <w:r>
        <w:rPr>
          <w:rFonts w:ascii="Times New Roman" w:hAnsi="Times New Roman" w:cs="Times New Roman"/>
          <w:i/>
          <w:iCs/>
          <w:sz w:val="24"/>
          <w:szCs w:val="24"/>
          <w:lang w:val="en-GB"/>
        </w:rPr>
        <w:t>American Journal of Agricultural Economics</w:t>
      </w:r>
      <w:r w:rsidR="00D65C29">
        <w:rPr>
          <w:rFonts w:ascii="Times New Roman" w:hAnsi="Times New Roman" w:cs="Times New Roman"/>
          <w:sz w:val="24"/>
          <w:szCs w:val="24"/>
          <w:lang w:val="en-GB"/>
        </w:rPr>
        <w:t>,(</w:t>
      </w:r>
      <w:r>
        <w:rPr>
          <w:rFonts w:ascii="Times New Roman" w:hAnsi="Times New Roman" w:cs="Times New Roman"/>
          <w:sz w:val="24"/>
          <w:szCs w:val="24"/>
          <w:lang w:val="en-GB"/>
        </w:rPr>
        <w:t>19</w:t>
      </w:r>
      <w:r w:rsidR="00D65C29">
        <w:rPr>
          <w:rFonts w:ascii="Times New Roman" w:hAnsi="Times New Roman" w:cs="Times New Roman"/>
          <w:sz w:val="24"/>
          <w:szCs w:val="24"/>
          <w:lang w:val="en-GB"/>
        </w:rPr>
        <w:t>)</w:t>
      </w:r>
      <w:r>
        <w:rPr>
          <w:rFonts w:ascii="Times New Roman" w:hAnsi="Times New Roman" w:cs="Times New Roman"/>
          <w:sz w:val="24"/>
          <w:szCs w:val="24"/>
          <w:lang w:val="en-GB"/>
        </w:rPr>
        <w:t>5</w:t>
      </w:r>
      <w:r w:rsidR="00D65C29">
        <w:rPr>
          <w:rFonts w:ascii="Times New Roman" w:hAnsi="Times New Roman" w:cs="Times New Roman"/>
          <w:sz w:val="24"/>
          <w:szCs w:val="24"/>
          <w:lang w:val="en-GB"/>
        </w:rPr>
        <w:t>,</w:t>
      </w:r>
      <w:r>
        <w:rPr>
          <w:rFonts w:ascii="Times New Roman" w:hAnsi="Times New Roman" w:cs="Times New Roman"/>
          <w:sz w:val="24"/>
          <w:szCs w:val="24"/>
          <w:lang w:val="en-GB"/>
        </w:rPr>
        <w:t xml:space="preserve">1377 – 1381. </w:t>
      </w:r>
    </w:p>
    <w:p w:rsidR="00BA3484" w:rsidRDefault="00BA3484">
      <w:pPr>
        <w:pStyle w:val="FootnoteText"/>
        <w:rPr>
          <w:rFonts w:ascii="Times New Roman" w:hAnsi="Times New Roman" w:cs="Times New Roman"/>
          <w:sz w:val="11"/>
          <w:szCs w:val="11"/>
          <w:lang w:val="en-GB"/>
        </w:rPr>
      </w:pPr>
    </w:p>
    <w:p w:rsidR="00BA3484" w:rsidRDefault="0049223D">
      <w:pPr>
        <w:pStyle w:val="FootnoteText"/>
        <w:rPr>
          <w:rFonts w:ascii="Times New Roman" w:hAnsi="Times New Roman" w:cs="Times New Roman"/>
          <w:sz w:val="24"/>
          <w:szCs w:val="24"/>
          <w:lang w:val="en-GB"/>
        </w:rPr>
      </w:pPr>
      <w:r>
        <w:rPr>
          <w:rFonts w:ascii="Times New Roman" w:hAnsi="Times New Roman" w:cs="Times New Roman"/>
          <w:sz w:val="24"/>
          <w:szCs w:val="24"/>
          <w:lang w:val="en-GB"/>
        </w:rPr>
        <w:t>Economic Times (9</w:t>
      </w:r>
      <w:r>
        <w:rPr>
          <w:rFonts w:ascii="Times New Roman" w:hAnsi="Times New Roman" w:cs="Times New Roman"/>
          <w:sz w:val="24"/>
          <w:szCs w:val="24"/>
          <w:vertAlign w:val="superscript"/>
          <w:lang w:val="en-GB"/>
        </w:rPr>
        <w:t>th</w:t>
      </w:r>
      <w:r w:rsidR="00D65C29">
        <w:rPr>
          <w:rFonts w:ascii="Times New Roman" w:hAnsi="Times New Roman" w:cs="Times New Roman"/>
          <w:sz w:val="24"/>
          <w:szCs w:val="24"/>
          <w:lang w:val="en-GB"/>
        </w:rPr>
        <w:t xml:space="preserve"> February, 2024) </w:t>
      </w:r>
      <w:r>
        <w:rPr>
          <w:rFonts w:ascii="Times New Roman" w:hAnsi="Times New Roman" w:cs="Times New Roman"/>
          <w:sz w:val="24"/>
          <w:szCs w:val="24"/>
          <w:lang w:val="en-GB"/>
        </w:rPr>
        <w:t xml:space="preserve">economic times.indiantimes.com </w:t>
      </w:r>
    </w:p>
    <w:p w:rsidR="00BA3484" w:rsidRDefault="0049223D">
      <w:pPr>
        <w:tabs>
          <w:tab w:val="left" w:pos="709"/>
        </w:tabs>
        <w:spacing w:line="240" w:lineRule="auto"/>
        <w:ind w:left="600" w:hangingChars="250" w:hanging="600"/>
        <w:jc w:val="both"/>
        <w:rPr>
          <w:rFonts w:ascii="Times New Roman" w:eastAsia="Times New Roman" w:hAnsi="Times New Roman" w:cs="Times New Roman"/>
          <w:sz w:val="24"/>
          <w:szCs w:val="24"/>
          <w:lang w:val="en-GB"/>
        </w:rPr>
      </w:pPr>
      <w:r>
        <w:rPr>
          <w:rFonts w:ascii="Times New Roman" w:hAnsi="Times New Roman" w:cs="Times New Roman"/>
          <w:sz w:val="24"/>
          <w:szCs w:val="24"/>
          <w:lang w:val="en-GB"/>
        </w:rPr>
        <w:t xml:space="preserve">Fajana, S. (2006), </w:t>
      </w:r>
      <w:r>
        <w:rPr>
          <w:rFonts w:ascii="Times New Roman" w:hAnsi="Times New Roman" w:cs="Times New Roman"/>
          <w:i/>
          <w:iCs/>
          <w:sz w:val="24"/>
          <w:szCs w:val="24"/>
          <w:lang w:val="en-GB"/>
        </w:rPr>
        <w:t>Industrial Relations in Nigeria: Theory and Features</w:t>
      </w:r>
      <w:r>
        <w:rPr>
          <w:rFonts w:ascii="Times New Roman" w:hAnsi="Times New Roman" w:cs="Times New Roman"/>
          <w:sz w:val="24"/>
          <w:szCs w:val="24"/>
          <w:lang w:val="en-GB"/>
        </w:rPr>
        <w:t xml:space="preserve"> (3</w:t>
      </w:r>
      <w:r>
        <w:rPr>
          <w:rFonts w:ascii="Times New Roman" w:hAnsi="Times New Roman" w:cs="Times New Roman"/>
          <w:sz w:val="24"/>
          <w:szCs w:val="24"/>
          <w:vertAlign w:val="superscript"/>
          <w:lang w:val="en-GB"/>
        </w:rPr>
        <w:t>rd</w:t>
      </w:r>
      <w:r>
        <w:rPr>
          <w:rFonts w:ascii="Times New Roman" w:hAnsi="Times New Roman" w:cs="Times New Roman"/>
          <w:sz w:val="24"/>
          <w:szCs w:val="24"/>
          <w:lang w:val="en-GB"/>
        </w:rPr>
        <w:t xml:space="preserve"> Ed), Lagos, Labofin &amp; Co. </w:t>
      </w:r>
    </w:p>
    <w:p w:rsidR="00BA3484" w:rsidRDefault="0049223D">
      <w:pPr>
        <w:pStyle w:val="FootnoteText"/>
        <w:rPr>
          <w:rFonts w:ascii="Times New Roman" w:hAnsi="Times New Roman" w:cs="Times New Roman"/>
          <w:sz w:val="24"/>
          <w:szCs w:val="24"/>
        </w:rPr>
      </w:pPr>
      <w:r>
        <w:rPr>
          <w:rFonts w:ascii="Times New Roman" w:hAnsi="Times New Roman" w:cs="Times New Roman"/>
          <w:sz w:val="24"/>
          <w:szCs w:val="24"/>
        </w:rPr>
        <w:t xml:space="preserve">Freeman, R. &amp; Medoff, J. (1984), </w:t>
      </w:r>
      <w:r>
        <w:rPr>
          <w:rFonts w:ascii="Times New Roman" w:hAnsi="Times New Roman" w:cs="Times New Roman"/>
          <w:i/>
          <w:iCs/>
          <w:sz w:val="24"/>
          <w:szCs w:val="24"/>
        </w:rPr>
        <w:t>What Do Unions Do?</w:t>
      </w:r>
      <w:r>
        <w:rPr>
          <w:rFonts w:ascii="Times New Roman" w:hAnsi="Times New Roman" w:cs="Times New Roman"/>
          <w:sz w:val="24"/>
          <w:szCs w:val="24"/>
        </w:rPr>
        <w:t xml:space="preserve">, New York, Basic Book. </w:t>
      </w:r>
    </w:p>
    <w:p w:rsidR="00BA3484" w:rsidRDefault="00BA3484">
      <w:pPr>
        <w:pStyle w:val="FootnoteText"/>
        <w:rPr>
          <w:rFonts w:ascii="Times New Roman" w:hAnsi="Times New Roman" w:cs="Times New Roman"/>
          <w:sz w:val="11"/>
          <w:szCs w:val="11"/>
        </w:rPr>
      </w:pPr>
    </w:p>
    <w:p w:rsidR="00BA3484" w:rsidRDefault="0049223D">
      <w:pPr>
        <w:pStyle w:val="FootnoteText"/>
        <w:ind w:left="600" w:hangingChars="250" w:hanging="600"/>
        <w:rPr>
          <w:rFonts w:ascii="Times New Roman" w:hAnsi="Times New Roman" w:cs="Times New Roman"/>
          <w:sz w:val="24"/>
          <w:szCs w:val="24"/>
          <w:lang w:val="en-GB"/>
        </w:rPr>
      </w:pPr>
      <w:r>
        <w:rPr>
          <w:rFonts w:ascii="Times New Roman" w:hAnsi="Times New Roman" w:cs="Times New Roman"/>
          <w:sz w:val="24"/>
          <w:szCs w:val="24"/>
          <w:lang w:val="en-GB"/>
        </w:rPr>
        <w:t xml:space="preserve">Gilchrist, A. (2012), ‘Objective and subjective sides of perception’, </w:t>
      </w:r>
      <w:hyperlink r:id="rId7" w:history="1">
        <w:r>
          <w:rPr>
            <w:rStyle w:val="Hyperlink"/>
            <w:rFonts w:ascii="Times New Roman" w:hAnsi="Times New Roman" w:cs="Times New Roman"/>
            <w:sz w:val="24"/>
            <w:szCs w:val="24"/>
            <w:lang w:val="en-GB"/>
          </w:rPr>
          <w:t>https://academic.oup.com/book/10036/chapter-</w:t>
        </w:r>
      </w:hyperlink>
      <w:r>
        <w:rPr>
          <w:rFonts w:ascii="Times New Roman" w:hAnsi="Times New Roman" w:cs="Times New Roman"/>
          <w:sz w:val="24"/>
          <w:szCs w:val="24"/>
          <w:lang w:val="en-GB"/>
        </w:rPr>
        <w:t>abstract/157452887?redirectedFrom=fulltext&amp;login=false</w:t>
      </w:r>
    </w:p>
    <w:p w:rsidR="00BA3484" w:rsidRDefault="00BA3484">
      <w:pPr>
        <w:pStyle w:val="FootnoteText"/>
        <w:rPr>
          <w:rFonts w:ascii="Times New Roman" w:hAnsi="Times New Roman" w:cs="Times New Roman"/>
          <w:sz w:val="8"/>
          <w:szCs w:val="8"/>
        </w:rPr>
      </w:pPr>
    </w:p>
    <w:p w:rsidR="00BA3484" w:rsidRDefault="0049223D">
      <w:pPr>
        <w:pStyle w:val="FootnoteText"/>
        <w:ind w:left="600" w:hangingChars="250" w:hanging="600"/>
        <w:rPr>
          <w:rFonts w:ascii="Times New Roman" w:hAnsi="Times New Roman" w:cs="Times New Roman"/>
          <w:sz w:val="24"/>
          <w:szCs w:val="24"/>
        </w:rPr>
      </w:pPr>
      <w:r>
        <w:rPr>
          <w:rFonts w:ascii="Times New Roman" w:hAnsi="Times New Roman" w:cs="Times New Roman"/>
          <w:sz w:val="24"/>
          <w:szCs w:val="24"/>
          <w:lang w:val="en-GB"/>
        </w:rPr>
        <w:t xml:space="preserve">Hadziabdic, S. &amp; Baccoro, L. (2020), ‘A Switch or a Process: Disentangling the effects of union membership on political attitudes in Switzerland and the UK’; </w:t>
      </w:r>
      <w:r>
        <w:rPr>
          <w:rFonts w:ascii="Times New Roman" w:hAnsi="Times New Roman" w:cs="Times New Roman"/>
          <w:i/>
          <w:iCs/>
          <w:sz w:val="24"/>
          <w:szCs w:val="24"/>
          <w:lang w:val="en-GB"/>
        </w:rPr>
        <w:t>Industrial Relations: A Journal of Economy and Society</w:t>
      </w:r>
      <w:r w:rsidR="00D65C29">
        <w:rPr>
          <w:rFonts w:ascii="Times New Roman" w:hAnsi="Times New Roman" w:cs="Times New Roman"/>
          <w:sz w:val="24"/>
          <w:szCs w:val="24"/>
          <w:lang w:val="en-GB"/>
        </w:rPr>
        <w:t>, (</w:t>
      </w:r>
      <w:r>
        <w:rPr>
          <w:rFonts w:ascii="Times New Roman" w:hAnsi="Times New Roman" w:cs="Times New Roman"/>
          <w:sz w:val="24"/>
          <w:szCs w:val="24"/>
          <w:lang w:val="en-GB"/>
        </w:rPr>
        <w:t>59</w:t>
      </w:r>
      <w:r w:rsidR="00D65C29">
        <w:rPr>
          <w:rFonts w:ascii="Times New Roman" w:hAnsi="Times New Roman" w:cs="Times New Roman"/>
          <w:sz w:val="24"/>
          <w:szCs w:val="24"/>
          <w:lang w:val="en-GB"/>
        </w:rPr>
        <w:t>)</w:t>
      </w:r>
      <w:r>
        <w:rPr>
          <w:rFonts w:ascii="Times New Roman" w:hAnsi="Times New Roman" w:cs="Times New Roman"/>
          <w:sz w:val="24"/>
          <w:szCs w:val="24"/>
          <w:lang w:val="en-GB"/>
        </w:rPr>
        <w:t>3</w:t>
      </w:r>
      <w:r w:rsidR="00D65C29">
        <w:rPr>
          <w:rFonts w:ascii="Times New Roman" w:hAnsi="Times New Roman" w:cs="Times New Roman"/>
          <w:sz w:val="24"/>
          <w:szCs w:val="24"/>
          <w:lang w:val="en-GB"/>
        </w:rPr>
        <w:t>,</w:t>
      </w:r>
      <w:r>
        <w:rPr>
          <w:rFonts w:ascii="Times New Roman" w:hAnsi="Times New Roman" w:cs="Times New Roman"/>
          <w:sz w:val="24"/>
          <w:szCs w:val="24"/>
          <w:lang w:val="en-GB"/>
        </w:rPr>
        <w:t xml:space="preserve"> 466-499. </w:t>
      </w:r>
      <w:hyperlink r:id="rId8" w:history="1">
        <w:r>
          <w:rPr>
            <w:rStyle w:val="Hyperlink"/>
            <w:rFonts w:ascii="Times New Roman" w:hAnsi="Times New Roman" w:cs="Times New Roman"/>
            <w:b/>
            <w:bCs/>
            <w:sz w:val="24"/>
            <w:szCs w:val="24"/>
            <w:shd w:val="clear" w:color="auto" w:fill="FFFFFF"/>
          </w:rPr>
          <w:t>https://doi.org/10.1111/irel.12264</w:t>
        </w:r>
      </w:hyperlink>
    </w:p>
    <w:p w:rsidR="00BA3484" w:rsidRDefault="00BA3484">
      <w:pPr>
        <w:pStyle w:val="FootnoteText"/>
        <w:rPr>
          <w:rFonts w:ascii="Times New Roman" w:hAnsi="Times New Roman" w:cs="Times New Roman"/>
          <w:sz w:val="10"/>
          <w:szCs w:val="10"/>
          <w:lang w:val="en-GB"/>
        </w:rPr>
      </w:pPr>
    </w:p>
    <w:p w:rsidR="00BA3484" w:rsidRDefault="0049223D" w:rsidP="000F575F">
      <w:pPr>
        <w:pStyle w:val="FootnoteText"/>
        <w:ind w:left="600" w:hangingChars="250" w:hanging="600"/>
        <w:rPr>
          <w:rFonts w:ascii="Times New Roman" w:hAnsi="Times New Roman" w:cs="Times New Roman"/>
          <w:sz w:val="24"/>
          <w:szCs w:val="24"/>
          <w:lang w:val="en-GB"/>
        </w:rPr>
      </w:pPr>
      <w:r>
        <w:rPr>
          <w:rFonts w:ascii="Times New Roman" w:hAnsi="Times New Roman" w:cs="Times New Roman"/>
          <w:sz w:val="24"/>
          <w:szCs w:val="24"/>
          <w:lang w:val="en-GB"/>
        </w:rPr>
        <w:t xml:space="preserve">Hameed, S., Ipinloju, A., &amp; Oladipo, P. (2020), ‘Effect of Trade Unionism in Conflict Resolution A case study of the non academic staff union of Universities, University of Ilorin Branch’, </w:t>
      </w:r>
      <w:r>
        <w:rPr>
          <w:rFonts w:ascii="Times New Roman" w:hAnsi="Times New Roman" w:cs="Times New Roman"/>
          <w:i/>
          <w:iCs/>
          <w:sz w:val="24"/>
          <w:szCs w:val="24"/>
          <w:lang w:val="en-GB"/>
        </w:rPr>
        <w:t>International Journal of advances in Engineering and Management</w:t>
      </w:r>
      <w:r w:rsidR="00D65C29">
        <w:rPr>
          <w:rFonts w:ascii="Times New Roman" w:hAnsi="Times New Roman" w:cs="Times New Roman"/>
          <w:sz w:val="24"/>
          <w:szCs w:val="24"/>
          <w:lang w:val="en-GB"/>
        </w:rPr>
        <w:t>,</w:t>
      </w:r>
      <w:r>
        <w:rPr>
          <w:rFonts w:ascii="Times New Roman" w:hAnsi="Times New Roman" w:cs="Times New Roman"/>
          <w:sz w:val="24"/>
          <w:szCs w:val="24"/>
          <w:lang w:val="en-GB"/>
        </w:rPr>
        <w:t xml:space="preserve"> </w:t>
      </w:r>
      <w:r w:rsidR="00D65C29">
        <w:rPr>
          <w:rFonts w:ascii="Times New Roman" w:hAnsi="Times New Roman" w:cs="Times New Roman"/>
          <w:sz w:val="24"/>
          <w:szCs w:val="24"/>
          <w:lang w:val="en-GB"/>
        </w:rPr>
        <w:t>(</w:t>
      </w:r>
      <w:r>
        <w:rPr>
          <w:rFonts w:ascii="Times New Roman" w:hAnsi="Times New Roman" w:cs="Times New Roman"/>
          <w:sz w:val="24"/>
          <w:szCs w:val="24"/>
          <w:lang w:val="en-GB"/>
        </w:rPr>
        <w:t>2</w:t>
      </w:r>
      <w:r w:rsidR="00D65C29">
        <w:rPr>
          <w:rFonts w:ascii="Times New Roman" w:hAnsi="Times New Roman" w:cs="Times New Roman"/>
          <w:sz w:val="24"/>
          <w:szCs w:val="24"/>
          <w:lang w:val="en-GB"/>
        </w:rPr>
        <w:t>)12,</w:t>
      </w:r>
      <w:r>
        <w:rPr>
          <w:rFonts w:ascii="Times New Roman" w:hAnsi="Times New Roman" w:cs="Times New Roman"/>
          <w:sz w:val="24"/>
          <w:szCs w:val="24"/>
          <w:lang w:val="en-GB"/>
        </w:rPr>
        <w:t xml:space="preserve"> 83- 93. </w:t>
      </w:r>
    </w:p>
    <w:p w:rsidR="00BA3484" w:rsidRDefault="0049223D">
      <w:pPr>
        <w:pStyle w:val="FootnoteText"/>
        <w:ind w:left="600" w:hangingChars="250" w:hanging="600"/>
        <w:rPr>
          <w:rFonts w:ascii="Times New Roman" w:eastAsia="sans-serif" w:hAnsi="Times New Roman" w:cs="Times New Roman"/>
          <w:color w:val="333333"/>
          <w:sz w:val="24"/>
          <w:szCs w:val="24"/>
          <w:shd w:val="clear" w:color="auto" w:fill="FFFFFF"/>
        </w:rPr>
      </w:pPr>
      <w:r>
        <w:rPr>
          <w:rFonts w:ascii="Times New Roman" w:hAnsi="Times New Roman" w:cs="Times New Roman"/>
          <w:sz w:val="24"/>
          <w:szCs w:val="24"/>
          <w:lang w:val="en-GB"/>
        </w:rPr>
        <w:t xml:space="preserve">Hyman, R (1996), </w:t>
      </w:r>
      <w:r>
        <w:rPr>
          <w:rFonts w:ascii="Times New Roman" w:eastAsia="sans-serif" w:hAnsi="Times New Roman" w:cs="Times New Roman"/>
          <w:color w:val="333333"/>
          <w:sz w:val="24"/>
          <w:szCs w:val="24"/>
          <w:shd w:val="clear" w:color="auto" w:fill="FFFFFF"/>
        </w:rPr>
        <w:t>`Union Identities and Ideologies in Europe', in P. Pasture, J. Verberckmoes and H. De Witte (eds) </w:t>
      </w:r>
      <w:r>
        <w:rPr>
          <w:rStyle w:val="Emphasis"/>
          <w:rFonts w:ascii="Times New Roman" w:eastAsia="sans-serif" w:hAnsi="Times New Roman" w:cs="Times New Roman"/>
          <w:color w:val="333333"/>
          <w:sz w:val="24"/>
          <w:szCs w:val="24"/>
          <w:shd w:val="clear" w:color="auto" w:fill="FFFFFF"/>
        </w:rPr>
        <w:t>The Lost Perspective? Trade Unions Between Ideology and Social Action in the New Europe, Volume 2: Significance of Ideology in European Trade Unionism</w:t>
      </w:r>
      <w:r w:rsidR="00D65C29">
        <w:rPr>
          <w:rFonts w:ascii="Times New Roman" w:eastAsia="sans-serif" w:hAnsi="Times New Roman" w:cs="Times New Roman"/>
          <w:color w:val="333333"/>
          <w:sz w:val="24"/>
          <w:szCs w:val="24"/>
          <w:shd w:val="clear" w:color="auto" w:fill="FFFFFF"/>
        </w:rPr>
        <w:t xml:space="preserve">, </w:t>
      </w:r>
      <w:r>
        <w:rPr>
          <w:rFonts w:ascii="Times New Roman" w:eastAsia="sans-serif" w:hAnsi="Times New Roman" w:cs="Times New Roman"/>
          <w:color w:val="333333"/>
          <w:sz w:val="24"/>
          <w:szCs w:val="24"/>
          <w:shd w:val="clear" w:color="auto" w:fill="FFFFFF"/>
        </w:rPr>
        <w:t>60-89. Aldershot: Avebury.</w:t>
      </w:r>
    </w:p>
    <w:p w:rsidR="00BA3484" w:rsidRDefault="00BA3484" w:rsidP="000F575F">
      <w:pPr>
        <w:pStyle w:val="FootnoteText"/>
        <w:ind w:left="275" w:hangingChars="250" w:hanging="275"/>
        <w:rPr>
          <w:rFonts w:ascii="Times New Roman" w:eastAsia="sans-serif" w:hAnsi="Times New Roman" w:cs="Times New Roman"/>
          <w:color w:val="333333"/>
          <w:sz w:val="11"/>
          <w:szCs w:val="11"/>
          <w:shd w:val="clear" w:color="auto" w:fill="FFFFFF"/>
        </w:rPr>
      </w:pPr>
    </w:p>
    <w:p w:rsidR="00BA3484" w:rsidRDefault="0049223D">
      <w:pPr>
        <w:pStyle w:val="FootnoteText"/>
        <w:ind w:left="600" w:hangingChars="250" w:hanging="600"/>
        <w:rPr>
          <w:rFonts w:ascii="Times New Roman" w:eastAsia="sans-serif" w:hAnsi="Times New Roman" w:cs="Times New Roman"/>
          <w:color w:val="333333"/>
          <w:sz w:val="24"/>
          <w:szCs w:val="24"/>
          <w:shd w:val="clear" w:color="auto" w:fill="FFFFFF"/>
          <w:lang w:val="en-GB"/>
        </w:rPr>
      </w:pPr>
      <w:r>
        <w:rPr>
          <w:rFonts w:ascii="Times New Roman" w:eastAsia="Times New Roman" w:hAnsi="Times New Roman" w:cs="Times New Roman"/>
          <w:sz w:val="24"/>
          <w:szCs w:val="24"/>
          <w:lang w:val="en-GB"/>
        </w:rPr>
        <w:t xml:space="preserve">Hyman, R. (2001), </w:t>
      </w:r>
      <w:r>
        <w:rPr>
          <w:rStyle w:val="Emphasis"/>
          <w:rFonts w:ascii="Times New Roman" w:eastAsia="sans-serif" w:hAnsi="Times New Roman" w:cs="Times New Roman"/>
          <w:color w:val="333333"/>
          <w:sz w:val="24"/>
          <w:szCs w:val="24"/>
          <w:shd w:val="clear" w:color="auto" w:fill="FFFFFF"/>
        </w:rPr>
        <w:t>Understanding European Trade Unionism: Between Market, Class and Society</w:t>
      </w:r>
      <w:r>
        <w:rPr>
          <w:rFonts w:ascii="Times New Roman" w:eastAsia="sans-serif" w:hAnsi="Times New Roman" w:cs="Times New Roman"/>
          <w:color w:val="333333"/>
          <w:sz w:val="24"/>
          <w:szCs w:val="24"/>
          <w:shd w:val="clear" w:color="auto" w:fill="FFFFFF"/>
        </w:rPr>
        <w:t>. London: Sage</w:t>
      </w:r>
      <w:r>
        <w:rPr>
          <w:rFonts w:ascii="sans-serif" w:eastAsia="sans-serif" w:hAnsi="sans-serif" w:cs="sans-serif"/>
          <w:color w:val="333333"/>
          <w:sz w:val="24"/>
          <w:szCs w:val="24"/>
          <w:shd w:val="clear" w:color="auto" w:fill="FFFFFF"/>
        </w:rPr>
        <w:t>.</w:t>
      </w:r>
    </w:p>
    <w:p w:rsidR="00BA3484" w:rsidRDefault="0049223D" w:rsidP="000F575F">
      <w:pPr>
        <w:pStyle w:val="FootnoteText"/>
        <w:ind w:left="600" w:hangingChars="250" w:hanging="600"/>
        <w:rPr>
          <w:rFonts w:ascii="Times New Roman" w:hAnsi="Times New Roman" w:cs="Times New Roman"/>
          <w:sz w:val="24"/>
          <w:szCs w:val="24"/>
        </w:rPr>
      </w:pPr>
      <w:r>
        <w:rPr>
          <w:rFonts w:ascii="Times New Roman" w:hAnsi="Times New Roman" w:cs="Times New Roman"/>
          <w:sz w:val="24"/>
          <w:szCs w:val="24"/>
        </w:rPr>
        <w:t xml:space="preserve">Kaufman B &amp; Lewin, D. (1998), </w:t>
      </w:r>
      <w:r>
        <w:rPr>
          <w:rFonts w:ascii="Times New Roman" w:hAnsi="Times New Roman" w:cs="Times New Roman"/>
          <w:sz w:val="24"/>
          <w:szCs w:val="24"/>
          <w:lang w:val="en-GB"/>
        </w:rPr>
        <w:t>‘</w:t>
      </w:r>
      <w:r>
        <w:rPr>
          <w:rFonts w:ascii="Times New Roman" w:hAnsi="Times New Roman" w:cs="Times New Roman"/>
          <w:sz w:val="24"/>
          <w:szCs w:val="24"/>
        </w:rPr>
        <w:t>Is the NLRA still relevant to today’s economy?</w:t>
      </w:r>
      <w:r>
        <w:rPr>
          <w:rFonts w:ascii="Times New Roman" w:hAnsi="Times New Roman" w:cs="Times New Roman"/>
          <w:sz w:val="24"/>
          <w:szCs w:val="24"/>
          <w:lang w:val="en-GB"/>
        </w:rPr>
        <w:t>’</w:t>
      </w:r>
      <w:r>
        <w:rPr>
          <w:rFonts w:ascii="Times New Roman" w:hAnsi="Times New Roman" w:cs="Times New Roman"/>
          <w:sz w:val="24"/>
          <w:szCs w:val="24"/>
        </w:rPr>
        <w:t xml:space="preserve">, </w:t>
      </w:r>
      <w:r>
        <w:rPr>
          <w:rFonts w:ascii="Times New Roman" w:hAnsi="Times New Roman" w:cs="Times New Roman"/>
          <w:i/>
          <w:iCs/>
          <w:sz w:val="24"/>
          <w:szCs w:val="24"/>
        </w:rPr>
        <w:t>Labour LawJournal</w:t>
      </w:r>
      <w:r>
        <w:rPr>
          <w:rFonts w:ascii="Times New Roman" w:hAnsi="Times New Roman" w:cs="Times New Roman"/>
          <w:sz w:val="24"/>
          <w:szCs w:val="24"/>
        </w:rPr>
        <w:t>, 49, (September), 1113-1126</w:t>
      </w:r>
    </w:p>
    <w:p w:rsidR="00BA3484" w:rsidRDefault="00BA3484">
      <w:pPr>
        <w:pStyle w:val="FootnoteText"/>
        <w:rPr>
          <w:rFonts w:ascii="Times New Roman" w:hAnsi="Times New Roman" w:cs="Times New Roman"/>
          <w:sz w:val="13"/>
          <w:szCs w:val="13"/>
        </w:rPr>
      </w:pPr>
    </w:p>
    <w:p w:rsidR="00BA3484" w:rsidRDefault="0049223D" w:rsidP="000F575F">
      <w:pPr>
        <w:pStyle w:val="FootnoteText"/>
        <w:ind w:left="600" w:hangingChars="250" w:hanging="600"/>
        <w:rPr>
          <w:rFonts w:ascii="Times New Roman" w:hAnsi="Times New Roman" w:cs="Times New Roman"/>
          <w:sz w:val="24"/>
          <w:szCs w:val="24"/>
        </w:rPr>
      </w:pPr>
      <w:r>
        <w:rPr>
          <w:rFonts w:ascii="Times New Roman" w:hAnsi="Times New Roman" w:cs="Times New Roman"/>
          <w:sz w:val="24"/>
          <w:szCs w:val="24"/>
        </w:rPr>
        <w:t xml:space="preserve">Kenedy, D., Homant, R. &amp; Homant, M. (2004), </w:t>
      </w:r>
      <w:r>
        <w:rPr>
          <w:rFonts w:ascii="Times New Roman" w:hAnsi="Times New Roman" w:cs="Times New Roman"/>
          <w:sz w:val="24"/>
          <w:szCs w:val="24"/>
          <w:lang w:val="en-GB"/>
        </w:rPr>
        <w:t>‘</w:t>
      </w:r>
      <w:r>
        <w:rPr>
          <w:rFonts w:ascii="Times New Roman" w:hAnsi="Times New Roman" w:cs="Times New Roman"/>
          <w:sz w:val="24"/>
          <w:szCs w:val="24"/>
        </w:rPr>
        <w:t>Perception of injustice as a predictor of support for workplace aggression</w:t>
      </w:r>
      <w:r>
        <w:rPr>
          <w:rFonts w:ascii="Times New Roman" w:hAnsi="Times New Roman" w:cs="Times New Roman"/>
          <w:sz w:val="24"/>
          <w:szCs w:val="24"/>
          <w:lang w:val="en-GB"/>
        </w:rPr>
        <w:t>’</w:t>
      </w:r>
      <w:r>
        <w:rPr>
          <w:rFonts w:ascii="Times New Roman" w:hAnsi="Times New Roman" w:cs="Times New Roman"/>
          <w:sz w:val="24"/>
          <w:szCs w:val="24"/>
        </w:rPr>
        <w:t xml:space="preserve">,  </w:t>
      </w:r>
      <w:r>
        <w:rPr>
          <w:rFonts w:ascii="Times New Roman" w:hAnsi="Times New Roman" w:cs="Times New Roman"/>
          <w:i/>
          <w:iCs/>
          <w:sz w:val="24"/>
          <w:szCs w:val="24"/>
        </w:rPr>
        <w:t>Journal of Business and Psychology</w:t>
      </w:r>
      <w:r w:rsidR="00D65C29">
        <w:rPr>
          <w:rFonts w:ascii="Times New Roman" w:hAnsi="Times New Roman" w:cs="Times New Roman"/>
          <w:sz w:val="24"/>
          <w:szCs w:val="24"/>
        </w:rPr>
        <w:t>,</w:t>
      </w:r>
      <w:r>
        <w:rPr>
          <w:rFonts w:ascii="Times New Roman" w:hAnsi="Times New Roman" w:cs="Times New Roman"/>
          <w:sz w:val="24"/>
          <w:szCs w:val="24"/>
        </w:rPr>
        <w:t xml:space="preserve"> </w:t>
      </w:r>
      <w:r w:rsidR="00D65C29">
        <w:rPr>
          <w:rFonts w:ascii="Times New Roman" w:hAnsi="Times New Roman" w:cs="Times New Roman"/>
          <w:sz w:val="24"/>
          <w:szCs w:val="24"/>
        </w:rPr>
        <w:t>(</w:t>
      </w:r>
      <w:r>
        <w:rPr>
          <w:rFonts w:ascii="Times New Roman" w:hAnsi="Times New Roman" w:cs="Times New Roman"/>
          <w:sz w:val="24"/>
          <w:szCs w:val="24"/>
        </w:rPr>
        <w:t>18</w:t>
      </w:r>
      <w:r w:rsidR="00D65C29">
        <w:rPr>
          <w:rFonts w:ascii="Times New Roman" w:hAnsi="Times New Roman" w:cs="Times New Roman"/>
          <w:sz w:val="24"/>
          <w:szCs w:val="24"/>
        </w:rPr>
        <w:t>)</w:t>
      </w:r>
      <w:r>
        <w:rPr>
          <w:rFonts w:ascii="Times New Roman" w:hAnsi="Times New Roman" w:cs="Times New Roman"/>
          <w:sz w:val="24"/>
          <w:szCs w:val="24"/>
        </w:rPr>
        <w:t xml:space="preserve">, 323-336, </w:t>
      </w:r>
      <w:r>
        <w:rPr>
          <w:rFonts w:ascii="Times New Roman" w:hAnsi="Times New Roman" w:cs="Times New Roman"/>
          <w:color w:val="222222"/>
          <w:sz w:val="24"/>
          <w:szCs w:val="24"/>
          <w:shd w:val="clear" w:color="auto" w:fill="FFFFFF"/>
        </w:rPr>
        <w:t>https://doi.org/10.1023/B:JOBU.0000016709.52870.2c</w:t>
      </w:r>
    </w:p>
    <w:p w:rsidR="00BA3484" w:rsidRDefault="00BA3484" w:rsidP="000F575F">
      <w:pPr>
        <w:pStyle w:val="FootnoteText"/>
        <w:ind w:left="100" w:hangingChars="250" w:hanging="100"/>
        <w:rPr>
          <w:rFonts w:ascii="Times New Roman" w:hAnsi="Times New Roman" w:cs="Times New Roman"/>
          <w:sz w:val="4"/>
          <w:szCs w:val="4"/>
        </w:rPr>
      </w:pPr>
    </w:p>
    <w:p w:rsidR="00BA3484" w:rsidRDefault="0049223D">
      <w:pPr>
        <w:pStyle w:val="Heading1"/>
        <w:spacing w:line="271" w:lineRule="atLeast"/>
        <w:ind w:left="600" w:hangingChars="250" w:hanging="600"/>
        <w:rPr>
          <w:rFonts w:ascii="Times New Roman" w:hAnsi="Times New Roman" w:hint="default"/>
          <w:color w:val="232323"/>
          <w:sz w:val="8"/>
          <w:szCs w:val="8"/>
          <w:shd w:val="clear" w:color="auto" w:fill="FFFFFF"/>
        </w:rPr>
      </w:pPr>
      <w:r>
        <w:rPr>
          <w:rFonts w:ascii="Times New Roman" w:hAnsi="Times New Roman"/>
          <w:b w:val="0"/>
          <w:bCs w:val="0"/>
          <w:sz w:val="24"/>
          <w:szCs w:val="24"/>
          <w:lang w:val="en-GB"/>
        </w:rPr>
        <w:lastRenderedPageBreak/>
        <w:t xml:space="preserve">Korpi, </w:t>
      </w:r>
      <w:r>
        <w:rPr>
          <w:rFonts w:ascii="Times New Roman" w:hAnsi="Times New Roman" w:hint="default"/>
          <w:b w:val="0"/>
          <w:bCs w:val="0"/>
          <w:sz w:val="24"/>
          <w:szCs w:val="24"/>
          <w:lang w:val="en-GB"/>
        </w:rPr>
        <w:t>W. (</w:t>
      </w:r>
      <w:r>
        <w:rPr>
          <w:rFonts w:ascii="Times New Roman" w:hAnsi="Times New Roman"/>
          <w:b w:val="0"/>
          <w:bCs w:val="0"/>
          <w:sz w:val="24"/>
          <w:szCs w:val="24"/>
          <w:lang w:val="en-GB"/>
        </w:rPr>
        <w:t>2006</w:t>
      </w:r>
      <w:r>
        <w:rPr>
          <w:rFonts w:ascii="Times New Roman" w:hAnsi="Times New Roman" w:hint="default"/>
          <w:b w:val="0"/>
          <w:bCs w:val="0"/>
          <w:sz w:val="24"/>
          <w:szCs w:val="24"/>
          <w:lang w:val="en-GB"/>
        </w:rPr>
        <w:t>),</w:t>
      </w:r>
      <w:r>
        <w:rPr>
          <w:rFonts w:ascii="Times New Roman" w:eastAsia="Helvetica" w:hAnsi="Times New Roman" w:hint="default"/>
          <w:b w:val="0"/>
          <w:bCs w:val="0"/>
          <w:color w:val="333333"/>
          <w:sz w:val="24"/>
          <w:szCs w:val="24"/>
        </w:rPr>
        <w:t>Power Resources and Employer-Centered Approaches in Explanations of Welfare States and Varieties of Capitalism: Protagonists, Consenters, and Antagonists</w:t>
      </w:r>
      <w:r>
        <w:rPr>
          <w:rFonts w:ascii="Times New Roman" w:eastAsia="Helvetica" w:hAnsi="Times New Roman" w:hint="default"/>
          <w:b w:val="0"/>
          <w:bCs w:val="0"/>
          <w:color w:val="333333"/>
          <w:sz w:val="24"/>
          <w:szCs w:val="24"/>
          <w:lang w:val="en-GB"/>
        </w:rPr>
        <w:t xml:space="preserve">; </w:t>
      </w:r>
      <w:r>
        <w:rPr>
          <w:rFonts w:ascii="Times New Roman" w:eastAsia="sans-serif" w:hAnsi="Times New Roman" w:hint="default"/>
          <w:b w:val="0"/>
          <w:bCs w:val="0"/>
          <w:color w:val="333333"/>
          <w:sz w:val="24"/>
          <w:szCs w:val="24"/>
          <w:shd w:val="clear" w:color="auto" w:fill="FFFFFF"/>
        </w:rPr>
        <w:t xml:space="preserve"> Cambridge University Press:  </w:t>
      </w:r>
      <w:hyperlink r:id="rId9" w:history="1">
        <w:r>
          <w:rPr>
            <w:rStyle w:val="Hyperlink"/>
            <w:rFonts w:ascii="Times New Roman" w:eastAsia="sans-serif" w:hAnsi="Times New Roman" w:hint="default"/>
            <w:b w:val="0"/>
            <w:bCs w:val="0"/>
            <w:sz w:val="24"/>
            <w:szCs w:val="24"/>
            <w:shd w:val="clear" w:color="auto" w:fill="FFFFFF"/>
          </w:rPr>
          <w:t>https://www.cambridge.org/core/journals/world-politics/article/abs/power-resources-and-employercentered-approaches-in-explanations-of-welfare-states-and-varieties-of-capitalism-protagonists-consenters-and-antagonists</w:t>
        </w:r>
        <w:r>
          <w:rPr>
            <w:rStyle w:val="Hyperlink"/>
            <w:rFonts w:ascii="Times New Roman" w:eastAsia="sans-serif" w:hAnsi="Times New Roman" w:hint="default"/>
            <w:b w:val="0"/>
            <w:bCs w:val="0"/>
            <w:sz w:val="24"/>
            <w:szCs w:val="24"/>
            <w:shd w:val="clear" w:color="auto" w:fill="FFFFFF"/>
            <w:lang w:val="en-GB"/>
          </w:rPr>
          <w:t>;</w:t>
        </w:r>
      </w:hyperlink>
      <w:r>
        <w:rPr>
          <w:rStyle w:val="Strong"/>
          <w:rFonts w:ascii="Times New Roman" w:eastAsia="sans-serif" w:hAnsi="Times New Roman" w:hint="default"/>
          <w:color w:val="333333"/>
          <w:sz w:val="24"/>
          <w:szCs w:val="24"/>
          <w:shd w:val="clear" w:color="auto" w:fill="FFFFFF"/>
        </w:rPr>
        <w:t>13 June 2011</w:t>
      </w:r>
    </w:p>
    <w:p w:rsidR="00BA3484" w:rsidRDefault="00D65C29" w:rsidP="000F575F">
      <w:pPr>
        <w:pStyle w:val="FootnoteText"/>
        <w:ind w:left="600" w:hangingChars="250" w:hanging="600"/>
        <w:rPr>
          <w:rFonts w:ascii="Times New Roman" w:hAnsi="Times New Roman" w:cs="Times New Roman"/>
          <w:sz w:val="24"/>
          <w:szCs w:val="24"/>
          <w:lang w:val="en-GB"/>
        </w:rPr>
      </w:pPr>
      <w:r>
        <w:rPr>
          <w:rFonts w:ascii="Times New Roman" w:hAnsi="Times New Roman" w:cs="Times New Roman"/>
          <w:color w:val="232323"/>
          <w:sz w:val="24"/>
          <w:szCs w:val="24"/>
          <w:shd w:val="clear" w:color="auto" w:fill="FFFFFF"/>
        </w:rPr>
        <w:t>Lévesque, C. &amp;</w:t>
      </w:r>
      <w:r w:rsidR="0049223D">
        <w:rPr>
          <w:rFonts w:ascii="Times New Roman" w:hAnsi="Times New Roman" w:cs="Times New Roman"/>
          <w:color w:val="232323"/>
          <w:sz w:val="24"/>
          <w:szCs w:val="24"/>
          <w:shd w:val="clear" w:color="auto" w:fill="FFFFFF"/>
        </w:rPr>
        <w:t xml:space="preserve"> Murray, G. (2010)</w:t>
      </w:r>
      <w:r w:rsidR="0049223D">
        <w:rPr>
          <w:rFonts w:ascii="Times New Roman" w:hAnsi="Times New Roman" w:cs="Times New Roman"/>
          <w:color w:val="232323"/>
          <w:sz w:val="24"/>
          <w:szCs w:val="24"/>
          <w:shd w:val="clear" w:color="auto" w:fill="FFFFFF"/>
          <w:lang w:val="en-GB"/>
        </w:rPr>
        <w:t>, ‘</w:t>
      </w:r>
      <w:r w:rsidR="0049223D">
        <w:rPr>
          <w:rFonts w:ascii="Times New Roman" w:hAnsi="Times New Roman" w:cs="Times New Roman"/>
          <w:color w:val="232323"/>
          <w:sz w:val="24"/>
          <w:szCs w:val="24"/>
          <w:shd w:val="clear" w:color="auto" w:fill="FFFFFF"/>
        </w:rPr>
        <w:t>Understanding Union Power: Resources and Capabilities for Renewing Union Capacity</w:t>
      </w:r>
      <w:r w:rsidR="0049223D">
        <w:rPr>
          <w:rFonts w:ascii="Times New Roman" w:hAnsi="Times New Roman" w:cs="Times New Roman"/>
          <w:color w:val="232323"/>
          <w:sz w:val="24"/>
          <w:szCs w:val="24"/>
          <w:shd w:val="clear" w:color="auto" w:fill="FFFFFF"/>
          <w:lang w:val="en-GB"/>
        </w:rPr>
        <w:t>’</w:t>
      </w:r>
      <w:r w:rsidR="0049223D">
        <w:rPr>
          <w:rFonts w:ascii="Times New Roman" w:hAnsi="Times New Roman" w:cs="Times New Roman"/>
          <w:color w:val="232323"/>
          <w:sz w:val="24"/>
          <w:szCs w:val="24"/>
          <w:shd w:val="clear" w:color="auto" w:fill="FFFFFF"/>
        </w:rPr>
        <w:t xml:space="preserve">. </w:t>
      </w:r>
      <w:r w:rsidR="0049223D">
        <w:rPr>
          <w:rFonts w:ascii="Times New Roman" w:hAnsi="Times New Roman" w:cs="Times New Roman"/>
          <w:i/>
          <w:iCs/>
          <w:color w:val="232323"/>
          <w:sz w:val="24"/>
          <w:szCs w:val="24"/>
          <w:shd w:val="clear" w:color="auto" w:fill="FFFFFF"/>
        </w:rPr>
        <w:t>Transfer: European Review of Labour and Research</w:t>
      </w:r>
      <w:r w:rsidR="0049223D">
        <w:rPr>
          <w:rFonts w:ascii="Times New Roman" w:hAnsi="Times New Roman" w:cs="Times New Roman"/>
          <w:color w:val="232323"/>
          <w:sz w:val="24"/>
          <w:szCs w:val="24"/>
          <w:shd w:val="clear" w:color="auto" w:fill="FFFFFF"/>
        </w:rPr>
        <w:t>, 16, 333-350</w:t>
      </w:r>
    </w:p>
    <w:p w:rsidR="00BA3484" w:rsidRDefault="00BA3484">
      <w:pPr>
        <w:pStyle w:val="FootnoteText"/>
        <w:rPr>
          <w:rFonts w:ascii="Times New Roman" w:hAnsi="Times New Roman" w:cs="Times New Roman"/>
          <w:sz w:val="6"/>
          <w:szCs w:val="6"/>
          <w:lang w:val="en-GB"/>
        </w:rPr>
      </w:pPr>
    </w:p>
    <w:p w:rsidR="00BA3484" w:rsidRDefault="0049223D" w:rsidP="000F575F">
      <w:pPr>
        <w:pStyle w:val="FootnoteText"/>
        <w:ind w:left="600" w:hangingChars="250" w:hanging="600"/>
        <w:rPr>
          <w:rFonts w:ascii="Times New Roman" w:hAnsi="Times New Roman" w:cs="Times New Roman"/>
          <w:sz w:val="24"/>
          <w:szCs w:val="24"/>
          <w:lang w:val="en-GB"/>
        </w:rPr>
      </w:pPr>
      <w:r>
        <w:rPr>
          <w:rFonts w:ascii="Times New Roman" w:hAnsi="Times New Roman" w:cs="Times New Roman"/>
          <w:sz w:val="24"/>
          <w:szCs w:val="24"/>
        </w:rPr>
        <w:t xml:space="preserve">Lewin, D (2005), </w:t>
      </w:r>
      <w:r>
        <w:rPr>
          <w:rFonts w:ascii="Times New Roman" w:hAnsi="Times New Roman" w:cs="Times New Roman"/>
          <w:sz w:val="24"/>
          <w:szCs w:val="24"/>
          <w:lang w:val="en-GB"/>
        </w:rPr>
        <w:t>‘</w:t>
      </w:r>
      <w:r>
        <w:rPr>
          <w:rFonts w:ascii="Times New Roman" w:hAnsi="Times New Roman" w:cs="Times New Roman"/>
          <w:sz w:val="24"/>
          <w:szCs w:val="24"/>
        </w:rPr>
        <w:t>Unionism and Employment Conflict Resolution: Rethinking collective voices and its consequences</w:t>
      </w:r>
      <w:r>
        <w:rPr>
          <w:rFonts w:ascii="Times New Roman" w:hAnsi="Times New Roman" w:cs="Times New Roman"/>
          <w:sz w:val="24"/>
          <w:szCs w:val="24"/>
          <w:lang w:val="en-GB"/>
        </w:rPr>
        <w:t>’</w:t>
      </w:r>
      <w:r>
        <w:rPr>
          <w:rFonts w:ascii="Times New Roman" w:hAnsi="Times New Roman" w:cs="Times New Roman"/>
          <w:sz w:val="24"/>
          <w:szCs w:val="24"/>
        </w:rPr>
        <w:t xml:space="preserve">, </w:t>
      </w:r>
      <w:r>
        <w:rPr>
          <w:rFonts w:ascii="Times New Roman" w:hAnsi="Times New Roman" w:cs="Times New Roman"/>
          <w:i/>
          <w:iCs/>
          <w:sz w:val="24"/>
          <w:szCs w:val="24"/>
        </w:rPr>
        <w:t>Journal of Labour Research</w:t>
      </w:r>
      <w:r w:rsidR="00D65C29">
        <w:rPr>
          <w:rFonts w:ascii="Times New Roman" w:hAnsi="Times New Roman" w:cs="Times New Roman"/>
          <w:sz w:val="24"/>
          <w:szCs w:val="24"/>
        </w:rPr>
        <w:t>, 26(2),</w:t>
      </w:r>
      <w:r>
        <w:rPr>
          <w:rFonts w:ascii="Times New Roman" w:hAnsi="Times New Roman" w:cs="Times New Roman"/>
          <w:sz w:val="24"/>
          <w:szCs w:val="24"/>
        </w:rPr>
        <w:t xml:space="preserve"> 209-239. </w:t>
      </w:r>
    </w:p>
    <w:p w:rsidR="00BA3484" w:rsidRDefault="0049223D" w:rsidP="000F575F">
      <w:pPr>
        <w:pStyle w:val="FootnoteText"/>
        <w:ind w:left="600" w:hangingChars="250" w:hanging="600"/>
        <w:rPr>
          <w:rFonts w:ascii="Times New Roman" w:hAnsi="Times New Roman" w:cs="Times New Roman"/>
          <w:sz w:val="24"/>
          <w:szCs w:val="24"/>
          <w:lang w:val="en-GB"/>
        </w:rPr>
      </w:pPr>
      <w:r>
        <w:rPr>
          <w:rFonts w:ascii="Times New Roman" w:hAnsi="Times New Roman" w:cs="Times New Roman"/>
          <w:sz w:val="24"/>
          <w:szCs w:val="24"/>
        </w:rPr>
        <w:t xml:space="preserve">Okotoni, O. &amp; Kugbani, O (2024), </w:t>
      </w:r>
      <w:r>
        <w:rPr>
          <w:rFonts w:ascii="Times New Roman" w:hAnsi="Times New Roman" w:cs="Times New Roman"/>
          <w:sz w:val="24"/>
          <w:szCs w:val="24"/>
          <w:lang w:val="en-GB"/>
        </w:rPr>
        <w:t>‘</w:t>
      </w:r>
      <w:r>
        <w:rPr>
          <w:rFonts w:ascii="Times New Roman" w:hAnsi="Times New Roman" w:cs="Times New Roman"/>
          <w:sz w:val="24"/>
          <w:szCs w:val="24"/>
          <w:shd w:val="clear" w:color="auto" w:fill="FFFFFF"/>
        </w:rPr>
        <w:t>Conflict between Academic Staff and Non</w:t>
      </w:r>
      <w:r>
        <w:rPr>
          <w:rFonts w:ascii="Times New Roman" w:hAnsi="Times New Roman" w:cs="Times New Roman"/>
          <w:sz w:val="24"/>
          <w:szCs w:val="24"/>
          <w:shd w:val="clear" w:color="auto" w:fill="FFFFFF"/>
        </w:rPr>
        <w:noBreakHyphen/>
        <w:t>Teaching Staff in Nigerian Universities: Causes and Consequences</w:t>
      </w:r>
      <w:r>
        <w:rPr>
          <w:rFonts w:ascii="Times New Roman" w:hAnsi="Times New Roman" w:cs="Times New Roman"/>
          <w:sz w:val="24"/>
          <w:szCs w:val="24"/>
          <w:shd w:val="clear" w:color="auto" w:fill="FFFFFF"/>
          <w:lang w:val="en-GB"/>
        </w:rPr>
        <w:t>’</w:t>
      </w:r>
      <w:r>
        <w:rPr>
          <w:rFonts w:ascii="Times New Roman" w:hAnsi="Times New Roman" w:cs="Times New Roman"/>
          <w:sz w:val="24"/>
          <w:szCs w:val="24"/>
          <w:shd w:val="clear" w:color="auto" w:fill="FFFFFF"/>
        </w:rPr>
        <w:t xml:space="preserve">; </w:t>
      </w:r>
      <w:r>
        <w:rPr>
          <w:rFonts w:ascii="Times New Roman" w:hAnsi="Times New Roman" w:cs="Times New Roman"/>
          <w:i/>
          <w:iCs/>
          <w:sz w:val="24"/>
          <w:szCs w:val="24"/>
          <w:shd w:val="clear" w:color="auto" w:fill="FFFFFF"/>
        </w:rPr>
        <w:t>Higher Education</w:t>
      </w:r>
      <w:r>
        <w:rPr>
          <w:rFonts w:ascii="Times New Roman" w:hAnsi="Times New Roman" w:cs="Times New Roman"/>
          <w:i/>
          <w:iCs/>
          <w:sz w:val="24"/>
          <w:szCs w:val="24"/>
          <w:shd w:val="clear" w:color="auto" w:fill="FFFFFF"/>
          <w:lang w:val="en-GB"/>
        </w:rPr>
        <w:t xml:space="preserve">; </w:t>
      </w:r>
      <w:r>
        <w:rPr>
          <w:rFonts w:ascii="Times New Roman" w:hAnsi="Times New Roman" w:cs="Times New Roman"/>
          <w:sz w:val="24"/>
          <w:szCs w:val="24"/>
          <w:shd w:val="clear" w:color="auto" w:fill="FFFFFF"/>
        </w:rPr>
        <w:t>https://doi.org/10.1007/s10734-023-01160-3</w:t>
      </w:r>
    </w:p>
    <w:p w:rsidR="00BA3484" w:rsidRDefault="00BA3484">
      <w:pPr>
        <w:pStyle w:val="FootnoteText"/>
        <w:rPr>
          <w:rFonts w:ascii="Times New Roman" w:hAnsi="Times New Roman" w:cs="Times New Roman"/>
          <w:sz w:val="2"/>
          <w:szCs w:val="2"/>
          <w:lang w:val="en-GB"/>
        </w:rPr>
      </w:pPr>
    </w:p>
    <w:p w:rsidR="00BA3484" w:rsidRDefault="00BA3484">
      <w:pPr>
        <w:pStyle w:val="FootnoteText"/>
        <w:rPr>
          <w:rFonts w:ascii="Times New Roman" w:hAnsi="Times New Roman" w:cs="Times New Roman"/>
          <w:sz w:val="4"/>
          <w:szCs w:val="4"/>
        </w:rPr>
      </w:pPr>
    </w:p>
    <w:p w:rsidR="00BA3484" w:rsidRDefault="0049223D">
      <w:pPr>
        <w:pStyle w:val="FootnoteText"/>
        <w:rPr>
          <w:rFonts w:ascii="Times New Roman" w:hAnsi="Times New Roman" w:cs="Times New Roman"/>
          <w:sz w:val="24"/>
          <w:szCs w:val="24"/>
          <w:lang w:val="en-GB"/>
        </w:rPr>
      </w:pPr>
      <w:r>
        <w:rPr>
          <w:rFonts w:ascii="Times New Roman" w:hAnsi="Times New Roman" w:cs="Times New Roman"/>
          <w:sz w:val="24"/>
          <w:szCs w:val="24"/>
          <w:lang w:val="en-GB"/>
        </w:rPr>
        <w:t>Trade Union Act, 2005 (Section 3(6))</w:t>
      </w:r>
    </w:p>
    <w:p w:rsidR="00BA3484" w:rsidRDefault="00BA3484">
      <w:pPr>
        <w:pStyle w:val="FootnoteText"/>
        <w:rPr>
          <w:rFonts w:ascii="Times New Roman" w:hAnsi="Times New Roman" w:cs="Times New Roman"/>
          <w:sz w:val="2"/>
          <w:szCs w:val="2"/>
          <w:lang w:val="en-GB"/>
        </w:rPr>
      </w:pPr>
    </w:p>
    <w:p w:rsidR="00BA3484" w:rsidRDefault="0049223D">
      <w:pPr>
        <w:pStyle w:val="FootnoteText"/>
        <w:rPr>
          <w:rFonts w:ascii="Times New Roman" w:hAnsi="Times New Roman" w:cs="Times New Roman"/>
          <w:sz w:val="24"/>
          <w:szCs w:val="24"/>
          <w:lang w:val="en-GB"/>
        </w:rPr>
      </w:pPr>
      <w:r>
        <w:rPr>
          <w:rFonts w:ascii="Times New Roman" w:hAnsi="Times New Roman" w:cs="Times New Roman"/>
          <w:sz w:val="24"/>
          <w:szCs w:val="24"/>
          <w:lang w:val="en-GB"/>
        </w:rPr>
        <w:t>Trade Union Congress (2020)</w:t>
      </w:r>
    </w:p>
    <w:p w:rsidR="00BA3484" w:rsidRDefault="00BA3484">
      <w:pPr>
        <w:pStyle w:val="FootnoteText"/>
        <w:rPr>
          <w:rFonts w:ascii="Times New Roman" w:hAnsi="Times New Roman" w:cs="Times New Roman"/>
          <w:sz w:val="6"/>
          <w:szCs w:val="6"/>
        </w:rPr>
      </w:pPr>
    </w:p>
    <w:p w:rsidR="00BA3484" w:rsidRDefault="00D65C29" w:rsidP="00D65C29">
      <w:pPr>
        <w:pStyle w:val="FootnoteText"/>
        <w:ind w:left="600" w:hangingChars="250" w:hanging="600"/>
        <w:rPr>
          <w:rFonts w:ascii="Times New Roman" w:hAnsi="Times New Roman" w:cs="Times New Roman"/>
          <w:sz w:val="24"/>
          <w:szCs w:val="24"/>
          <w:lang w:val="en-GB"/>
        </w:rPr>
      </w:pPr>
      <w:r w:rsidRPr="00D65C29">
        <w:rPr>
          <w:rStyle w:val="HTMLCite"/>
          <w:rFonts w:ascii="Times New Roman" w:hAnsi="Times New Roman" w:cs="Times New Roman"/>
          <w:i w:val="0"/>
          <w:sz w:val="24"/>
          <w:szCs w:val="24"/>
        </w:rPr>
        <w:t>Nandakumar, P., &amp; Ravishankar, S.S. (1994). Empirical Study Of Membership Participation In Trade Union Activities : An Indian Perspective</w:t>
      </w:r>
      <w:r>
        <w:rPr>
          <w:rStyle w:val="HTMLCite"/>
        </w:rPr>
        <w:t>.</w:t>
      </w:r>
    </w:p>
    <w:p w:rsidR="00BA3484" w:rsidRDefault="00BA3484">
      <w:pPr>
        <w:pStyle w:val="FootnoteText"/>
        <w:rPr>
          <w:rFonts w:ascii="Times New Roman" w:hAnsi="Times New Roman" w:cs="Times New Roman"/>
          <w:sz w:val="6"/>
          <w:szCs w:val="6"/>
          <w:lang w:val="en-GB"/>
        </w:rPr>
      </w:pPr>
    </w:p>
    <w:p w:rsidR="00BA3484" w:rsidRDefault="0049223D">
      <w:pPr>
        <w:pStyle w:val="FootnoteText"/>
        <w:rPr>
          <w:rFonts w:ascii="Times New Roman" w:hAnsi="Times New Roman" w:cs="Times New Roman"/>
          <w:sz w:val="24"/>
          <w:szCs w:val="24"/>
          <w:lang w:val="en-GB"/>
        </w:rPr>
      </w:pPr>
      <w:r>
        <w:rPr>
          <w:rFonts w:ascii="Times New Roman" w:hAnsi="Times New Roman" w:cs="Times New Roman"/>
          <w:sz w:val="24"/>
          <w:szCs w:val="24"/>
          <w:lang w:val="en-GB"/>
        </w:rPr>
        <w:t>National Bureau of Statistics (2023).</w:t>
      </w:r>
    </w:p>
    <w:p w:rsidR="00BA3484" w:rsidRDefault="00BA3484">
      <w:pPr>
        <w:pStyle w:val="FootnoteText"/>
        <w:rPr>
          <w:rFonts w:ascii="Times New Roman" w:hAnsi="Times New Roman" w:cs="Times New Roman"/>
          <w:sz w:val="2"/>
          <w:szCs w:val="2"/>
          <w:lang w:val="en-GB"/>
        </w:rPr>
      </w:pPr>
    </w:p>
    <w:p w:rsidR="00BA3484" w:rsidRDefault="0049223D">
      <w:pPr>
        <w:pStyle w:val="FootnoteText"/>
        <w:rPr>
          <w:rFonts w:ascii="Times New Roman" w:hAnsi="Times New Roman" w:cs="Times New Roman"/>
          <w:sz w:val="24"/>
          <w:szCs w:val="24"/>
          <w:lang w:val="en-GB"/>
        </w:rPr>
      </w:pPr>
      <w:r>
        <w:rPr>
          <w:rFonts w:ascii="Times New Roman" w:hAnsi="Times New Roman" w:cs="Times New Roman"/>
          <w:sz w:val="24"/>
          <w:szCs w:val="24"/>
          <w:lang w:val="en-GB"/>
        </w:rPr>
        <w:t>Nigerian Labour Congress (2024)</w:t>
      </w:r>
    </w:p>
    <w:p w:rsidR="00BA3484" w:rsidRDefault="00BA3484">
      <w:pPr>
        <w:pStyle w:val="FootnoteText"/>
        <w:rPr>
          <w:rFonts w:ascii="Times New Roman" w:hAnsi="Times New Roman" w:cs="Times New Roman"/>
          <w:sz w:val="6"/>
          <w:szCs w:val="6"/>
          <w:lang w:val="en-GB"/>
        </w:rPr>
      </w:pPr>
    </w:p>
    <w:p w:rsidR="00BA3484" w:rsidRDefault="0049223D">
      <w:pPr>
        <w:pStyle w:val="FootnoteText"/>
        <w:ind w:left="600" w:hangingChars="250" w:hanging="600"/>
        <w:rPr>
          <w:sz w:val="24"/>
          <w:szCs w:val="24"/>
          <w:lang w:val="en-GB"/>
        </w:rPr>
      </w:pPr>
      <w:r>
        <w:rPr>
          <w:rFonts w:ascii="Times New Roman" w:hAnsi="Times New Roman" w:cs="Times New Roman"/>
          <w:sz w:val="24"/>
          <w:szCs w:val="24"/>
          <w:lang w:val="en-GB"/>
        </w:rPr>
        <w:t xml:space="preserve">Ringqvist, J. (2020), ‘How to union membership, union density and institutionalization, affect perception of conflict management and workers?’, </w:t>
      </w:r>
      <w:r>
        <w:rPr>
          <w:rFonts w:ascii="Times New Roman" w:hAnsi="Times New Roman" w:cs="Times New Roman"/>
          <w:i/>
          <w:iCs/>
          <w:sz w:val="24"/>
          <w:szCs w:val="24"/>
          <w:lang w:val="en-GB"/>
        </w:rPr>
        <w:t>European Journal of Industrial Relations</w:t>
      </w:r>
      <w:r w:rsidR="000F575F">
        <w:rPr>
          <w:rFonts w:ascii="Times New Roman" w:hAnsi="Times New Roman" w:cs="Times New Roman"/>
          <w:sz w:val="24"/>
          <w:szCs w:val="24"/>
          <w:lang w:val="en-GB"/>
        </w:rPr>
        <w:t>, (27)2,</w:t>
      </w:r>
      <w:r>
        <w:rPr>
          <w:rFonts w:ascii="Times New Roman" w:hAnsi="Times New Roman" w:cs="Times New Roman"/>
          <w:sz w:val="24"/>
          <w:szCs w:val="24"/>
          <w:lang w:val="en-GB"/>
        </w:rPr>
        <w:t xml:space="preserve"> </w:t>
      </w:r>
      <w:r w:rsidR="000F575F">
        <w:rPr>
          <w:rFonts w:ascii="Times New Roman" w:hAnsi="Times New Roman" w:cs="Times New Roman"/>
          <w:sz w:val="24"/>
          <w:szCs w:val="24"/>
          <w:lang w:val="en-GB"/>
        </w:rPr>
        <w:t>131- 148.</w:t>
      </w:r>
      <w:r>
        <w:rPr>
          <w:rFonts w:ascii="Times New Roman" w:hAnsi="Times New Roman" w:cs="Times New Roman"/>
          <w:sz w:val="24"/>
          <w:szCs w:val="24"/>
          <w:lang w:val="en-GB"/>
        </w:rPr>
        <w:t xml:space="preserve"> </w:t>
      </w:r>
      <w:hyperlink r:id="rId10" w:history="1">
        <w:r>
          <w:rPr>
            <w:rStyle w:val="Hyperlink"/>
            <w:rFonts w:ascii="Times New Roman" w:hAnsi="Times New Roman" w:cs="Times New Roman"/>
            <w:sz w:val="24"/>
            <w:szCs w:val="24"/>
            <w:lang w:val="en-GB"/>
          </w:rPr>
          <w:t>https://doi.org/10.1177/0959680120963546</w:t>
        </w:r>
      </w:hyperlink>
      <w:r>
        <w:rPr>
          <w:rFonts w:ascii="Times New Roman" w:hAnsi="Times New Roman" w:cs="Times New Roman"/>
          <w:sz w:val="24"/>
          <w:szCs w:val="24"/>
          <w:lang w:val="en-GB"/>
        </w:rPr>
        <w:t xml:space="preserve">. </w:t>
      </w:r>
    </w:p>
    <w:p w:rsidR="00BA3484" w:rsidRDefault="00BA3484">
      <w:pPr>
        <w:pStyle w:val="FootnoteText"/>
        <w:rPr>
          <w:rFonts w:ascii="Times New Roman" w:hAnsi="Times New Roman" w:cs="Times New Roman"/>
          <w:sz w:val="10"/>
          <w:szCs w:val="10"/>
          <w:lang w:val="en-GB"/>
        </w:rPr>
      </w:pPr>
    </w:p>
    <w:p w:rsidR="00BA3484" w:rsidRDefault="00D65C29" w:rsidP="000F575F">
      <w:pPr>
        <w:pStyle w:val="FootnoteText"/>
        <w:ind w:left="600" w:hangingChars="250" w:hanging="600"/>
        <w:rPr>
          <w:rFonts w:ascii="Times New Roman" w:hAnsi="Times New Roman" w:cs="Times New Roman"/>
          <w:sz w:val="24"/>
          <w:szCs w:val="24"/>
          <w:lang w:val="en-GB"/>
        </w:rPr>
      </w:pPr>
      <w:r>
        <w:rPr>
          <w:rFonts w:ascii="Times New Roman" w:hAnsi="Times New Roman" w:cs="Times New Roman"/>
          <w:sz w:val="24"/>
          <w:szCs w:val="24"/>
          <w:lang w:val="en-GB"/>
        </w:rPr>
        <w:t>Seidu, P., Oteng, P.&amp;</w:t>
      </w:r>
      <w:r w:rsidR="0049223D">
        <w:rPr>
          <w:rFonts w:ascii="Times New Roman" w:hAnsi="Times New Roman" w:cs="Times New Roman"/>
          <w:sz w:val="24"/>
          <w:szCs w:val="24"/>
          <w:lang w:val="en-GB"/>
        </w:rPr>
        <w:t xml:space="preserve"> Adam, H. (2016), ‘</w:t>
      </w:r>
      <w:r w:rsidR="0049223D">
        <w:rPr>
          <w:rFonts w:ascii="Times New Roman" w:hAnsi="Times New Roman" w:cs="Times New Roman"/>
          <w:bCs/>
          <w:color w:val="131314"/>
          <w:sz w:val="24"/>
          <w:szCs w:val="24"/>
          <w:shd w:val="clear" w:color="auto" w:fill="FFFFFF"/>
        </w:rPr>
        <w:t>Assessing Employees' Perception of Conflict Management in the Banking Industry - A Survey of Selected Banks in Sekondi-Takoradi Metropolis of Ghana</w:t>
      </w:r>
      <w:r w:rsidR="0049223D">
        <w:rPr>
          <w:rFonts w:ascii="Times New Roman" w:hAnsi="Times New Roman" w:cs="Times New Roman"/>
          <w:bCs/>
          <w:color w:val="131314"/>
          <w:sz w:val="24"/>
          <w:szCs w:val="24"/>
          <w:shd w:val="clear" w:color="auto" w:fill="FFFFFF"/>
          <w:lang w:val="en-GB"/>
        </w:rPr>
        <w:t>’</w:t>
      </w:r>
      <w:r w:rsidR="0049223D">
        <w:rPr>
          <w:rFonts w:ascii="Times New Roman" w:hAnsi="Times New Roman" w:cs="Times New Roman"/>
          <w:bCs/>
          <w:color w:val="131314"/>
          <w:sz w:val="24"/>
          <w:szCs w:val="24"/>
          <w:shd w:val="clear" w:color="auto" w:fill="FFFFFF"/>
        </w:rPr>
        <w:t xml:space="preserve">; </w:t>
      </w:r>
      <w:r w:rsidR="0049223D">
        <w:rPr>
          <w:rFonts w:ascii="Times New Roman" w:hAnsi="Times New Roman" w:cs="Times New Roman"/>
          <w:bCs/>
          <w:i/>
          <w:iCs/>
          <w:color w:val="131314"/>
          <w:sz w:val="24"/>
          <w:szCs w:val="24"/>
          <w:shd w:val="clear" w:color="auto" w:fill="FFFFFF"/>
        </w:rPr>
        <w:t>Journal of Resources Development and Management</w:t>
      </w:r>
      <w:r w:rsidR="000F575F">
        <w:rPr>
          <w:rFonts w:ascii="Times New Roman" w:hAnsi="Times New Roman" w:cs="Times New Roman"/>
          <w:bCs/>
          <w:color w:val="131314"/>
          <w:sz w:val="24"/>
          <w:szCs w:val="24"/>
          <w:shd w:val="clear" w:color="auto" w:fill="FFFFFF"/>
        </w:rPr>
        <w:t>,</w:t>
      </w:r>
      <w:r w:rsidR="0049223D">
        <w:rPr>
          <w:rFonts w:ascii="Times New Roman" w:hAnsi="Times New Roman" w:cs="Times New Roman"/>
          <w:bCs/>
          <w:color w:val="131314"/>
          <w:sz w:val="24"/>
          <w:szCs w:val="24"/>
          <w:shd w:val="clear" w:color="auto" w:fill="FFFFFF"/>
        </w:rPr>
        <w:t xml:space="preserve"> </w:t>
      </w:r>
      <w:r w:rsidR="000F575F">
        <w:rPr>
          <w:rFonts w:ascii="Times New Roman" w:hAnsi="Times New Roman" w:cs="Times New Roman"/>
          <w:bCs/>
          <w:color w:val="131314"/>
          <w:sz w:val="24"/>
          <w:szCs w:val="24"/>
          <w:shd w:val="clear" w:color="auto" w:fill="FFFFFF"/>
        </w:rPr>
        <w:t>(</w:t>
      </w:r>
      <w:r w:rsidR="0049223D">
        <w:rPr>
          <w:rFonts w:ascii="Times New Roman" w:hAnsi="Times New Roman" w:cs="Times New Roman"/>
          <w:bCs/>
          <w:color w:val="131314"/>
          <w:sz w:val="24"/>
          <w:szCs w:val="24"/>
          <w:shd w:val="clear" w:color="auto" w:fill="FFFFFF"/>
        </w:rPr>
        <w:t>21</w:t>
      </w:r>
      <w:r w:rsidR="000F575F">
        <w:rPr>
          <w:rFonts w:ascii="Times New Roman" w:hAnsi="Times New Roman" w:cs="Times New Roman"/>
          <w:bCs/>
          <w:color w:val="131314"/>
          <w:sz w:val="24"/>
          <w:szCs w:val="24"/>
          <w:shd w:val="clear" w:color="auto" w:fill="FFFFFF"/>
        </w:rPr>
        <w:t>)</w:t>
      </w:r>
      <w:r w:rsidR="0049223D">
        <w:rPr>
          <w:rFonts w:ascii="Times New Roman" w:hAnsi="Times New Roman" w:cs="Times New Roman"/>
          <w:bCs/>
          <w:color w:val="131314"/>
          <w:sz w:val="24"/>
          <w:szCs w:val="24"/>
          <w:shd w:val="clear" w:color="auto" w:fill="FFFFFF"/>
        </w:rPr>
        <w:t xml:space="preserve">. </w:t>
      </w:r>
    </w:p>
    <w:p w:rsidR="00BA3484" w:rsidRDefault="00BA3484" w:rsidP="000F575F">
      <w:pPr>
        <w:pStyle w:val="FootnoteText"/>
        <w:ind w:left="200" w:hangingChars="250" w:hanging="200"/>
        <w:rPr>
          <w:rFonts w:ascii="Times New Roman" w:hAnsi="Times New Roman" w:cs="Times New Roman"/>
          <w:sz w:val="8"/>
          <w:szCs w:val="8"/>
          <w:lang w:val="en-GB"/>
        </w:rPr>
      </w:pPr>
    </w:p>
    <w:p w:rsidR="00BA3484" w:rsidRDefault="0049223D" w:rsidP="000F575F">
      <w:pPr>
        <w:pStyle w:val="FootnoteText"/>
        <w:ind w:left="600" w:hangingChars="250" w:hanging="600"/>
        <w:rPr>
          <w:rFonts w:ascii="Times New Roman" w:hAnsi="Times New Roman" w:cs="Times New Roman"/>
          <w:sz w:val="24"/>
          <w:szCs w:val="24"/>
          <w:lang w:val="en-GB"/>
        </w:rPr>
      </w:pPr>
      <w:r>
        <w:rPr>
          <w:rFonts w:ascii="Times New Roman" w:hAnsi="Times New Roman" w:cs="Times New Roman"/>
          <w:sz w:val="24"/>
          <w:szCs w:val="24"/>
          <w:lang w:val="en-GB"/>
        </w:rPr>
        <w:t xml:space="preserve">White, D. (2015), </w:t>
      </w:r>
      <w:r>
        <w:rPr>
          <w:rFonts w:ascii="Times New Roman" w:hAnsi="Times New Roman" w:cs="Times New Roman"/>
          <w:i/>
          <w:iCs/>
          <w:sz w:val="24"/>
          <w:szCs w:val="24"/>
          <w:lang w:val="en-GB"/>
        </w:rPr>
        <w:t>Functionally embodied culture: cultural schemas and models in a diversified manufacturer</w:t>
      </w:r>
      <w:r>
        <w:rPr>
          <w:rFonts w:ascii="Times New Roman" w:hAnsi="Times New Roman" w:cs="Times New Roman"/>
          <w:sz w:val="24"/>
          <w:szCs w:val="24"/>
          <w:lang w:val="en-GB"/>
        </w:rPr>
        <w:t xml:space="preserve">, PhD Dissertation Fielding Graduate University. </w:t>
      </w:r>
    </w:p>
    <w:p w:rsidR="00BA3484" w:rsidRDefault="00BA3484">
      <w:pPr>
        <w:pStyle w:val="FootnoteText"/>
        <w:rPr>
          <w:rFonts w:ascii="Times New Roman" w:hAnsi="Times New Roman" w:cs="Times New Roman"/>
          <w:sz w:val="8"/>
          <w:szCs w:val="8"/>
          <w:lang w:val="en-GB"/>
        </w:rPr>
      </w:pPr>
    </w:p>
    <w:p w:rsidR="00BA3484" w:rsidRDefault="0049223D" w:rsidP="000F575F">
      <w:pPr>
        <w:pStyle w:val="FootnoteText"/>
        <w:ind w:left="600" w:hangingChars="250" w:hanging="600"/>
        <w:rPr>
          <w:rFonts w:ascii="Times New Roman" w:hAnsi="Times New Roman" w:cs="Times New Roman"/>
          <w:sz w:val="24"/>
          <w:szCs w:val="24"/>
          <w:lang w:val="en-GB"/>
        </w:rPr>
      </w:pPr>
      <w:r>
        <w:rPr>
          <w:rFonts w:ascii="Times New Roman" w:hAnsi="Times New Roman" w:cs="Times New Roman"/>
          <w:sz w:val="24"/>
          <w:szCs w:val="24"/>
          <w:lang w:val="en-GB"/>
        </w:rPr>
        <w:t xml:space="preserve">Wilson, G. (2014), ‘Empirical Analysis of the Causes and effects of workplace conflicts in public hospitals in Rivers State, Nigeria: 2009 – 2014’; </w:t>
      </w:r>
      <w:r>
        <w:rPr>
          <w:rFonts w:ascii="Times New Roman" w:hAnsi="Times New Roman" w:cs="Times New Roman"/>
          <w:i/>
          <w:iCs/>
          <w:sz w:val="24"/>
          <w:szCs w:val="24"/>
          <w:lang w:val="en-GB"/>
        </w:rPr>
        <w:t>International Journal of Research in Arts and Social Sciences</w:t>
      </w:r>
      <w:r w:rsidR="000F575F">
        <w:rPr>
          <w:rFonts w:ascii="Times New Roman" w:hAnsi="Times New Roman" w:cs="Times New Roman"/>
          <w:sz w:val="24"/>
          <w:szCs w:val="24"/>
          <w:lang w:val="en-GB"/>
        </w:rPr>
        <w:t>, (</w:t>
      </w:r>
      <w:r>
        <w:rPr>
          <w:rFonts w:ascii="Times New Roman" w:hAnsi="Times New Roman" w:cs="Times New Roman"/>
          <w:sz w:val="24"/>
          <w:szCs w:val="24"/>
          <w:lang w:val="en-GB"/>
        </w:rPr>
        <w:t>7</w:t>
      </w:r>
      <w:r w:rsidR="000F575F">
        <w:rPr>
          <w:rFonts w:ascii="Times New Roman" w:hAnsi="Times New Roman" w:cs="Times New Roman"/>
          <w:sz w:val="24"/>
          <w:szCs w:val="24"/>
          <w:lang w:val="en-GB"/>
        </w:rPr>
        <w:t>)</w:t>
      </w:r>
      <w:r>
        <w:rPr>
          <w:rFonts w:ascii="Times New Roman" w:hAnsi="Times New Roman" w:cs="Times New Roman"/>
          <w:sz w:val="24"/>
          <w:szCs w:val="24"/>
          <w:lang w:val="en-GB"/>
        </w:rPr>
        <w:t>2.</w:t>
      </w:r>
    </w:p>
    <w:p w:rsidR="00BA3484" w:rsidRDefault="00BA3484">
      <w:pPr>
        <w:pStyle w:val="FootnoteText"/>
        <w:rPr>
          <w:rFonts w:ascii="Times New Roman" w:hAnsi="Times New Roman" w:cs="Times New Roman"/>
          <w:sz w:val="6"/>
          <w:szCs w:val="6"/>
          <w:lang w:val="en-GB"/>
        </w:rPr>
      </w:pPr>
    </w:p>
    <w:p w:rsidR="00BA3484" w:rsidRDefault="0049223D" w:rsidP="000F575F">
      <w:pPr>
        <w:pStyle w:val="FootnoteText"/>
        <w:ind w:left="600" w:hangingChars="250" w:hanging="600"/>
        <w:rPr>
          <w:rFonts w:ascii="Times New Roman" w:hAnsi="Times New Roman" w:cs="Times New Roman"/>
          <w:i/>
          <w:iCs/>
          <w:sz w:val="24"/>
          <w:szCs w:val="24"/>
          <w:lang w:val="en-GB"/>
        </w:rPr>
      </w:pPr>
      <w:r>
        <w:rPr>
          <w:rFonts w:ascii="Times New Roman" w:hAnsi="Times New Roman" w:cs="Times New Roman"/>
          <w:sz w:val="24"/>
          <w:szCs w:val="24"/>
          <w:lang w:val="en-GB"/>
        </w:rPr>
        <w:t xml:space="preserve">Wilson, G. (2015), ‘The </w:t>
      </w:r>
      <w:r>
        <w:rPr>
          <w:rFonts w:ascii="Times New Roman" w:hAnsi="Times New Roman" w:cs="Times New Roman"/>
          <w:sz w:val="24"/>
          <w:szCs w:val="24"/>
          <w:shd w:val="clear" w:color="auto" w:fill="FFFFFF"/>
        </w:rPr>
        <w:t>Causes, Effects And Management Of Industrial Conflict In Local Governments ff Delta State, Nigeria, 2008-2014</w:t>
      </w:r>
      <w:r>
        <w:rPr>
          <w:rFonts w:ascii="Times New Roman" w:hAnsi="Times New Roman" w:cs="Times New Roman"/>
          <w:sz w:val="24"/>
          <w:szCs w:val="24"/>
          <w:shd w:val="clear" w:color="auto" w:fill="FFFFFF"/>
          <w:lang w:val="en-GB"/>
        </w:rPr>
        <w:t>’</w:t>
      </w:r>
      <w:r>
        <w:rPr>
          <w:rFonts w:ascii="Times New Roman" w:hAnsi="Times New Roman" w:cs="Times New Roman"/>
          <w:sz w:val="24"/>
          <w:szCs w:val="24"/>
          <w:shd w:val="clear" w:color="auto" w:fill="FFFFFF"/>
        </w:rPr>
        <w:t xml:space="preserve">; </w:t>
      </w:r>
      <w:r>
        <w:rPr>
          <w:rFonts w:ascii="Times New Roman" w:hAnsi="Times New Roman" w:cs="Times New Roman"/>
          <w:i/>
          <w:iCs/>
          <w:sz w:val="24"/>
          <w:szCs w:val="24"/>
          <w:lang w:val="en-GB"/>
        </w:rPr>
        <w:t xml:space="preserve">International Journal of Research in </w:t>
      </w:r>
      <w:bookmarkStart w:id="0" w:name="_GoBack"/>
      <w:bookmarkEnd w:id="0"/>
      <w:r w:rsidR="000F575F">
        <w:rPr>
          <w:rFonts w:ascii="Times New Roman" w:hAnsi="Times New Roman" w:cs="Times New Roman"/>
          <w:i/>
          <w:iCs/>
          <w:sz w:val="24"/>
          <w:szCs w:val="24"/>
          <w:lang w:val="en-GB"/>
        </w:rPr>
        <w:t>Arts and Social Sciences,(</w:t>
      </w:r>
      <w:r>
        <w:rPr>
          <w:rFonts w:ascii="Times New Roman" w:hAnsi="Times New Roman" w:cs="Times New Roman"/>
          <w:i/>
          <w:iCs/>
          <w:sz w:val="24"/>
          <w:szCs w:val="24"/>
          <w:lang w:val="en-GB"/>
        </w:rPr>
        <w:t>8</w:t>
      </w:r>
      <w:r w:rsidR="000F575F">
        <w:rPr>
          <w:rFonts w:ascii="Times New Roman" w:hAnsi="Times New Roman" w:cs="Times New Roman"/>
          <w:i/>
          <w:iCs/>
          <w:sz w:val="24"/>
          <w:szCs w:val="24"/>
          <w:lang w:val="en-GB"/>
        </w:rPr>
        <w:t>)</w:t>
      </w:r>
      <w:r>
        <w:rPr>
          <w:rFonts w:ascii="Times New Roman" w:hAnsi="Times New Roman" w:cs="Times New Roman"/>
          <w:i/>
          <w:iCs/>
          <w:sz w:val="24"/>
          <w:szCs w:val="24"/>
          <w:lang w:val="en-GB"/>
        </w:rPr>
        <w:t>2.</w:t>
      </w:r>
    </w:p>
    <w:p w:rsidR="00BA3484" w:rsidRDefault="00BA3484">
      <w:pPr>
        <w:pStyle w:val="FootnoteText"/>
        <w:rPr>
          <w:rFonts w:ascii="Times New Roman" w:hAnsi="Times New Roman" w:cs="Times New Roman"/>
          <w:sz w:val="24"/>
          <w:szCs w:val="24"/>
          <w:lang w:val="en-GB"/>
        </w:rPr>
      </w:pPr>
    </w:p>
    <w:sectPr w:rsidR="00BA3484" w:rsidSect="00BA3484">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6B06" w:rsidRDefault="00766B06">
      <w:pPr>
        <w:spacing w:line="240" w:lineRule="auto"/>
      </w:pPr>
      <w:r>
        <w:separator/>
      </w:r>
    </w:p>
  </w:endnote>
  <w:endnote w:type="continuationSeparator" w:id="1">
    <w:p w:rsidR="00766B06" w:rsidRDefault="00766B0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ans-serif">
    <w:altName w:val="Segoe Print"/>
    <w:charset w:val="00"/>
    <w:family w:val="auto"/>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6B06" w:rsidRDefault="00766B06">
      <w:pPr>
        <w:spacing w:after="0"/>
      </w:pPr>
      <w:r>
        <w:separator/>
      </w:r>
    </w:p>
  </w:footnote>
  <w:footnote w:type="continuationSeparator" w:id="1">
    <w:p w:rsidR="00766B06" w:rsidRDefault="00766B06">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noPunctuationKerning/>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
  <w:rsids>
    <w:rsidRoot w:val="00B65E0C"/>
    <w:rsid w:val="00003CFD"/>
    <w:rsid w:val="0000548F"/>
    <w:rsid w:val="0001212C"/>
    <w:rsid w:val="00012691"/>
    <w:rsid w:val="000129AD"/>
    <w:rsid w:val="0001551D"/>
    <w:rsid w:val="000168A0"/>
    <w:rsid w:val="000229CE"/>
    <w:rsid w:val="00044CF2"/>
    <w:rsid w:val="00045D87"/>
    <w:rsid w:val="00053399"/>
    <w:rsid w:val="000543DF"/>
    <w:rsid w:val="00061A31"/>
    <w:rsid w:val="00071494"/>
    <w:rsid w:val="00072A28"/>
    <w:rsid w:val="00074085"/>
    <w:rsid w:val="000834AC"/>
    <w:rsid w:val="0008582B"/>
    <w:rsid w:val="00086FD5"/>
    <w:rsid w:val="000919F1"/>
    <w:rsid w:val="00097EBC"/>
    <w:rsid w:val="000A31E0"/>
    <w:rsid w:val="000B321D"/>
    <w:rsid w:val="000B680F"/>
    <w:rsid w:val="000C0BA9"/>
    <w:rsid w:val="000C29B2"/>
    <w:rsid w:val="000C6A46"/>
    <w:rsid w:val="000D2032"/>
    <w:rsid w:val="000E0362"/>
    <w:rsid w:val="000E62D1"/>
    <w:rsid w:val="000F2C5B"/>
    <w:rsid w:val="000F575F"/>
    <w:rsid w:val="0010155B"/>
    <w:rsid w:val="00101E5A"/>
    <w:rsid w:val="00112C5E"/>
    <w:rsid w:val="00130333"/>
    <w:rsid w:val="001359AA"/>
    <w:rsid w:val="00135A00"/>
    <w:rsid w:val="00145ABC"/>
    <w:rsid w:val="00150096"/>
    <w:rsid w:val="001500B1"/>
    <w:rsid w:val="00157120"/>
    <w:rsid w:val="00170727"/>
    <w:rsid w:val="00170FF5"/>
    <w:rsid w:val="00173215"/>
    <w:rsid w:val="00181190"/>
    <w:rsid w:val="001837D7"/>
    <w:rsid w:val="00187123"/>
    <w:rsid w:val="00190201"/>
    <w:rsid w:val="001966BF"/>
    <w:rsid w:val="001A081B"/>
    <w:rsid w:val="001A2499"/>
    <w:rsid w:val="001A2F41"/>
    <w:rsid w:val="001B3943"/>
    <w:rsid w:val="001C0137"/>
    <w:rsid w:val="001C5A2F"/>
    <w:rsid w:val="001E0C7F"/>
    <w:rsid w:val="001E33E2"/>
    <w:rsid w:val="001E5AC0"/>
    <w:rsid w:val="001F6104"/>
    <w:rsid w:val="001F7C1A"/>
    <w:rsid w:val="00200A4B"/>
    <w:rsid w:val="00201266"/>
    <w:rsid w:val="002059C7"/>
    <w:rsid w:val="00205E51"/>
    <w:rsid w:val="002140D8"/>
    <w:rsid w:val="0022241F"/>
    <w:rsid w:val="00222A3E"/>
    <w:rsid w:val="002238C8"/>
    <w:rsid w:val="00225E10"/>
    <w:rsid w:val="0023721B"/>
    <w:rsid w:val="00247E67"/>
    <w:rsid w:val="00261396"/>
    <w:rsid w:val="0026313B"/>
    <w:rsid w:val="00264052"/>
    <w:rsid w:val="0027025E"/>
    <w:rsid w:val="002766C0"/>
    <w:rsid w:val="0027706B"/>
    <w:rsid w:val="0027706E"/>
    <w:rsid w:val="002831EA"/>
    <w:rsid w:val="00286B0F"/>
    <w:rsid w:val="00287AF0"/>
    <w:rsid w:val="002918C9"/>
    <w:rsid w:val="00293440"/>
    <w:rsid w:val="002A0EE9"/>
    <w:rsid w:val="002C5450"/>
    <w:rsid w:val="002D0AA3"/>
    <w:rsid w:val="002D4C2D"/>
    <w:rsid w:val="002F3A80"/>
    <w:rsid w:val="003131AE"/>
    <w:rsid w:val="00322F6F"/>
    <w:rsid w:val="003235B3"/>
    <w:rsid w:val="00331851"/>
    <w:rsid w:val="00355931"/>
    <w:rsid w:val="0035625A"/>
    <w:rsid w:val="00360B2D"/>
    <w:rsid w:val="00362898"/>
    <w:rsid w:val="00370F18"/>
    <w:rsid w:val="00384DFE"/>
    <w:rsid w:val="003B0EEC"/>
    <w:rsid w:val="003B43D1"/>
    <w:rsid w:val="003C35DA"/>
    <w:rsid w:val="003C66E6"/>
    <w:rsid w:val="003D0087"/>
    <w:rsid w:val="003D5A95"/>
    <w:rsid w:val="003D7374"/>
    <w:rsid w:val="003E4795"/>
    <w:rsid w:val="00406F36"/>
    <w:rsid w:val="00407C2A"/>
    <w:rsid w:val="00411E14"/>
    <w:rsid w:val="004127F4"/>
    <w:rsid w:val="00413F45"/>
    <w:rsid w:val="00427F0B"/>
    <w:rsid w:val="00430788"/>
    <w:rsid w:val="0043109E"/>
    <w:rsid w:val="00435EA2"/>
    <w:rsid w:val="0044235F"/>
    <w:rsid w:val="004423A4"/>
    <w:rsid w:val="0044322F"/>
    <w:rsid w:val="00443F41"/>
    <w:rsid w:val="00444A84"/>
    <w:rsid w:val="00457F05"/>
    <w:rsid w:val="00463448"/>
    <w:rsid w:val="004656D6"/>
    <w:rsid w:val="0049223D"/>
    <w:rsid w:val="00493516"/>
    <w:rsid w:val="00495AB3"/>
    <w:rsid w:val="00496483"/>
    <w:rsid w:val="00496860"/>
    <w:rsid w:val="004B023A"/>
    <w:rsid w:val="004B06E8"/>
    <w:rsid w:val="004B29CB"/>
    <w:rsid w:val="004B4754"/>
    <w:rsid w:val="004C05EB"/>
    <w:rsid w:val="004D0B6F"/>
    <w:rsid w:val="004D591E"/>
    <w:rsid w:val="004D6842"/>
    <w:rsid w:val="004E2F67"/>
    <w:rsid w:val="004E3737"/>
    <w:rsid w:val="004F622B"/>
    <w:rsid w:val="00510F2C"/>
    <w:rsid w:val="00513D85"/>
    <w:rsid w:val="005151BE"/>
    <w:rsid w:val="005212FE"/>
    <w:rsid w:val="00526E6C"/>
    <w:rsid w:val="00530B01"/>
    <w:rsid w:val="00530D66"/>
    <w:rsid w:val="00531723"/>
    <w:rsid w:val="00533358"/>
    <w:rsid w:val="00546995"/>
    <w:rsid w:val="00551115"/>
    <w:rsid w:val="00554109"/>
    <w:rsid w:val="00554950"/>
    <w:rsid w:val="00556DDA"/>
    <w:rsid w:val="0055712A"/>
    <w:rsid w:val="00557421"/>
    <w:rsid w:val="00564D11"/>
    <w:rsid w:val="00566935"/>
    <w:rsid w:val="00584F14"/>
    <w:rsid w:val="00585E66"/>
    <w:rsid w:val="00587238"/>
    <w:rsid w:val="00596EDC"/>
    <w:rsid w:val="0059705E"/>
    <w:rsid w:val="005A313B"/>
    <w:rsid w:val="005A5924"/>
    <w:rsid w:val="005B05F9"/>
    <w:rsid w:val="005C6132"/>
    <w:rsid w:val="005D0B01"/>
    <w:rsid w:val="005D11CB"/>
    <w:rsid w:val="005E1B54"/>
    <w:rsid w:val="005E30A6"/>
    <w:rsid w:val="005F3280"/>
    <w:rsid w:val="005F3B09"/>
    <w:rsid w:val="005F6B6B"/>
    <w:rsid w:val="00602272"/>
    <w:rsid w:val="00603FF7"/>
    <w:rsid w:val="006127A9"/>
    <w:rsid w:val="00623674"/>
    <w:rsid w:val="0063189D"/>
    <w:rsid w:val="006430E0"/>
    <w:rsid w:val="006458C2"/>
    <w:rsid w:val="00666DC2"/>
    <w:rsid w:val="006706FE"/>
    <w:rsid w:val="006776BC"/>
    <w:rsid w:val="00677885"/>
    <w:rsid w:val="006937C4"/>
    <w:rsid w:val="00694B0A"/>
    <w:rsid w:val="00694F24"/>
    <w:rsid w:val="00697FEF"/>
    <w:rsid w:val="006A56B3"/>
    <w:rsid w:val="006B1ED8"/>
    <w:rsid w:val="006B32B9"/>
    <w:rsid w:val="006B76CE"/>
    <w:rsid w:val="006D1EA9"/>
    <w:rsid w:val="006D67A7"/>
    <w:rsid w:val="006E2740"/>
    <w:rsid w:val="006E69BF"/>
    <w:rsid w:val="006F1CC9"/>
    <w:rsid w:val="00704833"/>
    <w:rsid w:val="007137CE"/>
    <w:rsid w:val="00714056"/>
    <w:rsid w:val="0072058A"/>
    <w:rsid w:val="00723884"/>
    <w:rsid w:val="00725879"/>
    <w:rsid w:val="00730215"/>
    <w:rsid w:val="00730254"/>
    <w:rsid w:val="00733C31"/>
    <w:rsid w:val="007511C0"/>
    <w:rsid w:val="0075133C"/>
    <w:rsid w:val="00755BE4"/>
    <w:rsid w:val="007572EA"/>
    <w:rsid w:val="0075781F"/>
    <w:rsid w:val="0076409C"/>
    <w:rsid w:val="007658B4"/>
    <w:rsid w:val="00766B06"/>
    <w:rsid w:val="007711E5"/>
    <w:rsid w:val="00780D0E"/>
    <w:rsid w:val="00781162"/>
    <w:rsid w:val="00785B0F"/>
    <w:rsid w:val="00785CA6"/>
    <w:rsid w:val="00791DD3"/>
    <w:rsid w:val="00797A6A"/>
    <w:rsid w:val="00797C0C"/>
    <w:rsid w:val="007A3E71"/>
    <w:rsid w:val="007A6F11"/>
    <w:rsid w:val="007B0F6E"/>
    <w:rsid w:val="007B4E5E"/>
    <w:rsid w:val="007D3EDF"/>
    <w:rsid w:val="007F264C"/>
    <w:rsid w:val="007F46F7"/>
    <w:rsid w:val="0080034F"/>
    <w:rsid w:val="008013B0"/>
    <w:rsid w:val="008112D2"/>
    <w:rsid w:val="0081276B"/>
    <w:rsid w:val="008152C8"/>
    <w:rsid w:val="0081638B"/>
    <w:rsid w:val="0082341B"/>
    <w:rsid w:val="008250F8"/>
    <w:rsid w:val="00826BEE"/>
    <w:rsid w:val="00826E9B"/>
    <w:rsid w:val="0083731C"/>
    <w:rsid w:val="008376C6"/>
    <w:rsid w:val="0084073D"/>
    <w:rsid w:val="00841448"/>
    <w:rsid w:val="00844BBE"/>
    <w:rsid w:val="00850100"/>
    <w:rsid w:val="008526F6"/>
    <w:rsid w:val="00856E91"/>
    <w:rsid w:val="00882656"/>
    <w:rsid w:val="00891485"/>
    <w:rsid w:val="008918FA"/>
    <w:rsid w:val="008978A6"/>
    <w:rsid w:val="00897F11"/>
    <w:rsid w:val="008A0999"/>
    <w:rsid w:val="008B5E8A"/>
    <w:rsid w:val="008C78F9"/>
    <w:rsid w:val="008D1C5E"/>
    <w:rsid w:val="008D2555"/>
    <w:rsid w:val="008E712D"/>
    <w:rsid w:val="008F272A"/>
    <w:rsid w:val="008F3A13"/>
    <w:rsid w:val="008F5754"/>
    <w:rsid w:val="008F5E20"/>
    <w:rsid w:val="00900FF7"/>
    <w:rsid w:val="00903B91"/>
    <w:rsid w:val="00905A12"/>
    <w:rsid w:val="00906844"/>
    <w:rsid w:val="00912A0D"/>
    <w:rsid w:val="0091576E"/>
    <w:rsid w:val="00920F68"/>
    <w:rsid w:val="00931175"/>
    <w:rsid w:val="00932B62"/>
    <w:rsid w:val="009334BB"/>
    <w:rsid w:val="00945F2F"/>
    <w:rsid w:val="00965312"/>
    <w:rsid w:val="009655C4"/>
    <w:rsid w:val="009774D3"/>
    <w:rsid w:val="0098532C"/>
    <w:rsid w:val="00996B87"/>
    <w:rsid w:val="009A3DCF"/>
    <w:rsid w:val="009A5073"/>
    <w:rsid w:val="009A6529"/>
    <w:rsid w:val="009B1DFD"/>
    <w:rsid w:val="009D4616"/>
    <w:rsid w:val="009D4A6E"/>
    <w:rsid w:val="009D7C97"/>
    <w:rsid w:val="009E4B24"/>
    <w:rsid w:val="009E669E"/>
    <w:rsid w:val="009E7551"/>
    <w:rsid w:val="009F06B3"/>
    <w:rsid w:val="009F1817"/>
    <w:rsid w:val="009F44AE"/>
    <w:rsid w:val="009F4803"/>
    <w:rsid w:val="009F71E9"/>
    <w:rsid w:val="00A1668E"/>
    <w:rsid w:val="00A246E7"/>
    <w:rsid w:val="00A24E4B"/>
    <w:rsid w:val="00A24E97"/>
    <w:rsid w:val="00A41682"/>
    <w:rsid w:val="00A44E3C"/>
    <w:rsid w:val="00A45A1B"/>
    <w:rsid w:val="00A476B4"/>
    <w:rsid w:val="00A5243E"/>
    <w:rsid w:val="00A60F73"/>
    <w:rsid w:val="00A647CA"/>
    <w:rsid w:val="00A66742"/>
    <w:rsid w:val="00A71331"/>
    <w:rsid w:val="00A71F4A"/>
    <w:rsid w:val="00A766F9"/>
    <w:rsid w:val="00A7734C"/>
    <w:rsid w:val="00A864FB"/>
    <w:rsid w:val="00AA0895"/>
    <w:rsid w:val="00AA1149"/>
    <w:rsid w:val="00AB51EC"/>
    <w:rsid w:val="00AB6CCB"/>
    <w:rsid w:val="00AC08A1"/>
    <w:rsid w:val="00AC2E87"/>
    <w:rsid w:val="00AC4CDE"/>
    <w:rsid w:val="00AC7707"/>
    <w:rsid w:val="00AD4616"/>
    <w:rsid w:val="00AE2B6F"/>
    <w:rsid w:val="00AF3D23"/>
    <w:rsid w:val="00B000D4"/>
    <w:rsid w:val="00B06CF3"/>
    <w:rsid w:val="00B1513E"/>
    <w:rsid w:val="00B21635"/>
    <w:rsid w:val="00B25285"/>
    <w:rsid w:val="00B323B9"/>
    <w:rsid w:val="00B36E9F"/>
    <w:rsid w:val="00B37806"/>
    <w:rsid w:val="00B54678"/>
    <w:rsid w:val="00B65420"/>
    <w:rsid w:val="00B65E0C"/>
    <w:rsid w:val="00B71111"/>
    <w:rsid w:val="00B77F4B"/>
    <w:rsid w:val="00B844EB"/>
    <w:rsid w:val="00B8758C"/>
    <w:rsid w:val="00B876F6"/>
    <w:rsid w:val="00B92E1A"/>
    <w:rsid w:val="00B9381B"/>
    <w:rsid w:val="00BA3484"/>
    <w:rsid w:val="00BA3C43"/>
    <w:rsid w:val="00BB4BC2"/>
    <w:rsid w:val="00BB4C33"/>
    <w:rsid w:val="00BB755B"/>
    <w:rsid w:val="00BC04D1"/>
    <w:rsid w:val="00BD77ED"/>
    <w:rsid w:val="00BE288C"/>
    <w:rsid w:val="00BE3F67"/>
    <w:rsid w:val="00BE6133"/>
    <w:rsid w:val="00BF055B"/>
    <w:rsid w:val="00BF27D7"/>
    <w:rsid w:val="00BF4EF0"/>
    <w:rsid w:val="00C07E71"/>
    <w:rsid w:val="00C12A2F"/>
    <w:rsid w:val="00C1723D"/>
    <w:rsid w:val="00C20205"/>
    <w:rsid w:val="00C236CF"/>
    <w:rsid w:val="00C26D66"/>
    <w:rsid w:val="00C3450E"/>
    <w:rsid w:val="00C42968"/>
    <w:rsid w:val="00C4367C"/>
    <w:rsid w:val="00C43D0A"/>
    <w:rsid w:val="00C513D8"/>
    <w:rsid w:val="00C5464A"/>
    <w:rsid w:val="00C6258A"/>
    <w:rsid w:val="00C64402"/>
    <w:rsid w:val="00C66E8B"/>
    <w:rsid w:val="00C70AFE"/>
    <w:rsid w:val="00C70C07"/>
    <w:rsid w:val="00C70C5F"/>
    <w:rsid w:val="00C73F44"/>
    <w:rsid w:val="00C81D76"/>
    <w:rsid w:val="00C84D82"/>
    <w:rsid w:val="00C90099"/>
    <w:rsid w:val="00C91A9C"/>
    <w:rsid w:val="00C93172"/>
    <w:rsid w:val="00C95F19"/>
    <w:rsid w:val="00CA5DC4"/>
    <w:rsid w:val="00CB2D97"/>
    <w:rsid w:val="00CB5077"/>
    <w:rsid w:val="00CC5F89"/>
    <w:rsid w:val="00CD798A"/>
    <w:rsid w:val="00CE5D35"/>
    <w:rsid w:val="00CF10D7"/>
    <w:rsid w:val="00CF4102"/>
    <w:rsid w:val="00CF74A7"/>
    <w:rsid w:val="00CF7CA6"/>
    <w:rsid w:val="00D00E2C"/>
    <w:rsid w:val="00D057C9"/>
    <w:rsid w:val="00D0772E"/>
    <w:rsid w:val="00D2026B"/>
    <w:rsid w:val="00D23566"/>
    <w:rsid w:val="00D26A54"/>
    <w:rsid w:val="00D2775C"/>
    <w:rsid w:val="00D32282"/>
    <w:rsid w:val="00D34C5E"/>
    <w:rsid w:val="00D54811"/>
    <w:rsid w:val="00D65B69"/>
    <w:rsid w:val="00D65C29"/>
    <w:rsid w:val="00D67279"/>
    <w:rsid w:val="00D7267C"/>
    <w:rsid w:val="00D74113"/>
    <w:rsid w:val="00D77B99"/>
    <w:rsid w:val="00D8079B"/>
    <w:rsid w:val="00D911FC"/>
    <w:rsid w:val="00DA0FFE"/>
    <w:rsid w:val="00DD30D9"/>
    <w:rsid w:val="00DD675E"/>
    <w:rsid w:val="00DE2A87"/>
    <w:rsid w:val="00DE3DFC"/>
    <w:rsid w:val="00DE5310"/>
    <w:rsid w:val="00DE650D"/>
    <w:rsid w:val="00DE75CF"/>
    <w:rsid w:val="00DF2373"/>
    <w:rsid w:val="00DF38B9"/>
    <w:rsid w:val="00DF4E61"/>
    <w:rsid w:val="00E00833"/>
    <w:rsid w:val="00E12B57"/>
    <w:rsid w:val="00E24C2F"/>
    <w:rsid w:val="00E31F5C"/>
    <w:rsid w:val="00E37F5B"/>
    <w:rsid w:val="00E4146F"/>
    <w:rsid w:val="00E50866"/>
    <w:rsid w:val="00E561DC"/>
    <w:rsid w:val="00E77E14"/>
    <w:rsid w:val="00E80605"/>
    <w:rsid w:val="00E80936"/>
    <w:rsid w:val="00E87FC3"/>
    <w:rsid w:val="00E926F4"/>
    <w:rsid w:val="00E932C0"/>
    <w:rsid w:val="00E943FB"/>
    <w:rsid w:val="00E9508E"/>
    <w:rsid w:val="00E96229"/>
    <w:rsid w:val="00E96A99"/>
    <w:rsid w:val="00E9770D"/>
    <w:rsid w:val="00EA1ED9"/>
    <w:rsid w:val="00EA6944"/>
    <w:rsid w:val="00EB7041"/>
    <w:rsid w:val="00EB768F"/>
    <w:rsid w:val="00EC26BF"/>
    <w:rsid w:val="00EC45BE"/>
    <w:rsid w:val="00ED7D3A"/>
    <w:rsid w:val="00EE0CF5"/>
    <w:rsid w:val="00EE5E38"/>
    <w:rsid w:val="00EF1587"/>
    <w:rsid w:val="00EF6C32"/>
    <w:rsid w:val="00F0398F"/>
    <w:rsid w:val="00F04025"/>
    <w:rsid w:val="00F063C6"/>
    <w:rsid w:val="00F0643A"/>
    <w:rsid w:val="00F13D9A"/>
    <w:rsid w:val="00F214A0"/>
    <w:rsid w:val="00F32D8F"/>
    <w:rsid w:val="00F35728"/>
    <w:rsid w:val="00F41254"/>
    <w:rsid w:val="00F46B12"/>
    <w:rsid w:val="00F54090"/>
    <w:rsid w:val="00F67DE9"/>
    <w:rsid w:val="00F73CC0"/>
    <w:rsid w:val="00F872DB"/>
    <w:rsid w:val="00F926FE"/>
    <w:rsid w:val="00FA09EC"/>
    <w:rsid w:val="00FA71D6"/>
    <w:rsid w:val="00FB5AB6"/>
    <w:rsid w:val="00FB7BFB"/>
    <w:rsid w:val="00FD657D"/>
    <w:rsid w:val="00FE23BF"/>
    <w:rsid w:val="00FE2B37"/>
    <w:rsid w:val="00FE4C57"/>
    <w:rsid w:val="00FE4DE8"/>
    <w:rsid w:val="00FE77DD"/>
    <w:rsid w:val="00FE7B7F"/>
    <w:rsid w:val="00FF485C"/>
    <w:rsid w:val="03733714"/>
    <w:rsid w:val="06DC5F3A"/>
    <w:rsid w:val="0B126969"/>
    <w:rsid w:val="110545FB"/>
    <w:rsid w:val="183D0CAA"/>
    <w:rsid w:val="1CCA7F75"/>
    <w:rsid w:val="20F35FA9"/>
    <w:rsid w:val="22927909"/>
    <w:rsid w:val="22FE6FB2"/>
    <w:rsid w:val="2407646F"/>
    <w:rsid w:val="24ED161F"/>
    <w:rsid w:val="28D6498F"/>
    <w:rsid w:val="28EF1CB6"/>
    <w:rsid w:val="2A232D49"/>
    <w:rsid w:val="2A734748"/>
    <w:rsid w:val="2B94578C"/>
    <w:rsid w:val="30D806FC"/>
    <w:rsid w:val="39EF0A9A"/>
    <w:rsid w:val="3C327D54"/>
    <w:rsid w:val="424A7558"/>
    <w:rsid w:val="42E526E0"/>
    <w:rsid w:val="46747787"/>
    <w:rsid w:val="4779548D"/>
    <w:rsid w:val="47C4582D"/>
    <w:rsid w:val="48B22CDC"/>
    <w:rsid w:val="4E4C0B71"/>
    <w:rsid w:val="4E795206"/>
    <w:rsid w:val="5116530C"/>
    <w:rsid w:val="51B761EA"/>
    <w:rsid w:val="51D86033"/>
    <w:rsid w:val="52934CA3"/>
    <w:rsid w:val="555B3AAF"/>
    <w:rsid w:val="593E4129"/>
    <w:rsid w:val="5DD90205"/>
    <w:rsid w:val="67646AB1"/>
    <w:rsid w:val="6F8E0DA3"/>
    <w:rsid w:val="753B59FC"/>
    <w:rsid w:val="76CE2E9A"/>
    <w:rsid w:val="76D15FEF"/>
    <w:rsid w:val="7853172A"/>
    <w:rsid w:val="78CB1D55"/>
    <w:rsid w:val="79835CAF"/>
    <w:rsid w:val="7A32188C"/>
    <w:rsid w:val="7F805719"/>
    <w:rsid w:val="7FFB03D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qFormat="1"/>
    <w:lsdException w:name="footer" w:qFormat="1"/>
    <w:lsdException w:name="caption" w:uiPriority="35" w:qFormat="1"/>
    <w:lsdException w:name="footnote reference"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484"/>
    <w:pPr>
      <w:spacing w:after="200" w:line="276" w:lineRule="auto"/>
    </w:pPr>
    <w:rPr>
      <w:rFonts w:asciiTheme="minorHAnsi" w:eastAsiaTheme="minorHAnsi" w:hAnsiTheme="minorHAnsi" w:cstheme="minorBidi"/>
      <w:sz w:val="22"/>
      <w:szCs w:val="22"/>
    </w:rPr>
  </w:style>
  <w:style w:type="paragraph" w:styleId="Heading1">
    <w:name w:val="heading 1"/>
    <w:next w:val="Normal"/>
    <w:uiPriority w:val="9"/>
    <w:qFormat/>
    <w:rsid w:val="00BA3484"/>
    <w:pPr>
      <w:spacing w:beforeAutospacing="1" w:afterAutospacing="1"/>
      <w:outlineLvl w:val="0"/>
    </w:pPr>
    <w:rPr>
      <w:rFonts w:ascii="SimSun" w:hAnsi="SimSun" w:hint="eastAsia"/>
      <w:b/>
      <w:bCs/>
      <w:kern w:val="44"/>
      <w:sz w:val="48"/>
      <w:szCs w:val="48"/>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BA3484"/>
    <w:rPr>
      <w:i/>
      <w:iCs/>
    </w:rPr>
  </w:style>
  <w:style w:type="paragraph" w:styleId="Footer">
    <w:name w:val="footer"/>
    <w:basedOn w:val="Normal"/>
    <w:link w:val="FooterChar"/>
    <w:uiPriority w:val="99"/>
    <w:semiHidden/>
    <w:unhideWhenUsed/>
    <w:qFormat/>
    <w:rsid w:val="00BA3484"/>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sid w:val="00BA3484"/>
    <w:rPr>
      <w:vertAlign w:val="superscript"/>
    </w:rPr>
  </w:style>
  <w:style w:type="paragraph" w:styleId="FootnoteText">
    <w:name w:val="footnote text"/>
    <w:basedOn w:val="Normal"/>
    <w:link w:val="FootnoteTextChar"/>
    <w:uiPriority w:val="99"/>
    <w:semiHidden/>
    <w:unhideWhenUsed/>
    <w:qFormat/>
    <w:rsid w:val="00BA3484"/>
    <w:pPr>
      <w:spacing w:after="0" w:line="240" w:lineRule="auto"/>
    </w:pPr>
    <w:rPr>
      <w:sz w:val="20"/>
      <w:szCs w:val="20"/>
    </w:rPr>
  </w:style>
  <w:style w:type="paragraph" w:styleId="Header">
    <w:name w:val="header"/>
    <w:basedOn w:val="Normal"/>
    <w:link w:val="HeaderChar"/>
    <w:uiPriority w:val="99"/>
    <w:semiHidden/>
    <w:unhideWhenUsed/>
    <w:qFormat/>
    <w:rsid w:val="00BA3484"/>
    <w:pPr>
      <w:tabs>
        <w:tab w:val="center" w:pos="4680"/>
        <w:tab w:val="right" w:pos="9360"/>
      </w:tabs>
      <w:spacing w:after="0" w:line="240" w:lineRule="auto"/>
    </w:pPr>
  </w:style>
  <w:style w:type="character" w:styleId="Hyperlink">
    <w:name w:val="Hyperlink"/>
    <w:basedOn w:val="DefaultParagraphFont"/>
    <w:uiPriority w:val="99"/>
    <w:unhideWhenUsed/>
    <w:qFormat/>
    <w:rsid w:val="00BA3484"/>
    <w:rPr>
      <w:color w:val="0000FF"/>
      <w:u w:val="single"/>
    </w:rPr>
  </w:style>
  <w:style w:type="paragraph" w:styleId="NormalWeb">
    <w:name w:val="Normal (Web)"/>
    <w:uiPriority w:val="99"/>
    <w:semiHidden/>
    <w:unhideWhenUsed/>
    <w:rsid w:val="00BA3484"/>
    <w:pPr>
      <w:spacing w:beforeAutospacing="1" w:afterAutospacing="1"/>
    </w:pPr>
    <w:rPr>
      <w:sz w:val="24"/>
      <w:szCs w:val="24"/>
      <w:lang w:eastAsia="zh-CN"/>
    </w:rPr>
  </w:style>
  <w:style w:type="character" w:styleId="Strong">
    <w:name w:val="Strong"/>
    <w:basedOn w:val="DefaultParagraphFont"/>
    <w:uiPriority w:val="22"/>
    <w:qFormat/>
    <w:rsid w:val="00BA3484"/>
    <w:rPr>
      <w:b/>
      <w:bCs/>
    </w:rPr>
  </w:style>
  <w:style w:type="character" w:customStyle="1" w:styleId="FootnoteTextChar">
    <w:name w:val="Footnote Text Char"/>
    <w:basedOn w:val="DefaultParagraphFont"/>
    <w:link w:val="FootnoteText"/>
    <w:uiPriority w:val="99"/>
    <w:semiHidden/>
    <w:qFormat/>
    <w:rsid w:val="00BA3484"/>
    <w:rPr>
      <w:sz w:val="20"/>
      <w:szCs w:val="20"/>
    </w:rPr>
  </w:style>
  <w:style w:type="character" w:customStyle="1" w:styleId="HeaderChar">
    <w:name w:val="Header Char"/>
    <w:basedOn w:val="DefaultParagraphFont"/>
    <w:link w:val="Header"/>
    <w:uiPriority w:val="99"/>
    <w:semiHidden/>
    <w:qFormat/>
    <w:rsid w:val="00BA3484"/>
  </w:style>
  <w:style w:type="character" w:customStyle="1" w:styleId="FooterChar">
    <w:name w:val="Footer Char"/>
    <w:basedOn w:val="DefaultParagraphFont"/>
    <w:link w:val="Footer"/>
    <w:uiPriority w:val="99"/>
    <w:semiHidden/>
    <w:qFormat/>
    <w:rsid w:val="00BA3484"/>
  </w:style>
  <w:style w:type="character" w:styleId="HTMLCite">
    <w:name w:val="HTML Cite"/>
    <w:basedOn w:val="DefaultParagraphFont"/>
    <w:uiPriority w:val="99"/>
    <w:semiHidden/>
    <w:unhideWhenUsed/>
    <w:rsid w:val="00D65C29"/>
    <w:rPr>
      <w:i/>
      <w:iCs/>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doi.org/10.1111/irel.12264" TargetMode="External"/><Relationship Id="rId3" Type="http://schemas.openxmlformats.org/officeDocument/2006/relationships/webSettings" Target="webSettings.xml"/><Relationship Id="rId7" Type="http://schemas.openxmlformats.org/officeDocument/2006/relationships/hyperlink" Target="https://academic.oup.com/book/10036/chapte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8/IJCMA-03-2012-0030"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doi.org/10.1177/0959680120963546" TargetMode="External"/><Relationship Id="rId4" Type="http://schemas.openxmlformats.org/officeDocument/2006/relationships/footnotes" Target="footnotes.xml"/><Relationship Id="rId9" Type="http://schemas.openxmlformats.org/officeDocument/2006/relationships/hyperlink" Target="https://www.cambridge.org/core/journals/world-politics/article/abs/power-resources-and-employercentered-approaches-in-explanations-of-welfare-states-and-varieties-of-capitalism-protagonists-consenters-and-antagoni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16</Pages>
  <Words>5680</Words>
  <Characters>32381</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Sylvanus Adamade</dc:creator>
  <cp:lastModifiedBy>Owner</cp:lastModifiedBy>
  <cp:revision>31</cp:revision>
  <dcterms:created xsi:type="dcterms:W3CDTF">2024-02-16T08:01:00Z</dcterms:created>
  <dcterms:modified xsi:type="dcterms:W3CDTF">2025-05-09T08:36:00Z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2057-12.2.0.20326</vt:lpwstr>
  </property>
  <property fmtid="{D5CDD505-2E9C-101B-9397-08002B2CF9AE}" pid="3" name="ICV">
    <vt:lpwstr>A4EAC6E1B9FA4F27A98D08F774907412_13</vt:lpwstr>
  </property>
</Properties>
</file>